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清远市清新区林业局《民法典》普法责任清单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7940"/>
        <w:gridCol w:w="2605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具体举措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清远市清新区林业局</w:t>
            </w:r>
          </w:p>
        </w:tc>
        <w:tc>
          <w:tcPr>
            <w:tcW w:w="2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1.在本单位举办1期以《民法典》为主题的法治专题讲座；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1-6月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2.将民法典纳入本单位党组理论中心组学习计划并开展学习；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11-12月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3.对外公布本单位民法典普法责任清单；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2月-3月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4.参加广东省国家工作人员学法考试民法典考学；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1-11月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5.组织干部职工通过学习强国、中国普法、广东普法、广东省干部网络培训学院等学习平台开展民法典自学；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1-11月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                                                                     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6.通过本单位门户网站等新媒体平台，以及宣传栏、LED屏等方式宣传《民法典》。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1-11月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A41AD"/>
    <w:rsid w:val="1D5A41AD"/>
    <w:rsid w:val="5E9D0A9D"/>
    <w:rsid w:val="721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2021-11-08T02:17:00Z</dcterms:created>
  <dc:creator>WPS_137094234</dc:creator>
  <cp:lastModifiedBy>☆Ｉ lov/aiq</cp:lastModifiedBy>
  <dcterms:modified xsi:type="dcterms:W3CDTF">2021-11-10T06:52:34Z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