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rPr>
          <w:b/>
          <w:bCs/>
        </w:rPr>
      </w:pPr>
      <w:bookmarkStart w:id="0" w:name="_Toc484469636"/>
    </w:p>
    <w:p>
      <w:pPr>
        <w:ind w:firstLine="482"/>
        <w:rPr>
          <w:b/>
          <w:bCs/>
        </w:rPr>
      </w:pPr>
    </w:p>
    <w:p>
      <w:pPr>
        <w:ind w:firstLine="482"/>
        <w:rPr>
          <w:b/>
          <w:bCs/>
        </w:rPr>
      </w:pPr>
    </w:p>
    <w:p>
      <w:pPr>
        <w:ind w:firstLine="482"/>
        <w:rPr>
          <w:b/>
          <w:bCs/>
        </w:rPr>
      </w:pPr>
    </w:p>
    <w:p>
      <w:pPr>
        <w:ind w:firstLine="482"/>
        <w:rPr>
          <w:b/>
          <w:bCs/>
        </w:rPr>
      </w:pPr>
    </w:p>
    <w:p>
      <w:pPr>
        <w:ind w:firstLine="0" w:firstLineChars="0"/>
        <w:jc w:val="center"/>
        <w:rPr>
          <w:b/>
          <w:bCs/>
          <w:sz w:val="56"/>
          <w:szCs w:val="56"/>
        </w:rPr>
      </w:pPr>
      <w:r>
        <w:rPr>
          <w:rFonts w:hint="eastAsia"/>
          <w:b/>
          <w:bCs/>
          <w:sz w:val="56"/>
          <w:szCs w:val="56"/>
        </w:rPr>
        <w:t>清新区应急管理局</w:t>
      </w:r>
    </w:p>
    <w:p>
      <w:pPr>
        <w:ind w:firstLine="0" w:firstLineChars="0"/>
        <w:jc w:val="center"/>
        <w:rPr>
          <w:b/>
          <w:bCs/>
          <w:sz w:val="56"/>
          <w:szCs w:val="56"/>
        </w:rPr>
      </w:pPr>
      <w:r>
        <w:rPr>
          <w:rFonts w:hint="eastAsia"/>
          <w:b/>
          <w:bCs/>
          <w:sz w:val="56"/>
          <w:szCs w:val="56"/>
        </w:rPr>
        <w:t>新建乡镇视频会议分中心</w:t>
      </w:r>
    </w:p>
    <w:p>
      <w:pPr>
        <w:ind w:firstLine="0" w:firstLineChars="0"/>
        <w:jc w:val="center"/>
        <w:rPr>
          <w:b/>
          <w:bCs/>
        </w:rPr>
      </w:pPr>
      <w:r>
        <w:rPr>
          <w:rFonts w:hint="eastAsia"/>
          <w:b/>
          <w:bCs/>
          <w:sz w:val="56"/>
          <w:szCs w:val="56"/>
        </w:rPr>
        <w:t>工程建设方案</w:t>
      </w:r>
      <w:bookmarkStart w:id="64" w:name="_GoBack"/>
      <w:bookmarkEnd w:id="64"/>
    </w:p>
    <w:p>
      <w:pPr>
        <w:ind w:firstLine="482"/>
        <w:rPr>
          <w:b/>
          <w:bCs/>
        </w:rPr>
      </w:pPr>
    </w:p>
    <w:p>
      <w:pPr>
        <w:ind w:firstLine="482"/>
        <w:rPr>
          <w:b/>
          <w:bCs/>
        </w:rPr>
      </w:pPr>
    </w:p>
    <w:p>
      <w:pPr>
        <w:ind w:firstLine="482"/>
        <w:rPr>
          <w:b/>
          <w:bCs/>
        </w:rPr>
      </w:pPr>
    </w:p>
    <w:p>
      <w:pPr>
        <w:ind w:firstLine="482"/>
        <w:rPr>
          <w:b/>
          <w:bCs/>
        </w:rPr>
      </w:pPr>
    </w:p>
    <w:p>
      <w:pPr>
        <w:ind w:firstLine="482"/>
        <w:rPr>
          <w:b/>
          <w:bCs/>
        </w:rPr>
      </w:pPr>
    </w:p>
    <w:p>
      <w:pPr>
        <w:ind w:firstLine="482"/>
        <w:rPr>
          <w:b/>
          <w:bCs/>
        </w:rPr>
      </w:pPr>
    </w:p>
    <w:p>
      <w:pPr>
        <w:ind w:firstLine="482"/>
        <w:rPr>
          <w:b/>
          <w:bCs/>
        </w:rPr>
      </w:pPr>
    </w:p>
    <w:p>
      <w:pPr>
        <w:ind w:firstLine="803"/>
        <w:jc w:val="center"/>
        <w:rPr>
          <w:rFonts w:ascii="宋体" w:hAnsi="宋体"/>
          <w:b/>
          <w:bCs/>
          <w:sz w:val="40"/>
          <w:szCs w:val="40"/>
        </w:rPr>
      </w:pPr>
    </w:p>
    <w:p>
      <w:pPr>
        <w:jc w:val="center"/>
        <w:rPr>
          <w:rFonts w:ascii="宋体" w:hAnsi="宋体"/>
          <w:b/>
          <w:bCs/>
          <w:sz w:val="40"/>
          <w:szCs w:val="40"/>
        </w:rPr>
      </w:pPr>
      <w:r>
        <w:rPr>
          <w:rFonts w:hint="eastAsia" w:ascii="宋体" w:hAnsi="宋体"/>
          <w:b/>
          <w:bCs/>
          <w:sz w:val="40"/>
          <w:szCs w:val="40"/>
        </w:rPr>
        <w:t>2020-</w:t>
      </w:r>
      <w:r>
        <w:rPr>
          <w:rFonts w:ascii="宋体" w:hAnsi="宋体"/>
          <w:b/>
          <w:bCs/>
          <w:sz w:val="40"/>
          <w:szCs w:val="40"/>
        </w:rPr>
        <w:t>0</w:t>
      </w:r>
      <w:r>
        <w:rPr>
          <w:rFonts w:hint="eastAsia" w:ascii="宋体" w:hAnsi="宋体"/>
          <w:b/>
          <w:bCs/>
          <w:sz w:val="40"/>
          <w:szCs w:val="40"/>
        </w:rPr>
        <w:t>2</w:t>
      </w:r>
    </w:p>
    <w:p>
      <w:pPr>
        <w:ind w:firstLine="482"/>
        <w:rPr>
          <w:b/>
          <w:bCs/>
        </w:rPr>
      </w:pPr>
    </w:p>
    <w:p>
      <w:pPr>
        <w:widowControl/>
        <w:spacing w:line="240" w:lineRule="auto"/>
        <w:ind w:firstLine="0" w:firstLineChars="0"/>
      </w:pPr>
      <w:r>
        <w:br w:type="page"/>
      </w:r>
    </w:p>
    <w:p>
      <w:pPr>
        <w:pStyle w:val="2"/>
      </w:pPr>
      <w:r>
        <w:rPr>
          <w:rFonts w:hint="eastAsia"/>
        </w:rPr>
        <w:t>综述</w:t>
      </w:r>
    </w:p>
    <w:p>
      <w:pPr>
        <w:pStyle w:val="3"/>
      </w:pPr>
      <w:r>
        <w:rPr>
          <w:rFonts w:hint="eastAsia"/>
        </w:rPr>
        <w:t>建设背景</w:t>
      </w:r>
    </w:p>
    <w:p>
      <w:pPr>
        <w:ind w:firstLine="480"/>
      </w:pPr>
      <w:r>
        <w:rPr>
          <w:rFonts w:hint="eastAsia"/>
        </w:rPr>
        <w:t>清新区和各个乡镇均设立了应急管理工作机构，基本建成了纵向到底、横向到边的应急管理工作体系，当前应急管理工作所面临的新形势、新要求，承担的新职能、新任务，加强系统信息化建设工作，是加强应急管理和安全生产监管的有力举措，也是抓好综合应急管理的先期工作，尤其是建立区到各个乡镇视频会议是落实信息化建设感知网络重要组成部分，对推动安全生产监管和提高综合应急能力有着十分重要而深远意义。</w:t>
      </w:r>
    </w:p>
    <w:p>
      <w:pPr>
        <w:ind w:firstLine="480"/>
      </w:pPr>
      <w:r>
        <w:rPr>
          <w:rFonts w:hint="eastAsia"/>
        </w:rPr>
        <w:t>2019年6月22日，省委书记李希、省长马兴瑞赴省应急管理厅调研，并召开全省防汛救灾工作视频会，传达学习贯彻习近平总书记关于防汛抢险救灾工作的重要指示精神，总结前一阶段强降雨防御救灾工作，研究部署下一步防汛救灾工作。</w:t>
      </w:r>
    </w:p>
    <w:p>
      <w:pPr>
        <w:ind w:firstLine="480"/>
      </w:pPr>
      <w:r>
        <w:rPr>
          <w:rFonts w:hint="eastAsia"/>
        </w:rPr>
        <w:t>李希强调，全省各地各有关部门要发扬不怕疲劳、连续作战的精神，立足最不利情况、做好最充分准备，全面动员、全力以赴，把各项防汛救灾措施落细落小落具体，切实保障人民群众生命财产安全。一要深入学习贯彻习近平总书记关于防汛抢险救灾工作重要指示精神，进一步提高政治站位，增强责任感和紧迫感，把“不忘初心、牢记使命”主题教育的成效体现在维护人民群众生命财产安全的扎实工作上。二要把人民群众生命安全放在首位，以高标准、严要求、实作风做好各项防御准备工作，科学研判预测预报预警，提前对重点部位、薄弱环节、危险区域特别是前一轮强降雨导致的隐患进行拉网式排查，认真做好危险地区群众安全转移，做好应急响应和抢险救援准备，全面加强防灾减灾救灾宣传动员，尽最大努力把灾害损失降到最低。三要加强组织领导、强化工作落实、严格落实责任，党政主要领导亲自抓，形成全省“一盘棋”的工作格局，打通工作落实的“最后一公里”，确保防汛救灾各项工作有力有序有效开展。</w:t>
      </w:r>
    </w:p>
    <w:p>
      <w:pPr>
        <w:ind w:firstLine="480"/>
      </w:pPr>
      <w:r>
        <w:rPr>
          <w:rFonts w:hint="eastAsia"/>
        </w:rPr>
        <w:t>马兴瑞强调，要按照中央及省的决策部署，积极开展新一轮强降雨防御工作，主动担当、狠抓落实，坚决做好防汛抢险救灾工作。要完善应急指挥体系，严格落实领导责任；突出抓好危险区群众转移避险工作，切实保障人民群众生命安全；坚持底线思维，切实做好汛期安全隐患排查治理工作；聚焦薄弱环节，加强山区地质灾害点整治，严防汛期出现城市灾害风险防范的盲区，打好防灾救灾主动战。</w:t>
      </w:r>
    </w:p>
    <w:p>
      <w:pPr>
        <w:ind w:firstLine="480"/>
      </w:pPr>
    </w:p>
    <w:p>
      <w:pPr>
        <w:pStyle w:val="3"/>
      </w:pPr>
      <w:r>
        <w:rPr>
          <w:rFonts w:hint="eastAsia"/>
        </w:rPr>
        <w:t>系统现状和存在问题</w:t>
      </w:r>
    </w:p>
    <w:p>
      <w:pPr>
        <w:ind w:firstLine="480"/>
      </w:pPr>
      <w:r>
        <w:rPr>
          <w:rFonts w:hint="eastAsia"/>
        </w:rPr>
        <w:t>目前三防视频会议系统，电子政务外网都已经在乡镇部署和应用了多年，目前现状和存在的问题包括：</w:t>
      </w:r>
    </w:p>
    <w:p>
      <w:pPr>
        <w:ind w:firstLine="480"/>
      </w:pPr>
      <w:r>
        <w:rPr>
          <w:rFonts w:hint="eastAsia"/>
        </w:rPr>
        <w:t>1、现在清新区应急管理局的三防视频会议系统的网络主要通过清新广电网络通过互联网跟8个乡镇链接，没有三防专线；</w:t>
      </w:r>
    </w:p>
    <w:p>
      <w:pPr>
        <w:ind w:firstLine="480"/>
      </w:pPr>
      <w:r>
        <w:rPr>
          <w:rFonts w:hint="eastAsia"/>
        </w:rPr>
        <w:t>2、经调研发现各乡镇使用不同运营商的网络导致网速不稳定，经常出现丢包的状况，画质较差，达不到的标清480P的标准，视频会议进行时偶尔会出现画面卡顿的现象，同时声音也会偶尔出现断续和不清晰的状况。</w:t>
      </w:r>
    </w:p>
    <w:p>
      <w:pPr>
        <w:ind w:firstLine="480"/>
      </w:pPr>
      <w:r>
        <w:rPr>
          <w:rFonts w:hint="eastAsia"/>
        </w:rPr>
        <w:t>3、每次三防会议开会调试前，各乡镇需要等待较长时间才能与区应急管理局联通，影响会议进度。如果三防会议的互联网链接各乡镇，也要考虑网络的安全性的问题，日后是否会受到黑客攻击和远程控制影响应急会议线路的正常运作，</w:t>
      </w:r>
    </w:p>
    <w:p>
      <w:pPr>
        <w:ind w:firstLine="480"/>
        <w:rPr>
          <w:rFonts w:hint="eastAsia"/>
        </w:rPr>
      </w:pPr>
      <w:r>
        <w:rPr>
          <w:rFonts w:hint="eastAsia"/>
        </w:rPr>
        <w:t>4、电子政务外网属于区政府与各乡镇政府、各部门办公和收发文件的专用网络，经调研发现各乡镇的电子政务网一般只会安装在办公楼，离各乡镇三防值班室距离较远，距离越远就会影响网络的稳定性，同时会增加施工难度。受高峰并发带宽的限制，个别乡镇反应电子政务网的网速较慢，如果办公网络与应急会议线路一并使用的情况下，可能会影响网络的稳定性和安全性。</w:t>
      </w:r>
    </w:p>
    <w:p>
      <w:pPr>
        <w:ind w:firstLine="480"/>
      </w:pPr>
    </w:p>
    <w:p>
      <w:pPr>
        <w:pStyle w:val="3"/>
      </w:pPr>
      <w:r>
        <w:rPr>
          <w:rFonts w:hint="eastAsia"/>
        </w:rPr>
        <w:t>必要性分析</w:t>
      </w:r>
    </w:p>
    <w:p>
      <w:pPr>
        <w:ind w:firstLine="480"/>
      </w:pPr>
      <w:r>
        <w:rPr>
          <w:rFonts w:hint="eastAsia"/>
        </w:rPr>
        <w:t>广东省应急管理厅关于印发《广东省地市应急管理信息化建设任务书(2019年)》的通知(粤应急(2019)314号)中建设任务书2中，明确要求各地市、县区需要规划设计和建设区-镇级的指挥信息网，并按照安全要求和技术规范进行软硬件设备选型。</w:t>
      </w:r>
    </w:p>
    <w:p>
      <w:pPr>
        <w:ind w:firstLine="480"/>
      </w:pPr>
      <w:r>
        <w:rPr>
          <w:rFonts w:hint="eastAsia"/>
        </w:rPr>
        <w:t>我区自然灾害，尤其是台风雨季的山体滑坡多发，灾害风险事故安全防范工作任务艰巨，台风季节也即将到来，应急管理部门要迅速完善区、镇两级应急管理体制机制，当前建立乡镇视频会议分中心和配套工作的紧迫性要求非常强烈。</w:t>
      </w:r>
    </w:p>
    <w:p>
      <w:pPr>
        <w:ind w:firstLine="480"/>
        <w:rPr>
          <w:rFonts w:hint="eastAsia"/>
        </w:rPr>
      </w:pPr>
    </w:p>
    <w:p>
      <w:pPr>
        <w:pStyle w:val="2"/>
      </w:pPr>
      <w:r>
        <w:t>建设目标</w:t>
      </w:r>
      <w:bookmarkEnd w:id="0"/>
    </w:p>
    <w:p>
      <w:pPr>
        <w:spacing w:before="156" w:beforeLines="50" w:after="156" w:afterLines="50"/>
        <w:ind w:firstLine="480"/>
        <w:rPr>
          <w:rFonts w:ascii="宋体" w:hAnsi="宋体"/>
        </w:rPr>
      </w:pPr>
      <w:r>
        <w:rPr>
          <w:rFonts w:hint="eastAsia"/>
        </w:rPr>
        <w:t>统筹建设我区</w:t>
      </w:r>
      <w:r>
        <w:rPr>
          <w:rFonts w:hint="eastAsia"/>
          <w:b/>
          <w:bCs/>
        </w:rPr>
        <w:t>太和镇 、山塘镇、太平镇、三坑镇、龙颈镇、禾云镇、浸潭镇、石潭镇</w:t>
      </w:r>
      <w:r>
        <w:rPr>
          <w:rFonts w:hint="eastAsia"/>
        </w:rPr>
        <w:t>共计8个镇的</w:t>
      </w:r>
      <w:r>
        <w:rPr>
          <w:rFonts w:hint="eastAsia"/>
          <w:b/>
          <w:bCs/>
        </w:rPr>
        <w:t>应急管理视频会议分中心，</w:t>
      </w:r>
      <w:r>
        <w:rPr>
          <w:rFonts w:hint="eastAsia" w:ascii="宋体" w:hAnsi="宋体"/>
        </w:rPr>
        <w:t>实现以下要求：</w:t>
      </w:r>
    </w:p>
    <w:p>
      <w:pPr>
        <w:pStyle w:val="21"/>
        <w:numPr>
          <w:ilvl w:val="0"/>
          <w:numId w:val="3"/>
        </w:numPr>
        <w:spacing w:before="156" w:beforeLines="50" w:after="156" w:afterLines="50"/>
        <w:ind w:firstLineChars="0"/>
        <w:rPr>
          <w:rFonts w:ascii="宋体" w:hAnsi="宋体"/>
        </w:rPr>
      </w:pPr>
      <w:r>
        <w:rPr>
          <w:rFonts w:hint="eastAsia" w:ascii="宋体" w:hAnsi="宋体"/>
        </w:rPr>
        <w:t>乡镇分中心可以与区应急视频会议、应急管理有关单位的多点、双向视频会议；</w:t>
      </w:r>
    </w:p>
    <w:p>
      <w:pPr>
        <w:pStyle w:val="21"/>
        <w:numPr>
          <w:ilvl w:val="0"/>
          <w:numId w:val="3"/>
        </w:numPr>
        <w:spacing w:before="156" w:beforeLines="50" w:after="156" w:afterLines="50"/>
        <w:ind w:firstLineChars="0"/>
        <w:rPr>
          <w:rFonts w:ascii="宋体" w:hAnsi="宋体"/>
        </w:rPr>
      </w:pPr>
      <w:r>
        <w:rPr>
          <w:rFonts w:hint="eastAsia" w:ascii="宋体" w:hAnsi="宋体"/>
        </w:rPr>
        <w:t>实现省、市、区、镇四级应急管理视频会议和安全生产监督视频会议平台互联互通，应满足与省、市、区应急平台视频会议系统级联和管理的要求。</w:t>
      </w:r>
    </w:p>
    <w:p>
      <w:pPr>
        <w:pStyle w:val="21"/>
        <w:numPr>
          <w:ilvl w:val="0"/>
          <w:numId w:val="3"/>
        </w:numPr>
        <w:spacing w:before="156" w:beforeLines="50" w:after="156" w:afterLines="50"/>
        <w:ind w:firstLineChars="0"/>
        <w:rPr>
          <w:rFonts w:ascii="宋体" w:hAnsi="宋体"/>
        </w:rPr>
      </w:pPr>
      <w:r>
        <w:rPr>
          <w:rFonts w:hint="eastAsia" w:ascii="宋体" w:hAnsi="宋体"/>
        </w:rPr>
        <w:t>整合全区现有三防视频会议系统。</w:t>
      </w:r>
    </w:p>
    <w:p>
      <w:pPr>
        <w:ind w:firstLine="480"/>
      </w:pPr>
      <w:r>
        <w:rPr>
          <w:rFonts w:hint="eastAsia"/>
        </w:rPr>
        <w:t>通过新建8个乡镇分中心视频会议大厅和配套硬件网络设备，新建各乡镇分中心与区应急管理局二楼机房的专线接入网络，升级区应急管理局二楼机房的视频会议软硬件和网络配套，从而满足清新区应急管理视频会议互联互通的需要。与各镇、各有关部门保持24小时联络畅通，可以在8个乡镇分中心、区应急管理局的二楼、三楼视频会议大厅召开全市、全区的应急管理视频会议，了解事态发展，同时可通过网络进行异地视频会商，听取事发地领导汇报和专家意见。</w:t>
      </w:r>
    </w:p>
    <w:p>
      <w:pPr>
        <w:ind w:firstLine="480"/>
      </w:pPr>
    </w:p>
    <w:p>
      <w:pPr>
        <w:pStyle w:val="2"/>
      </w:pPr>
      <w:r>
        <w:rPr>
          <w:rFonts w:hint="eastAsia"/>
        </w:rPr>
        <w:t>建设内容</w:t>
      </w:r>
    </w:p>
    <w:p>
      <w:pPr>
        <w:ind w:firstLine="420" w:firstLineChars="0"/>
      </w:pPr>
      <w:bookmarkStart w:id="1" w:name="_Toc486198292"/>
      <w:bookmarkStart w:id="2" w:name="_Toc485972476"/>
      <w:bookmarkStart w:id="3" w:name="_Toc480980097"/>
      <w:r>
        <w:rPr>
          <w:rFonts w:hint="eastAsia"/>
        </w:rPr>
        <w:t>本次项目主要进行位于8个乡镇的视频会议大厅建设</w:t>
      </w:r>
      <w:bookmarkEnd w:id="1"/>
      <w:bookmarkEnd w:id="2"/>
      <w:bookmarkEnd w:id="3"/>
      <w:r>
        <w:rPr>
          <w:rFonts w:hint="eastAsia"/>
        </w:rPr>
        <w:t>，该场所将作为各乡镇应急值守和会商会议的办公场所，以及支撑视频会议系统和网络基础设备运维的场所，其建设应满足日常管理、视频会议和突发事件处置的需求。具体建设内容包括：</w:t>
      </w:r>
    </w:p>
    <w:p>
      <w:pPr>
        <w:ind w:firstLine="480" w:firstLineChars="0"/>
        <w:rPr>
          <w:b/>
          <w:bCs/>
        </w:rPr>
      </w:pPr>
      <w:r>
        <w:rPr>
          <w:rFonts w:hint="eastAsia"/>
          <w:b/>
          <w:bCs/>
        </w:rPr>
        <w:t>一、在8个乡镇分中心的统一建设内容：</w:t>
      </w:r>
    </w:p>
    <w:p>
      <w:pPr>
        <w:pStyle w:val="21"/>
        <w:numPr>
          <w:ilvl w:val="0"/>
          <w:numId w:val="4"/>
        </w:numPr>
        <w:ind w:firstLineChars="0"/>
      </w:pPr>
      <w:r>
        <w:rPr>
          <w:rFonts w:hint="eastAsia"/>
        </w:rPr>
        <w:t>新建大屏显示系统；</w:t>
      </w:r>
    </w:p>
    <w:p>
      <w:pPr>
        <w:pStyle w:val="21"/>
        <w:numPr>
          <w:ilvl w:val="0"/>
          <w:numId w:val="4"/>
        </w:numPr>
        <w:ind w:firstLineChars="0"/>
      </w:pPr>
      <w:r>
        <w:rPr>
          <w:rFonts w:hint="eastAsia"/>
        </w:rPr>
        <w:t>新建会议分中心的会议讨论和控制系统；</w:t>
      </w:r>
    </w:p>
    <w:p>
      <w:pPr>
        <w:pStyle w:val="21"/>
        <w:numPr>
          <w:ilvl w:val="0"/>
          <w:numId w:val="4"/>
        </w:numPr>
        <w:ind w:firstLineChars="0"/>
      </w:pPr>
      <w:r>
        <w:rPr>
          <w:rFonts w:hint="eastAsia"/>
        </w:rPr>
        <w:t>新建视频会议系统，包括前端设备；</w:t>
      </w:r>
    </w:p>
    <w:p>
      <w:pPr>
        <w:pStyle w:val="21"/>
        <w:numPr>
          <w:ilvl w:val="0"/>
          <w:numId w:val="4"/>
        </w:numPr>
        <w:ind w:firstLineChars="0"/>
      </w:pPr>
      <w:r>
        <w:rPr>
          <w:rFonts w:hint="eastAsia"/>
        </w:rPr>
        <w:t>分中心的本地网络建设和综合布线工程。</w:t>
      </w:r>
    </w:p>
    <w:p>
      <w:pPr>
        <w:pStyle w:val="21"/>
        <w:numPr>
          <w:ilvl w:val="0"/>
          <w:numId w:val="4"/>
        </w:numPr>
        <w:ind w:firstLineChars="0"/>
      </w:pPr>
      <w:r>
        <w:rPr>
          <w:rFonts w:hint="eastAsia"/>
        </w:rPr>
        <w:t>新建乡镇分中心到区应急管理局二楼机房的20</w:t>
      </w:r>
      <w:r>
        <w:t>M</w:t>
      </w:r>
      <w:r>
        <w:rPr>
          <w:rFonts w:hint="eastAsia"/>
        </w:rPr>
        <w:t>光纤接入专线。</w:t>
      </w:r>
    </w:p>
    <w:p>
      <w:pPr>
        <w:ind w:firstLine="480" w:firstLineChars="0"/>
        <w:rPr>
          <w:b/>
          <w:bCs/>
        </w:rPr>
      </w:pPr>
      <w:r>
        <w:rPr>
          <w:rFonts w:hint="eastAsia"/>
          <w:b/>
          <w:bCs/>
        </w:rPr>
        <w:t>二、在区应急管理局二楼机房建设和升级内容：</w:t>
      </w:r>
    </w:p>
    <w:p>
      <w:pPr>
        <w:ind w:firstLine="480"/>
      </w:pPr>
      <w:r>
        <w:rPr>
          <w:rFonts w:hint="eastAsia"/>
        </w:rPr>
        <w:t>1、新增1个多点会议智能平台（M</w:t>
      </w:r>
      <w:r>
        <w:t>CU</w:t>
      </w:r>
      <w:r>
        <w:rPr>
          <w:rFonts w:hint="eastAsia"/>
        </w:rPr>
        <w:t>）,能够实现市级应急管理视频和安监视频系统兼容接入，同时统一接入管理本次新建的8个视频会议信号。</w:t>
      </w:r>
    </w:p>
    <w:p>
      <w:pPr>
        <w:ind w:firstLine="480"/>
      </w:pPr>
      <w:r>
        <w:rPr>
          <w:rFonts w:hint="eastAsia"/>
        </w:rPr>
        <w:t>2、新建视频会议便捷管控平台，实现主会场和分会场的会议资源统一调度管理，</w:t>
      </w:r>
      <w:r>
        <w:rPr>
          <w:rFonts w:hint="eastAsia" w:ascii="宋体" w:hAnsi="宋体"/>
          <w:color w:val="000000"/>
        </w:rPr>
        <w:t>实现会前准备、会议预约、会前通知、会中控制、会后统计等功能。</w:t>
      </w:r>
    </w:p>
    <w:p>
      <w:pPr>
        <w:spacing w:line="276" w:lineRule="auto"/>
        <w:ind w:firstLine="480"/>
      </w:pPr>
    </w:p>
    <w:p>
      <w:pPr>
        <w:pStyle w:val="2"/>
      </w:pPr>
      <w:r>
        <w:rPr>
          <w:rFonts w:hint="eastAsia"/>
        </w:rPr>
        <w:t>建设方案</w:t>
      </w:r>
    </w:p>
    <w:p>
      <w:pPr>
        <w:pStyle w:val="3"/>
      </w:pPr>
      <w:bookmarkStart w:id="4" w:name="_Toc480980098"/>
      <w:r>
        <w:rPr>
          <w:rFonts w:hint="eastAsia"/>
        </w:rPr>
        <w:t>整体拓扑设计</w:t>
      </w:r>
    </w:p>
    <w:p>
      <w:pPr>
        <w:ind w:firstLine="0" w:firstLineChars="0"/>
        <w:jc w:val="center"/>
      </w:pPr>
      <w:r>
        <w:drawing>
          <wp:inline distT="0" distB="0" distL="0" distR="0">
            <wp:extent cx="5274310" cy="3315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315335"/>
                    </a:xfrm>
                    <a:prstGeom prst="rect">
                      <a:avLst/>
                    </a:prstGeom>
                    <a:noFill/>
                  </pic:spPr>
                </pic:pic>
              </a:graphicData>
            </a:graphic>
          </wp:inline>
        </w:drawing>
      </w:r>
    </w:p>
    <w:p>
      <w:pPr>
        <w:ind w:firstLine="0" w:firstLineChars="0"/>
        <w:jc w:val="center"/>
      </w:pPr>
      <w:r>
        <w:rPr>
          <w:rFonts w:hint="eastAsia"/>
        </w:rPr>
        <w:t>图：整体拓扑设计</w:t>
      </w:r>
    </w:p>
    <w:p>
      <w:pPr>
        <w:pStyle w:val="3"/>
      </w:pPr>
      <w:r>
        <w:rPr>
          <w:rFonts w:hint="eastAsia"/>
        </w:rPr>
        <w:t>区应急管理局与8个乡镇分中心的联网组图</w:t>
      </w:r>
    </w:p>
    <w:p>
      <w:pPr>
        <w:ind w:firstLine="600"/>
      </w:pPr>
      <w:r>
        <w:rPr>
          <w:rFonts w:hint="eastAsia" w:ascii="仿宋" w:hAnsi="仿宋" w:eastAsia="仿宋" w:cs="仿宋"/>
          <w:color w:val="FF0000"/>
          <w:sz w:val="30"/>
          <w:szCs w:val="30"/>
        </w:rPr>
        <w:drawing>
          <wp:inline distT="0" distB="0" distL="114300" distR="114300">
            <wp:extent cx="5272405" cy="7152640"/>
            <wp:effectExtent l="0" t="0" r="10795" b="10160"/>
            <wp:docPr id="6" name="图片 6" descr="WechatIMG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76"/>
                    <pic:cNvPicPr>
                      <a:picLocks noChangeAspect="1"/>
                    </pic:cNvPicPr>
                  </pic:nvPicPr>
                  <pic:blipFill>
                    <a:blip r:embed="rId11"/>
                    <a:stretch>
                      <a:fillRect/>
                    </a:stretch>
                  </pic:blipFill>
                  <pic:spPr>
                    <a:xfrm>
                      <a:off x="0" y="0"/>
                      <a:ext cx="5272405" cy="7152640"/>
                    </a:xfrm>
                    <a:prstGeom prst="rect">
                      <a:avLst/>
                    </a:prstGeom>
                  </pic:spPr>
                </pic:pic>
              </a:graphicData>
            </a:graphic>
          </wp:inline>
        </w:drawing>
      </w:r>
    </w:p>
    <w:p>
      <w:pPr>
        <w:pStyle w:val="3"/>
      </w:pPr>
      <w:r>
        <w:rPr>
          <w:rFonts w:hint="eastAsia"/>
        </w:rPr>
        <w:t>视频会议分中心场所建设</w:t>
      </w:r>
      <w:bookmarkEnd w:id="4"/>
    </w:p>
    <w:p>
      <w:pPr>
        <w:ind w:firstLine="480"/>
      </w:pPr>
      <w:r>
        <w:rPr>
          <w:rFonts w:hint="eastAsia"/>
        </w:rPr>
        <w:t>本次新建的8个乡镇视频会议分中心以控制为中心，通过网络将场所中各个系统有机的联合在一起，对各种音视频信号、计算机信号及多媒体信号进行控制、通过显示系统、数字会议系统满足指挥的要求，实现本地、远程的灵活控制，实现智能化、一体化管理。场所包括显示系统、会议音响系统、综合布线系统、供电系统、集中控制系统等。</w:t>
      </w:r>
    </w:p>
    <w:p>
      <w:pPr>
        <w:ind w:firstLine="480"/>
      </w:pPr>
      <w:r>
        <w:rPr>
          <w:rFonts w:hint="eastAsia"/>
        </w:rPr>
        <w:t>建设设计内容包括装修、大屏显示系统、中央控制系统、信号切换系统等其他配套系统。应急指挥场所包含显示系统、音响与数字会议系统、会议控制系统、综合布线系统、供配电系统和防雷接地系统等建设内容。</w:t>
      </w:r>
    </w:p>
    <w:p>
      <w:pPr>
        <w:ind w:firstLine="480"/>
      </w:pPr>
      <w:r>
        <w:rPr>
          <w:rFonts w:hint="eastAsia"/>
        </w:rPr>
        <w:t>为满足日常应急管理和处置突发事件的需要，提供应急值守和指挥会商的基本条件。主要表现在：</w:t>
      </w:r>
    </w:p>
    <w:p>
      <w:pPr>
        <w:ind w:firstLine="480"/>
      </w:pPr>
      <w:r>
        <w:rPr>
          <w:rFonts w:hint="eastAsia"/>
        </w:rPr>
        <w:t>（1）、具备应急值守信息收集、指挥、会商的场所。</w:t>
      </w:r>
    </w:p>
    <w:p>
      <w:pPr>
        <w:ind w:firstLine="480"/>
      </w:pPr>
      <w:r>
        <w:rPr>
          <w:rFonts w:hint="eastAsia"/>
        </w:rPr>
        <w:t>（2）、具备应急指挥场所要求的应用环境，包括大屏显示系统、视频会议系统、会议大厅会议讨论和控制系统、计算机网络系统等。</w:t>
      </w:r>
    </w:p>
    <w:p>
      <w:pPr>
        <w:ind w:firstLine="480"/>
      </w:pPr>
      <w:r>
        <w:rPr>
          <w:rFonts w:hint="eastAsia"/>
        </w:rPr>
        <w:t>（3）与省、市、区、各镇、各有关部门应急管理视频会议、安监应急视频会议平台保持24小时联络畅通。</w:t>
      </w:r>
    </w:p>
    <w:p>
      <w:pPr>
        <w:pStyle w:val="4"/>
      </w:pPr>
      <w:r>
        <w:rPr>
          <w:rFonts w:hint="eastAsia"/>
        </w:rPr>
        <w:t>指挥大厅的设备的布局</w:t>
      </w:r>
    </w:p>
    <w:p>
      <w:pPr>
        <w:ind w:firstLine="480"/>
      </w:pPr>
      <w:r>
        <w:rPr>
          <w:rFonts w:hint="eastAsia"/>
        </w:rPr>
        <w:t>视频会议乡镇分中心需要方便地观看大屏幕图像和进行信息对比、分析，满足应急指挥及研讨会商需求，在会商台前方设置大屏幕显示系统。会商台的座席设置应满足观看大屏幕显示图像的视角需求。主席位独立设有1个网络接口、1个电源接口、1个HDMI接口、1个麦克风接口、1个AV接口）。主席位左右两侧每两个席位设置一个信息点，共5组信息点，其它各桌面设置共4套5组信息点；</w:t>
      </w:r>
    </w:p>
    <w:p>
      <w:pPr>
        <w:ind w:firstLine="480"/>
      </w:pPr>
      <w:r>
        <w:rPr>
          <w:rFonts w:hint="eastAsia"/>
        </w:rPr>
        <w:t>在视频会商室配备1套可以覆盖整个会商区的高清视频会议摄像机，整合现有三防视频会议设备，供领导直接进行会商、指挥调度使用。</w:t>
      </w:r>
    </w:p>
    <w:p>
      <w:pPr>
        <w:pStyle w:val="4"/>
      </w:pPr>
      <w:r>
        <w:rPr>
          <w:rFonts w:hint="eastAsia"/>
        </w:rPr>
        <w:t>应急指挥大厅整体设计思路</w:t>
      </w:r>
    </w:p>
    <w:p>
      <w:pPr>
        <w:ind w:firstLine="480"/>
      </w:pPr>
      <w:r>
        <w:t>指挥场所是由一系列独立的视、音频系统，以及对它们进行控制的集中控制系统和场所保障环境组成的安全的、智能化</w:t>
      </w:r>
      <w:r>
        <w:rPr>
          <w:rFonts w:hint="eastAsia"/>
        </w:rPr>
        <w:t>视频会议</w:t>
      </w:r>
      <w:r>
        <w:t>环境，包括显示系统、</w:t>
      </w:r>
      <w:r>
        <w:rPr>
          <w:rFonts w:hint="eastAsia"/>
        </w:rPr>
        <w:t>音响与数字</w:t>
      </w:r>
      <w:r>
        <w:t>会议系统、集中制</w:t>
      </w:r>
      <w:r>
        <w:rPr>
          <w:rFonts w:hint="eastAsia"/>
        </w:rPr>
        <w:t>系统</w:t>
      </w:r>
      <w:r>
        <w:t>、综合布线</w:t>
      </w:r>
      <w:r>
        <w:rPr>
          <w:rFonts w:hint="eastAsia"/>
        </w:rPr>
        <w:t>系统</w:t>
      </w:r>
      <w:r>
        <w:t>、供</w:t>
      </w:r>
      <w:r>
        <w:rPr>
          <w:rFonts w:hint="eastAsia"/>
        </w:rPr>
        <w:t>配</w:t>
      </w:r>
      <w:r>
        <w:t>电系统</w:t>
      </w:r>
      <w:r>
        <w:rPr>
          <w:rFonts w:hint="eastAsia"/>
        </w:rPr>
        <w:t>和场所安防系统</w:t>
      </w:r>
      <w:r>
        <w:t>等</w:t>
      </w:r>
      <w:r>
        <w:rPr>
          <w:rFonts w:hint="eastAsia"/>
        </w:rPr>
        <w:t>系统</w:t>
      </w:r>
      <w:r>
        <w:t>。</w:t>
      </w:r>
    </w:p>
    <w:p>
      <w:pPr>
        <w:ind w:firstLine="480"/>
      </w:pPr>
      <w:r>
        <w:rPr>
          <w:rFonts w:hint="eastAsia"/>
        </w:rPr>
        <w:t>场所</w:t>
      </w:r>
      <w:r>
        <w:t>总体设计上采用以集中控制为中心的网络化多媒体指挥环境的整体设计思想，通过综合布线对各种音视频信号的集中交换与处理，并对各种</w:t>
      </w:r>
      <w:r>
        <w:rPr>
          <w:rFonts w:hint="eastAsia"/>
        </w:rPr>
        <w:t>显示</w:t>
      </w:r>
      <w:r>
        <w:t>、矩阵、功放等多媒体设备进行必要的集成，实现本地、远程分散/集中的</w:t>
      </w:r>
      <w:r>
        <w:rPr>
          <w:rFonts w:hint="eastAsia"/>
        </w:rPr>
        <w:t>会议视频</w:t>
      </w:r>
      <w:r>
        <w:t>应用对音视频的需要，从而达到实现网络化、一体化管理的整体目标。</w:t>
      </w:r>
    </w:p>
    <w:p>
      <w:pPr>
        <w:pStyle w:val="3"/>
      </w:pPr>
      <w:bookmarkStart w:id="5" w:name="_Toc240361270"/>
      <w:bookmarkStart w:id="6" w:name="_Toc238989615"/>
      <w:bookmarkStart w:id="7" w:name="_Toc242072743"/>
      <w:bookmarkStart w:id="8" w:name="_Toc480980099"/>
      <w:r>
        <w:rPr>
          <w:rFonts w:hint="eastAsia"/>
        </w:rPr>
        <w:t>显示系统建设</w:t>
      </w:r>
      <w:bookmarkEnd w:id="5"/>
      <w:bookmarkEnd w:id="6"/>
      <w:bookmarkEnd w:id="7"/>
      <w:bookmarkEnd w:id="8"/>
    </w:p>
    <w:p>
      <w:pPr>
        <w:pStyle w:val="4"/>
      </w:pPr>
      <w:r>
        <w:rPr>
          <w:rFonts w:hint="eastAsia"/>
        </w:rPr>
        <w:t>系统设计描述</w:t>
      </w:r>
    </w:p>
    <w:p>
      <w:pPr>
        <w:ind w:firstLine="480"/>
      </w:pPr>
      <w:r>
        <w:rPr>
          <w:rFonts w:hint="eastAsia"/>
        </w:rPr>
        <w:t>在</w:t>
      </w:r>
      <w:r>
        <w:t xml:space="preserve"> </w:t>
      </w:r>
      <w:r>
        <w:rPr>
          <w:rFonts w:hint="eastAsia"/>
        </w:rPr>
        <w:t>“技术先进、性能稳定、功能完善、操作方便、安全可靠、扩展方便”的设计目标下，本方案依据以下原则制订：</w:t>
      </w:r>
    </w:p>
    <w:p>
      <w:pPr>
        <w:ind w:firstLine="480"/>
      </w:pPr>
      <w:r>
        <w:t>1</w:t>
      </w:r>
      <w:r>
        <w:rPr>
          <w:rFonts w:hint="eastAsia"/>
        </w:rPr>
        <w:t>、可靠性高，安全性高，操纵灵活，容易扩展，方便整合</w:t>
      </w:r>
    </w:p>
    <w:p>
      <w:pPr>
        <w:ind w:firstLine="480"/>
      </w:pPr>
      <w:r>
        <w:t>2</w:t>
      </w:r>
      <w:r>
        <w:rPr>
          <w:rFonts w:hint="eastAsia"/>
        </w:rPr>
        <w:t>、图像显示效果清晰稳定，</w:t>
      </w:r>
      <w:r>
        <w:t>7X24</w:t>
      </w:r>
      <w:r>
        <w:rPr>
          <w:rFonts w:hint="eastAsia"/>
        </w:rPr>
        <w:t>小时运行</w:t>
      </w:r>
    </w:p>
    <w:p>
      <w:pPr>
        <w:ind w:firstLine="480"/>
      </w:pPr>
      <w:r>
        <w:t>3</w:t>
      </w:r>
      <w:r>
        <w:rPr>
          <w:rFonts w:hint="eastAsia"/>
        </w:rPr>
        <w:t>、各种显示信号的接入能力</w:t>
      </w:r>
    </w:p>
    <w:p>
      <w:pPr>
        <w:ind w:firstLine="480"/>
      </w:pPr>
      <w:r>
        <w:t>4</w:t>
      </w:r>
      <w:r>
        <w:rPr>
          <w:rFonts w:hint="eastAsia"/>
        </w:rPr>
        <w:t>、统一显示和功能分区显示</w:t>
      </w:r>
    </w:p>
    <w:p>
      <w:pPr>
        <w:ind w:firstLine="480"/>
      </w:pPr>
      <w:r>
        <w:t>5</w:t>
      </w:r>
      <w:r>
        <w:rPr>
          <w:rFonts w:hint="eastAsia"/>
        </w:rPr>
        <w:t>、统一管理和分区独立管理</w:t>
      </w:r>
    </w:p>
    <w:p>
      <w:pPr>
        <w:spacing w:line="276" w:lineRule="auto"/>
        <w:ind w:firstLine="480"/>
      </w:pPr>
    </w:p>
    <w:p>
      <w:pPr>
        <w:pStyle w:val="4"/>
      </w:pPr>
      <w:r>
        <w:rPr>
          <w:rFonts w:hint="eastAsia"/>
        </w:rPr>
        <w:t>大屏系统组成</w:t>
      </w:r>
    </w:p>
    <w:p>
      <w:pPr>
        <w:spacing w:line="276" w:lineRule="auto"/>
        <w:ind w:firstLine="480"/>
      </w:pPr>
      <w:r>
        <w:rPr>
          <w:rFonts w:hint="eastAsia"/>
        </w:rPr>
        <w:t>根据项目建设要求，本方案建议提供的</w:t>
      </w:r>
      <w:r>
        <w:t>LCD</w:t>
      </w:r>
      <w:r>
        <w:rPr>
          <w:rFonts w:hint="eastAsia"/>
        </w:rPr>
        <w:t>大屏幕显示系统由以下部分组成：</w:t>
      </w:r>
    </w:p>
    <w:p>
      <w:pPr>
        <w:spacing w:line="276" w:lineRule="auto"/>
        <w:ind w:firstLine="480"/>
      </w:pPr>
      <w:r>
        <w:rPr>
          <w:rFonts w:hint="eastAsia"/>
        </w:rPr>
        <w:t>显示单元部分：</w:t>
      </w:r>
    </w:p>
    <w:p>
      <w:pPr>
        <w:numPr>
          <w:ilvl w:val="0"/>
          <w:numId w:val="5"/>
        </w:numPr>
        <w:ind w:firstLine="480" w:firstLineChars="0"/>
        <w:jc w:val="both"/>
      </w:pPr>
      <w:r>
        <w:rPr>
          <w:rFonts w:hint="eastAsia"/>
        </w:rPr>
        <w:t>由4台65英寸显示单元组成；</w:t>
      </w:r>
    </w:p>
    <w:p>
      <w:pPr>
        <w:numPr>
          <w:ilvl w:val="0"/>
          <w:numId w:val="5"/>
        </w:numPr>
        <w:ind w:firstLine="480" w:firstLineChars="0"/>
        <w:jc w:val="both"/>
      </w:pPr>
      <w:r>
        <w:rPr>
          <w:rFonts w:hint="eastAsia"/>
        </w:rPr>
        <w:t>拼接方式：</w:t>
      </w:r>
      <w:r>
        <w:t xml:space="preserve"> </w:t>
      </w:r>
      <w:r>
        <w:rPr>
          <w:rFonts w:hint="eastAsia"/>
        </w:rPr>
        <w:t>2</w:t>
      </w:r>
      <w:r>
        <w:t xml:space="preserve"> </w:t>
      </w:r>
      <w:r>
        <w:rPr>
          <w:rFonts w:hint="eastAsia"/>
        </w:rPr>
        <w:t>行×</w:t>
      </w:r>
      <w:r>
        <w:t xml:space="preserve"> </w:t>
      </w:r>
      <w:r>
        <w:rPr>
          <w:rFonts w:hint="eastAsia"/>
        </w:rPr>
        <w:t>2</w:t>
      </w:r>
      <w:r>
        <w:t xml:space="preserve"> </w:t>
      </w:r>
      <w:r>
        <w:rPr>
          <w:rFonts w:hint="eastAsia"/>
        </w:rPr>
        <w:t>列；</w:t>
      </w:r>
    </w:p>
    <w:p>
      <w:pPr>
        <w:ind w:firstLine="480"/>
      </w:pPr>
      <w:r>
        <w:rPr>
          <w:rFonts w:hint="eastAsia"/>
        </w:rPr>
        <w:t>信号处理配件部分：</w:t>
      </w:r>
    </w:p>
    <w:p>
      <w:pPr>
        <w:numPr>
          <w:ilvl w:val="0"/>
          <w:numId w:val="5"/>
        </w:numPr>
        <w:ind w:firstLine="480" w:firstLineChars="0"/>
        <w:jc w:val="both"/>
      </w:pPr>
      <w:r>
        <w:rPr>
          <w:rFonts w:hint="eastAsia"/>
        </w:rPr>
        <w:t>拼接支架及传输线缆</w:t>
      </w:r>
    </w:p>
    <w:p>
      <w:pPr>
        <w:numPr>
          <w:ilvl w:val="0"/>
          <w:numId w:val="5"/>
        </w:numPr>
        <w:ind w:firstLine="480" w:firstLineChars="0"/>
        <w:jc w:val="both"/>
      </w:pPr>
      <w:r>
        <w:rPr>
          <w:rFonts w:hint="eastAsia"/>
        </w:rPr>
        <w:t>按照目前拼接单元的尺寸：长</w:t>
      </w:r>
      <w:r>
        <w:t xml:space="preserve">   mm</w:t>
      </w:r>
      <w:r>
        <w:rPr>
          <w:rFonts w:hint="eastAsia"/>
        </w:rPr>
        <w:t>，宽</w:t>
      </w:r>
      <w:r>
        <w:t xml:space="preserve"> mm</w:t>
      </w:r>
      <w:r>
        <w:rPr>
          <w:rFonts w:hint="eastAsia"/>
        </w:rPr>
        <w:t>，厚</w:t>
      </w:r>
      <w:r>
        <w:t xml:space="preserve"> mm</w:t>
      </w:r>
      <w:r>
        <w:rPr>
          <w:rFonts w:hint="eastAsia"/>
        </w:rPr>
        <w:t>，可以计算出拼接显示墙的尺寸：</w:t>
      </w:r>
      <w:r>
        <w:t xml:space="preserve"> </w:t>
      </w:r>
    </w:p>
    <w:p>
      <w:pPr>
        <w:pStyle w:val="4"/>
      </w:pPr>
      <w:bookmarkStart w:id="9" w:name="_Toc4350"/>
      <w:bookmarkStart w:id="10" w:name="_Toc234903053"/>
      <w:r>
        <w:rPr>
          <w:rFonts w:hint="eastAsia"/>
        </w:rPr>
        <w:t>系统功能</w:t>
      </w:r>
      <w:bookmarkEnd w:id="9"/>
    </w:p>
    <w:bookmarkEnd w:id="10"/>
    <w:p>
      <w:pPr>
        <w:ind w:firstLine="482"/>
        <w:rPr>
          <w:b/>
          <w:bCs/>
        </w:rPr>
      </w:pPr>
      <w:bookmarkStart w:id="11" w:name="_Toc21422"/>
      <w:bookmarkStart w:id="12" w:name="_Toc237402644"/>
      <w:r>
        <w:rPr>
          <w:rFonts w:hint="eastAsia"/>
          <w:b/>
          <w:bCs/>
        </w:rPr>
        <w:t>全屏显示，高分辨率应用</w:t>
      </w:r>
      <w:bookmarkEnd w:id="11"/>
      <w:bookmarkEnd w:id="12"/>
      <w:r>
        <w:rPr>
          <w:rFonts w:hint="eastAsia"/>
          <w:b/>
          <w:bCs/>
        </w:rPr>
        <w:t>：</w:t>
      </w:r>
    </w:p>
    <w:p>
      <w:pPr>
        <w:ind w:firstLine="480"/>
      </w:pPr>
      <w:r>
        <w:rPr>
          <w:rFonts w:hint="eastAsia"/>
        </w:rPr>
        <w:t>全墙在多屏处理器的驱动下形成一个超高分辨率的统一显示平台，既可以全墙显示超高分辨率的大型完整的图形，也可以在上级领导来参观学习时方便快捷的实现显示标语、欢迎词或高分辨率的演示图片，各种信号以窗口形式显示，并可以在全墙范围内任意缩放、跨屏漫游。</w:t>
      </w:r>
      <w:bookmarkStart w:id="13" w:name="_Toc237402645"/>
    </w:p>
    <w:bookmarkEnd w:id="13"/>
    <w:p>
      <w:pPr>
        <w:pStyle w:val="4"/>
      </w:pPr>
      <w:r>
        <w:rPr>
          <w:rFonts w:hint="eastAsia"/>
        </w:rPr>
        <w:t xml:space="preserve">信号处理系统功能 </w:t>
      </w:r>
    </w:p>
    <w:p>
      <w:pPr>
        <w:ind w:firstLine="480"/>
      </w:pPr>
      <w:r>
        <w:rPr>
          <w:rFonts w:hint="eastAsia"/>
        </w:rPr>
        <w:t>对信号源进行完善的处理，包括转接、分配、切换、分割、多屏拼接等等，达到信号资源共享的目的，使显示系统能轻易地获取任意一个或多个所需的信号，满足各种不同功能的需要。它是整个多媒体展示系统灵活性、安全性的有力保证。各种视频信号可以分别显示在大屏幕及不同的显示终端上。</w:t>
      </w:r>
    </w:p>
    <w:p>
      <w:pPr>
        <w:spacing w:line="276" w:lineRule="auto"/>
        <w:ind w:firstLine="480"/>
      </w:pPr>
    </w:p>
    <w:p>
      <w:pPr>
        <w:pStyle w:val="3"/>
      </w:pPr>
      <w:bookmarkStart w:id="14" w:name="_Toc238989616"/>
      <w:bookmarkStart w:id="15" w:name="_Toc240361275"/>
      <w:bookmarkStart w:id="16" w:name="_Toc242072744"/>
      <w:bookmarkStart w:id="17" w:name="_Toc480980100"/>
      <w:r>
        <w:rPr>
          <w:rFonts w:hint="eastAsia"/>
        </w:rPr>
        <w:t>数字会议系统建设</w:t>
      </w:r>
      <w:bookmarkEnd w:id="14"/>
      <w:bookmarkEnd w:id="15"/>
      <w:bookmarkEnd w:id="16"/>
      <w:bookmarkEnd w:id="17"/>
    </w:p>
    <w:p>
      <w:pPr>
        <w:pStyle w:val="4"/>
      </w:pPr>
      <w:bookmarkStart w:id="18" w:name="_Toc240361276"/>
      <w:r>
        <w:rPr>
          <w:rFonts w:hint="eastAsia"/>
        </w:rPr>
        <w:t>系统描述</w:t>
      </w:r>
      <w:bookmarkEnd w:id="18"/>
    </w:p>
    <w:p>
      <w:pPr>
        <w:ind w:firstLine="480"/>
      </w:pPr>
      <w:r>
        <w:rPr>
          <w:rFonts w:hint="eastAsia"/>
        </w:rPr>
        <w:t>数字会议音响系统主要功能是在会议过程中对发言者的声音进行放大和传送，要求在各个位置都能够清晰地听到发言者的声音。声音效果要清晰明亮、饱满圆润，没有噪音干扰，不产生啸叫，既能够真实地再现发言者的声音又能够对声音进行修饰和润色。数字会议音响系统包括数字会议系统、扩声系统、自动跟踪系统、视频源系统。</w:t>
      </w:r>
    </w:p>
    <w:p>
      <w:pPr>
        <w:pStyle w:val="4"/>
      </w:pPr>
      <w:bookmarkStart w:id="19" w:name="_Toc240361277"/>
      <w:r>
        <w:rPr>
          <w:rFonts w:hint="eastAsia"/>
        </w:rPr>
        <w:t>功能要求</w:t>
      </w:r>
      <w:bookmarkEnd w:id="19"/>
    </w:p>
    <w:p>
      <w:pPr>
        <w:ind w:firstLine="480"/>
      </w:pPr>
      <w:r>
        <w:rPr>
          <w:rFonts w:hint="eastAsia"/>
        </w:rPr>
        <w:t>可以清晰地回放视频会议中的音频信号，满足视频会议应用中的音频对话要求；</w:t>
      </w:r>
    </w:p>
    <w:p>
      <w:pPr>
        <w:ind w:firstLine="480"/>
      </w:pPr>
      <w:r>
        <w:rPr>
          <w:rFonts w:hint="eastAsia"/>
        </w:rPr>
        <w:t>可以清晰扩声本地话筒的音频信号；</w:t>
      </w:r>
    </w:p>
    <w:p>
      <w:pPr>
        <w:ind w:firstLine="480"/>
      </w:pPr>
      <w:r>
        <w:rPr>
          <w:rFonts w:hint="eastAsia"/>
        </w:rPr>
        <w:t>可以清晰回放DVD的音频信号；</w:t>
      </w:r>
    </w:p>
    <w:p>
      <w:pPr>
        <w:ind w:firstLine="480"/>
      </w:pPr>
      <w:r>
        <w:rPr>
          <w:rFonts w:hint="eastAsia"/>
        </w:rPr>
        <w:t>可以回放计算机中播放文件附带的音频信号；</w:t>
      </w:r>
    </w:p>
    <w:p>
      <w:pPr>
        <w:ind w:firstLine="480"/>
      </w:pPr>
      <w:r>
        <w:rPr>
          <w:rFonts w:hint="eastAsia"/>
        </w:rPr>
        <w:t>可以通过摄像机并将所拍摄画面编码传送至远端会场。</w:t>
      </w:r>
    </w:p>
    <w:p>
      <w:pPr>
        <w:pStyle w:val="4"/>
      </w:pPr>
      <w:bookmarkStart w:id="20" w:name="_Toc240361278"/>
      <w:r>
        <w:rPr>
          <w:rFonts w:hint="eastAsia"/>
        </w:rPr>
        <w:t>性能要求</w:t>
      </w:r>
      <w:bookmarkEnd w:id="20"/>
    </w:p>
    <w:p>
      <w:pPr>
        <w:ind w:firstLine="480"/>
      </w:pPr>
      <w:r>
        <w:rPr>
          <w:rFonts w:hint="eastAsia"/>
        </w:rPr>
        <w:t>按照国家的要求，分中心音响系统应满足召开视频会议的要求，系统设计遵循：《GB/T 50314-2000智能建筑设计标准》和《GB/T 2887-2000电子计算机场地通用规范》。</w:t>
      </w:r>
    </w:p>
    <w:p>
      <w:pPr>
        <w:pStyle w:val="4"/>
      </w:pPr>
      <w:bookmarkStart w:id="21" w:name="_Toc240361279"/>
      <w:r>
        <w:rPr>
          <w:rFonts w:hint="eastAsia"/>
        </w:rPr>
        <w:t>建设方案</w:t>
      </w:r>
      <w:bookmarkEnd w:id="21"/>
    </w:p>
    <w:p>
      <w:pPr>
        <w:ind w:firstLine="480"/>
      </w:pPr>
      <w:r>
        <w:rPr>
          <w:rFonts w:hint="eastAsia"/>
        </w:rPr>
        <w:t>视频会议大厅主要用于处理突发事件、进行远程会商、本地讨论，场所的音响和数字会议系统要达到良好的拾音和播放效果。音响与数字会议系统是专业扩声系统在会议场所中的应用，通过电声设计控制和改善厅堂音质。完整的音响系统主要包括信号源设备、信号传输设备、信号处理设备和音箱声场。对于应急平台应急指挥场所，数字会议话筒完成会场声音的采集，转换成0dB的line声音；line声音输入调音台、数字音频处理器，数字音频处理器将各种输入声音进行增益及衰减处理，对多路声音进行编组；编组后的声音进行系统回声消除，再将声音进行效果、均衡、压限等处理，最后通过功放传到会场内安装的音箱。系统还设置录音系统对会议话音进行录制保存。</w:t>
      </w:r>
    </w:p>
    <w:p>
      <w:pPr>
        <w:ind w:firstLine="480"/>
        <w:rPr>
          <w:rFonts w:ascii="仿宋" w:hAnsi="仿宋" w:eastAsia="仿宋"/>
          <w:color w:val="000000"/>
          <w:sz w:val="28"/>
          <w:szCs w:val="28"/>
        </w:rPr>
      </w:pPr>
      <w:r>
        <w:rPr>
          <w:rFonts w:hint="eastAsia"/>
        </w:rPr>
        <w:t>根据系统中各部分功能及在系统架构中的位置，系统可分为拾音部分、调音部分、扩音部分、录音部分四部分。</w:t>
      </w:r>
      <w:r>
        <w:rPr>
          <w:rFonts w:ascii="仿宋" w:hAnsi="仿宋" w:eastAsia="仿宋"/>
          <w:color w:val="000000"/>
          <w:sz w:val="28"/>
          <w:szCs w:val="28"/>
        </w:rPr>
        <w:t xml:space="preserve"> </w:t>
      </w:r>
    </w:p>
    <w:p>
      <w:pPr>
        <w:ind w:firstLine="480"/>
      </w:pPr>
      <w:r>
        <w:rPr>
          <w:rFonts w:hint="eastAsia"/>
        </w:rPr>
        <w:t>大厅配备数字会议系统，会议系统要求配备高灵敏度的拾音、扩音、录音功能，能够清晰地采集发言者的声音；会议系统能够提供多种扩展功能，管理方便，稳定可靠；会议系统主机应具有一定的话筒冗余接入能力。会议单元以“手拉手”方式接入数字会议主机，配合集中控制系统，可以实现摄像跟踪功能。应急指挥厅采用1台模拟调音台及1台数字音频处理器组成一套音频信号处理系统，完成所有音频处理。会议发言话筒的音频信号首先经过模拟调音台，由模拟调音台对音频信号进行编组，对音质进行处理，然后输出给数字音频处理器扩声使用。在发言过程中，如果出现不同发言人员音量大小不同、音质需要修饰等情况时，都可先通过调音台的调节按钮进行微调，以达到最好的扩声效果。</w:t>
      </w:r>
    </w:p>
    <w:p>
      <w:pPr>
        <w:ind w:firstLine="480"/>
      </w:pPr>
      <w:r>
        <w:rPr>
          <w:rFonts w:hint="eastAsia"/>
        </w:rPr>
        <w:t>另外，DVD、录音机、CD机及有线电视等音频信号可以直接输入到数字音频处理器上，数字音频处理器上完成所有需要的音频处理后，输出到功放、视频会议、录音设备等。</w:t>
      </w:r>
    </w:p>
    <w:p>
      <w:pPr>
        <w:ind w:firstLine="480"/>
      </w:pPr>
      <w:r>
        <w:rPr>
          <w:rFonts w:hint="eastAsia"/>
        </w:rPr>
        <w:t>数字音频处理器由主机、功能模块、各种接口机等组成。数字音频处理器可利用计算机进行控制，也可以通过集中控制系统控制。中控系统主要控制调整音量、扩声模式调用。更为详细的控制利用控制计算机进行调控。</w:t>
      </w:r>
    </w:p>
    <w:p>
      <w:pPr>
        <w:ind w:firstLine="480"/>
      </w:pPr>
      <w:r>
        <w:rPr>
          <w:rFonts w:hint="eastAsia"/>
        </w:rPr>
        <w:t>扩声系统的音箱布置保证利用音箱的指向特性来覆盖听众席，所有的坐席位都能接收到均匀的声能。</w:t>
      </w:r>
    </w:p>
    <w:p>
      <w:pPr>
        <w:ind w:firstLine="480"/>
      </w:pPr>
      <w:r>
        <w:rPr>
          <w:rFonts w:hint="eastAsia"/>
        </w:rPr>
        <w:t>（1）左右主音箱的布置</w:t>
      </w:r>
    </w:p>
    <w:p>
      <w:pPr>
        <w:ind w:firstLine="480"/>
      </w:pPr>
      <w:r>
        <w:rPr>
          <w:rFonts w:hint="eastAsia"/>
        </w:rPr>
        <w:t>在大屏两侧共布置</w:t>
      </w:r>
      <w:r>
        <w:t>2</w:t>
      </w:r>
      <w:r>
        <w:rPr>
          <w:rFonts w:hint="eastAsia"/>
        </w:rPr>
        <w:t>只或4只主音箱，每侧各</w:t>
      </w:r>
      <w:r>
        <w:t>1</w:t>
      </w:r>
      <w:r>
        <w:rPr>
          <w:rFonts w:hint="eastAsia"/>
        </w:rPr>
        <w:t>只，每只主音箱都覆盖全场。</w:t>
      </w:r>
    </w:p>
    <w:p>
      <w:pPr>
        <w:ind w:firstLine="480"/>
      </w:pPr>
      <w:r>
        <w:rPr>
          <w:rFonts w:hint="eastAsia"/>
        </w:rPr>
        <w:t>（2）功放的匹配</w:t>
      </w:r>
    </w:p>
    <w:p>
      <w:pPr>
        <w:ind w:firstLine="480"/>
      </w:pPr>
      <w:r>
        <w:rPr>
          <w:rFonts w:hint="eastAsia"/>
        </w:rPr>
        <w:t>功放满足扩声需要，功放功率需具备充足余量。</w:t>
      </w:r>
    </w:p>
    <w:p>
      <w:pPr>
        <w:spacing w:line="276" w:lineRule="auto"/>
        <w:ind w:firstLine="480"/>
      </w:pPr>
    </w:p>
    <w:p>
      <w:pPr>
        <w:pStyle w:val="3"/>
      </w:pPr>
      <w:bookmarkStart w:id="22" w:name="_Toc242072753"/>
      <w:bookmarkStart w:id="23" w:name="_Toc240361305"/>
      <w:bookmarkStart w:id="24" w:name="_Toc238989625"/>
      <w:bookmarkStart w:id="25" w:name="_Toc480980107"/>
      <w:r>
        <w:rPr>
          <w:rFonts w:hint="eastAsia"/>
        </w:rPr>
        <w:t>视频会议系统建设</w:t>
      </w:r>
      <w:bookmarkEnd w:id="22"/>
      <w:bookmarkEnd w:id="23"/>
      <w:bookmarkEnd w:id="24"/>
      <w:bookmarkEnd w:id="25"/>
    </w:p>
    <w:p>
      <w:pPr>
        <w:pStyle w:val="4"/>
      </w:pPr>
      <w:bookmarkStart w:id="26" w:name="_Toc240361306"/>
      <w:r>
        <w:rPr>
          <w:rFonts w:hint="eastAsia"/>
        </w:rPr>
        <w:t>实施方案描述</w:t>
      </w:r>
      <w:bookmarkEnd w:id="26"/>
    </w:p>
    <w:p>
      <w:pPr>
        <w:ind w:firstLine="480"/>
      </w:pPr>
      <w:r>
        <w:rPr>
          <w:rFonts w:hint="eastAsia"/>
        </w:rPr>
        <w:t>本次在乡镇分中心布设，通过综合布线，并且布设视频会议前端拾音、视频摄像设备，同新建的大屏显示系统和数字会议系统整合起来，可以实现应急管理局与辖区内各镇、各有关部门应急视频会议平台保持24小时联络畅通。</w:t>
      </w:r>
    </w:p>
    <w:p>
      <w:pPr>
        <w:pStyle w:val="4"/>
      </w:pPr>
      <w:bookmarkStart w:id="27" w:name="_Toc240361307"/>
      <w:r>
        <w:rPr>
          <w:rFonts w:hint="eastAsia"/>
        </w:rPr>
        <w:t>建设要求</w:t>
      </w:r>
      <w:bookmarkEnd w:id="27"/>
    </w:p>
    <w:p>
      <w:pPr>
        <w:ind w:firstLine="480"/>
      </w:pPr>
      <w:r>
        <w:rPr>
          <w:rFonts w:hint="eastAsia"/>
        </w:rPr>
        <w:t>（1）多种会议控制模式</w:t>
      </w:r>
    </w:p>
    <w:p>
      <w:pPr>
        <w:ind w:firstLine="480"/>
      </w:pPr>
      <w:r>
        <w:rPr>
          <w:rFonts w:hint="eastAsia"/>
        </w:rPr>
        <w:t>可以在清新区全区范围内，召开双向视频会议。支持视频会议管理人员通过控制终端进行视频会议的集中控制和管理。提供多种会议控制模式（主席控制、导演控制语音激励、自动轮巡等模式）供选择使用。</w:t>
      </w:r>
    </w:p>
    <w:p>
      <w:pPr>
        <w:ind w:firstLine="480"/>
      </w:pPr>
      <w:r>
        <w:rPr>
          <w:rFonts w:hint="eastAsia" w:ascii="宋体" w:hAnsi="宋体"/>
        </w:rPr>
        <w:t>实现省、市、区、镇四级应急管理视频会议和安全生产监督视频会议平台互联互通，应满足与省、市、区应急平台视频会议系统级联和管理的要求。</w:t>
      </w:r>
    </w:p>
    <w:p>
      <w:pPr>
        <w:ind w:firstLine="480"/>
      </w:pPr>
      <w:r>
        <w:rPr>
          <w:rFonts w:hint="eastAsia"/>
        </w:rPr>
        <w:t>（2）同时召开多组会议</w:t>
      </w:r>
    </w:p>
    <w:p>
      <w:pPr>
        <w:ind w:firstLine="480"/>
      </w:pPr>
      <w:r>
        <w:rPr>
          <w:rFonts w:hint="eastAsia"/>
        </w:rPr>
        <w:t>支持召开多组会议，在同一时刻可召开多个视频会议，相互之间不干扰。满足不同应急平台同时召开多组视频会议的要求。</w:t>
      </w:r>
    </w:p>
    <w:p>
      <w:pPr>
        <w:ind w:firstLine="480"/>
      </w:pPr>
      <w:r>
        <w:rPr>
          <w:rFonts w:hint="eastAsia"/>
        </w:rPr>
        <w:t>（3）多画面会议</w:t>
      </w:r>
    </w:p>
    <w:p>
      <w:pPr>
        <w:ind w:firstLine="480"/>
      </w:pPr>
      <w:r>
        <w:rPr>
          <w:rFonts w:hint="eastAsia"/>
        </w:rPr>
        <w:t>具有4分屏以上多画面显示功能，可以随意选择每个子画面，随意设置某个分会场在多画面的位置，子画面的切换可通过轮巡或语音激励方式实现。</w:t>
      </w:r>
    </w:p>
    <w:p>
      <w:pPr>
        <w:ind w:firstLine="480"/>
      </w:pPr>
      <w:r>
        <w:rPr>
          <w:rFonts w:hint="eastAsia"/>
        </w:rPr>
        <w:t>（4）会议控制功能</w:t>
      </w:r>
    </w:p>
    <w:p>
      <w:pPr>
        <w:ind w:firstLine="480"/>
      </w:pPr>
      <w:r>
        <w:rPr>
          <w:rFonts w:hint="eastAsia"/>
        </w:rPr>
        <w:t>支持指定/取消主席、发言申请、字幕设置、广播会场、多分屏设置和轮巡、会场静音和闭音、添加/删除会场、呼叫/挂断会场、会议召集、掉线重邀、主场轮巡、广播轮巡、终端控制等。</w:t>
      </w:r>
    </w:p>
    <w:p>
      <w:pPr>
        <w:ind w:firstLine="480"/>
      </w:pPr>
      <w:r>
        <w:rPr>
          <w:rFonts w:hint="eastAsia"/>
        </w:rPr>
        <w:t>（5）双视频图像传送</w:t>
      </w:r>
    </w:p>
    <w:p>
      <w:pPr>
        <w:ind w:firstLine="480"/>
      </w:pPr>
      <w:r>
        <w:rPr>
          <w:rFonts w:hint="eastAsia"/>
        </w:rPr>
        <w:t>视频会议终端支持同时传送2路视频图像，可以是本会场的2路录像信号，也可以是本会场的1路录像信号和会场外的1路视频信号（如监控录像或现场传过来的实时图像等）。</w:t>
      </w:r>
    </w:p>
    <w:p>
      <w:pPr>
        <w:ind w:firstLine="480"/>
      </w:pPr>
      <w:r>
        <w:rPr>
          <w:rFonts w:hint="eastAsia"/>
        </w:rPr>
        <w:t>（6）计算机显示信号和视频信号同时传送</w:t>
      </w:r>
    </w:p>
    <w:p>
      <w:pPr>
        <w:ind w:firstLine="480"/>
      </w:pPr>
      <w:r>
        <w:rPr>
          <w:rFonts w:hint="eastAsia"/>
        </w:rPr>
        <w:t>支持计算机显示信号和视频信号的同时传送，在视频会议过程中可以根据需要通过会议终端接入计算机显示信号，把文档、运算分析结果、图片等信息传递给参加会议的各个会场。计算机显示信号与视频信号的同时传送，实现计算机显示信号的共享。</w:t>
      </w:r>
    </w:p>
    <w:p>
      <w:pPr>
        <w:ind w:firstLine="480"/>
      </w:pPr>
      <w:r>
        <w:rPr>
          <w:rFonts w:hint="eastAsia"/>
        </w:rPr>
        <w:t>（7）协议兼容</w:t>
      </w:r>
    </w:p>
    <w:p>
      <w:pPr>
        <w:ind w:firstLine="480"/>
      </w:pPr>
      <w:r>
        <w:rPr>
          <w:rFonts w:hint="eastAsia"/>
        </w:rPr>
        <w:t>兼容主流的音视频协议；与大屏显示等系统紧密配合，具有清晰的显示效果，支持多种画面格式和多画面同时显示功能。</w:t>
      </w:r>
    </w:p>
    <w:p>
      <w:pPr>
        <w:ind w:firstLine="480"/>
      </w:pPr>
      <w:r>
        <w:rPr>
          <w:rFonts w:hint="eastAsia"/>
        </w:rPr>
        <w:t>（8）速率适配</w:t>
      </w:r>
    </w:p>
    <w:p>
      <w:pPr>
        <w:ind w:firstLine="480"/>
      </w:pPr>
      <w:r>
        <w:rPr>
          <w:rFonts w:hint="eastAsia"/>
        </w:rPr>
        <w:t>支持不同速率的适配（传输带宽范围从128Kb/s到2Mb/s），允许不同速率的视频会议终端参加同一会议。在召开较大范围内、或远距离的视频会议时，受网络状况、通信线路等情况的限制，整个会议系统无法保证统一的质量。为了保证应急会议的召开，需要允许采用不同速率的分会场加入会议。</w:t>
      </w:r>
    </w:p>
    <w:p>
      <w:pPr>
        <w:ind w:firstLine="480"/>
      </w:pPr>
      <w:r>
        <w:rPr>
          <w:rFonts w:hint="eastAsia"/>
        </w:rPr>
        <w:t>（9）资料保存</w:t>
      </w:r>
    </w:p>
    <w:p>
      <w:pPr>
        <w:ind w:firstLine="480"/>
      </w:pPr>
      <w:r>
        <w:rPr>
          <w:rFonts w:hint="eastAsia"/>
        </w:rPr>
        <w:t>视频会议系统的图像资料要按照相关要求保存，需要作为案例的，归入案例库进行保存。</w:t>
      </w:r>
    </w:p>
    <w:p>
      <w:pPr>
        <w:ind w:firstLine="480"/>
      </w:pPr>
      <w:r>
        <w:rPr>
          <w:rFonts w:hint="eastAsia"/>
        </w:rPr>
        <w:t>（10）资料录播功能</w:t>
      </w:r>
    </w:p>
    <w:p>
      <w:pPr>
        <w:ind w:firstLine="480"/>
      </w:pPr>
      <w:r>
        <w:rPr>
          <w:rFonts w:hint="eastAsia"/>
        </w:rPr>
        <w:t>能录制会议视频；利用组播技术，IP网上授权用户可通过播放器软件实时收看会议实况。</w:t>
      </w:r>
    </w:p>
    <w:p>
      <w:pPr>
        <w:ind w:firstLine="480"/>
      </w:pPr>
      <w:r>
        <w:rPr>
          <w:rFonts w:hint="eastAsia"/>
        </w:rPr>
        <w:t>（11）召开语音会议</w:t>
      </w:r>
    </w:p>
    <w:p>
      <w:pPr>
        <w:ind w:firstLine="480"/>
      </w:pPr>
      <w:r>
        <w:rPr>
          <w:rFonts w:hint="eastAsia"/>
        </w:rPr>
        <w:t>保障清晰稳定的语音通信。能够与电话系统和无线通信系统等互通，实现IP话机和普通话机接入。可以召开普通电话（或IP电话）与视频终端混合会议，满足特殊情况下的需要。</w:t>
      </w:r>
    </w:p>
    <w:p>
      <w:pPr>
        <w:pStyle w:val="4"/>
      </w:pPr>
      <w:bookmarkStart w:id="28" w:name="_Toc240361308"/>
      <w:r>
        <w:rPr>
          <w:rFonts w:hint="eastAsia"/>
        </w:rPr>
        <w:t>建设方案</w:t>
      </w:r>
      <w:bookmarkEnd w:id="28"/>
    </w:p>
    <w:p>
      <w:pPr>
        <w:ind w:firstLine="480"/>
      </w:pPr>
      <w:r>
        <w:rPr>
          <w:rFonts w:hint="eastAsia"/>
        </w:rPr>
        <w:t>服务器和网络通信现状，通过综合布线，迁移现有安监视频会议前端拾音、视频摄像设备，同新建的大屏显示系统和数字会议系统整合起来，可以实现应急管理局与辖区内各镇、各有关部门应急视频会议平台保持24小时联络畅通。</w:t>
      </w:r>
    </w:p>
    <w:p>
      <w:pPr>
        <w:spacing w:line="276" w:lineRule="auto"/>
        <w:ind w:firstLine="480"/>
      </w:pPr>
    </w:p>
    <w:p>
      <w:pPr>
        <w:pStyle w:val="3"/>
      </w:pPr>
      <w:bookmarkStart w:id="29" w:name="_Toc238989618"/>
      <w:bookmarkStart w:id="30" w:name="_Toc480980102"/>
      <w:bookmarkStart w:id="31" w:name="_Toc240361284"/>
      <w:bookmarkStart w:id="32" w:name="_Toc242072746"/>
      <w:r>
        <w:rPr>
          <w:rFonts w:hint="eastAsia"/>
        </w:rPr>
        <w:t>智能化及计算机网络系统</w:t>
      </w:r>
    </w:p>
    <w:p>
      <w:pPr>
        <w:ind w:firstLine="480"/>
      </w:pPr>
      <w:r>
        <w:rPr>
          <w:rFonts w:hint="eastAsia"/>
        </w:rPr>
        <w:t>每个分中心，需要部署接入交换机和硬件防火墙。</w:t>
      </w:r>
    </w:p>
    <w:p>
      <w:pPr>
        <w:ind w:firstLine="480"/>
      </w:pPr>
      <w:r>
        <w:rPr>
          <w:rFonts w:hint="eastAsia"/>
        </w:rPr>
        <w:t>其中接入交换机用来接入光纤专线，并连通分中心的视频会议、视频和音频系统，实现I</w:t>
      </w:r>
      <w:r>
        <w:t>P</w:t>
      </w:r>
      <w:r>
        <w:rPr>
          <w:rFonts w:hint="eastAsia"/>
        </w:rPr>
        <w:t>化的双向传输网络。</w:t>
      </w:r>
    </w:p>
    <w:p>
      <w:pPr>
        <w:ind w:firstLine="480"/>
        <w:rPr>
          <w:rFonts w:hint="eastAsia"/>
        </w:rPr>
      </w:pPr>
      <w:r>
        <w:rPr>
          <w:rFonts w:hint="eastAsia"/>
        </w:rPr>
        <w:t>考虑到后续需要接入的其他的信息化系统和网络，本次方案需要硬件防火墙。</w:t>
      </w:r>
    </w:p>
    <w:p>
      <w:pPr>
        <w:pStyle w:val="3"/>
      </w:pPr>
      <w:r>
        <w:rPr>
          <w:rFonts w:hint="eastAsia"/>
        </w:rPr>
        <w:t>综合布线</w:t>
      </w:r>
      <w:bookmarkEnd w:id="29"/>
      <w:bookmarkEnd w:id="30"/>
      <w:bookmarkEnd w:id="31"/>
      <w:bookmarkEnd w:id="32"/>
      <w:r>
        <w:rPr>
          <w:rFonts w:hint="eastAsia"/>
        </w:rPr>
        <w:t>工程</w:t>
      </w:r>
    </w:p>
    <w:p>
      <w:pPr>
        <w:pStyle w:val="4"/>
      </w:pPr>
      <w:bookmarkStart w:id="33" w:name="_Toc240361285"/>
      <w:r>
        <w:rPr>
          <w:rFonts w:hint="eastAsia"/>
        </w:rPr>
        <w:t>系统描述</w:t>
      </w:r>
      <w:bookmarkEnd w:id="33"/>
    </w:p>
    <w:p>
      <w:pPr>
        <w:ind w:firstLine="480"/>
      </w:pPr>
      <w:r>
        <w:rPr>
          <w:rFonts w:hint="eastAsia"/>
        </w:rPr>
        <w:t>综合布线系统工程是一个用于传输语音、数据、影像和其他信息的标准结构化布线系统和工程实施工作，是视频会议大厅的传输网络的部署实施，它使语音和数据通信设备、交换设备和其他信息管理系统彼此相连接，综合布线，所用线缆包括数据线路、语音线路、音视频线、控制线等多种。</w:t>
      </w:r>
    </w:p>
    <w:p>
      <w:pPr>
        <w:spacing w:line="276" w:lineRule="auto"/>
        <w:ind w:firstLine="480"/>
        <w:rPr>
          <w:rFonts w:ascii="宋体" w:hAnsi="宋体"/>
        </w:rPr>
      </w:pPr>
    </w:p>
    <w:p>
      <w:pPr>
        <w:pStyle w:val="4"/>
      </w:pPr>
      <w:r>
        <w:rPr>
          <w:rFonts w:hint="eastAsia"/>
        </w:rPr>
        <w:t>信息点计算</w:t>
      </w:r>
    </w:p>
    <w:p>
      <w:pPr>
        <w:pStyle w:val="12"/>
        <w:spacing w:line="276" w:lineRule="auto"/>
        <w:ind w:firstLine="480"/>
        <w:jc w:val="center"/>
        <w:rPr>
          <w:rFonts w:ascii="宋体" w:hAnsi="宋体" w:eastAsia="宋体"/>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6"/>
        <w:gridCol w:w="1446"/>
        <w:gridCol w:w="1446"/>
        <w:gridCol w:w="165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6" w:type="dxa"/>
            <w:tcBorders>
              <w:top w:val="single" w:color="auto" w:sz="4" w:space="0"/>
              <w:left w:val="single" w:color="auto" w:sz="4" w:space="0"/>
              <w:bottom w:val="single" w:color="auto" w:sz="4" w:space="0"/>
              <w:right w:val="single" w:color="auto" w:sz="4" w:space="0"/>
            </w:tcBorders>
          </w:tcPr>
          <w:p>
            <w:pPr>
              <w:pStyle w:val="32"/>
              <w:spacing w:line="276" w:lineRule="auto"/>
              <w:ind w:firstLine="480"/>
              <w:jc w:val="both"/>
            </w:pPr>
            <w:r>
              <w:rPr>
                <w:rFonts w:hint="eastAsia"/>
              </w:rPr>
              <w:t>房间名称</w:t>
            </w:r>
          </w:p>
        </w:tc>
        <w:tc>
          <w:tcPr>
            <w:tcW w:w="1446"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both"/>
            </w:pPr>
            <w:r>
              <w:rPr>
                <w:rFonts w:hint="eastAsia"/>
              </w:rPr>
              <w:t>数据点数量</w:t>
            </w:r>
          </w:p>
        </w:tc>
        <w:tc>
          <w:tcPr>
            <w:tcW w:w="1446"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both"/>
            </w:pPr>
            <w:r>
              <w:rPr>
                <w:rFonts w:hint="eastAsia"/>
              </w:rPr>
              <w:t>语音点数量</w:t>
            </w:r>
          </w:p>
        </w:tc>
        <w:tc>
          <w:tcPr>
            <w:tcW w:w="1656"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both"/>
            </w:pPr>
            <w:r>
              <w:rPr>
                <w:rFonts w:hint="eastAsia"/>
              </w:rPr>
              <w:t>多媒体盒数量</w:t>
            </w:r>
          </w:p>
        </w:tc>
        <w:tc>
          <w:tcPr>
            <w:tcW w:w="1400"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both"/>
            </w:pPr>
            <w:r>
              <w:rPr>
                <w:rFonts w:hint="eastAsia"/>
              </w:rPr>
              <w:t>视频数量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6"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left"/>
            </w:pPr>
            <w:r>
              <w:rPr>
                <w:rFonts w:hint="eastAsia"/>
              </w:rPr>
              <w:t>乡镇分中心会议场所</w:t>
            </w:r>
          </w:p>
        </w:tc>
        <w:tc>
          <w:tcPr>
            <w:tcW w:w="144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rPr>
            </w:pPr>
            <w:r>
              <w:rPr>
                <w:rFonts w:hint="eastAsia" w:ascii="宋体" w:hAnsi="宋体"/>
                <w:lang w:val="en-GB"/>
              </w:rPr>
              <w:t>20</w:t>
            </w:r>
          </w:p>
        </w:tc>
        <w:tc>
          <w:tcPr>
            <w:tcW w:w="144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rPr>
            </w:pPr>
            <w:r>
              <w:rPr>
                <w:rFonts w:hint="eastAsia" w:ascii="宋体" w:hAnsi="宋体"/>
                <w:lang w:val="en-GB"/>
              </w:rPr>
              <w:t>10</w:t>
            </w:r>
          </w:p>
        </w:tc>
        <w:tc>
          <w:tcPr>
            <w:tcW w:w="165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rPr>
            </w:pPr>
            <w:r>
              <w:rPr>
                <w:rFonts w:hint="eastAsia" w:ascii="宋体" w:hAnsi="宋体"/>
                <w:lang w:val="en-GB"/>
              </w:rPr>
              <w:t>4</w:t>
            </w:r>
          </w:p>
        </w:tc>
        <w:tc>
          <w:tcPr>
            <w:tcW w:w="1400"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rPr>
            </w:pPr>
            <w:r>
              <w:rPr>
                <w:rFonts w:hint="eastAsia" w:ascii="宋体" w:hAnsi="宋体"/>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6" w:type="dxa"/>
            <w:tcBorders>
              <w:top w:val="single" w:color="auto" w:sz="4" w:space="0"/>
              <w:left w:val="single" w:color="auto" w:sz="4" w:space="0"/>
              <w:bottom w:val="single" w:color="auto" w:sz="4" w:space="0"/>
              <w:right w:val="single" w:color="auto" w:sz="4" w:space="0"/>
            </w:tcBorders>
          </w:tcPr>
          <w:p>
            <w:pPr>
              <w:pStyle w:val="32"/>
              <w:spacing w:line="276" w:lineRule="auto"/>
              <w:ind w:firstLine="0" w:firstLineChars="0"/>
              <w:jc w:val="left"/>
            </w:pPr>
            <w:r>
              <w:rPr>
                <w:rFonts w:hint="eastAsia"/>
              </w:rPr>
              <w:t>区二楼设备间</w:t>
            </w:r>
          </w:p>
        </w:tc>
        <w:tc>
          <w:tcPr>
            <w:tcW w:w="144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lang w:val="en-GB"/>
              </w:rPr>
            </w:pPr>
            <w:r>
              <w:rPr>
                <w:rFonts w:hint="eastAsia" w:ascii="宋体" w:hAnsi="宋体"/>
                <w:lang w:val="en-GB"/>
              </w:rPr>
              <w:t>10</w:t>
            </w:r>
          </w:p>
        </w:tc>
        <w:tc>
          <w:tcPr>
            <w:tcW w:w="144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lang w:val="en-GB"/>
              </w:rPr>
            </w:pPr>
            <w:r>
              <w:rPr>
                <w:rFonts w:hint="eastAsia" w:ascii="宋体" w:hAnsi="宋体"/>
                <w:lang w:val="en-GB"/>
              </w:rPr>
              <w:t>0</w:t>
            </w:r>
          </w:p>
        </w:tc>
        <w:tc>
          <w:tcPr>
            <w:tcW w:w="1656"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lang w:val="en-GB"/>
              </w:rPr>
            </w:pPr>
            <w:r>
              <w:rPr>
                <w:rFonts w:hint="eastAsia" w:ascii="宋体" w:hAnsi="宋体"/>
                <w:lang w:val="en-GB"/>
              </w:rPr>
              <w:t>0</w:t>
            </w:r>
          </w:p>
        </w:tc>
        <w:tc>
          <w:tcPr>
            <w:tcW w:w="1400" w:type="dxa"/>
            <w:tcBorders>
              <w:top w:val="single" w:color="auto" w:sz="4" w:space="0"/>
              <w:left w:val="single" w:color="auto" w:sz="4" w:space="0"/>
              <w:bottom w:val="single" w:color="auto" w:sz="4" w:space="0"/>
              <w:right w:val="single" w:color="auto" w:sz="4" w:space="0"/>
            </w:tcBorders>
          </w:tcPr>
          <w:p>
            <w:pPr>
              <w:spacing w:line="276" w:lineRule="auto"/>
              <w:ind w:firstLine="480"/>
              <w:rPr>
                <w:rFonts w:ascii="宋体" w:hAnsi="宋体"/>
                <w:lang w:val="en-GB"/>
              </w:rPr>
            </w:pPr>
            <w:r>
              <w:rPr>
                <w:rFonts w:hint="eastAsia" w:ascii="宋体" w:hAnsi="宋体"/>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6" w:type="dxa"/>
            <w:tcBorders>
              <w:top w:val="single" w:color="auto" w:sz="4" w:space="0"/>
              <w:left w:val="single" w:color="auto" w:sz="4" w:space="0"/>
              <w:bottom w:val="single" w:color="auto" w:sz="4" w:space="0"/>
              <w:right w:val="single" w:color="auto" w:sz="4" w:space="0"/>
            </w:tcBorders>
          </w:tcPr>
          <w:p>
            <w:pPr>
              <w:pStyle w:val="32"/>
              <w:spacing w:line="276" w:lineRule="auto"/>
              <w:ind w:firstLine="482"/>
              <w:jc w:val="left"/>
              <w:rPr>
                <w:b/>
                <w:bCs/>
              </w:rPr>
            </w:pPr>
            <w:r>
              <w:rPr>
                <w:rFonts w:hint="eastAsia"/>
                <w:b/>
                <w:bCs/>
              </w:rPr>
              <w:t>合计</w:t>
            </w:r>
          </w:p>
        </w:tc>
        <w:tc>
          <w:tcPr>
            <w:tcW w:w="144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宋体" w:hAnsi="宋体"/>
              </w:rPr>
            </w:pPr>
            <w:r>
              <w:rPr>
                <w:rFonts w:hint="eastAsia" w:ascii="宋体" w:hAnsi="宋体"/>
                <w:lang w:val="en-GB"/>
              </w:rPr>
              <w:t>30</w:t>
            </w:r>
          </w:p>
        </w:tc>
        <w:tc>
          <w:tcPr>
            <w:tcW w:w="144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宋体" w:hAnsi="宋体"/>
              </w:rPr>
            </w:pPr>
            <w:r>
              <w:rPr>
                <w:rFonts w:hint="eastAsia" w:ascii="宋体" w:hAnsi="宋体"/>
                <w:lang w:val="en-GB"/>
              </w:rPr>
              <w:t>10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宋体" w:hAnsi="宋体"/>
              </w:rPr>
            </w:pPr>
            <w:r>
              <w:rPr>
                <w:rFonts w:hint="eastAsia" w:ascii="宋体" w:hAnsi="宋体"/>
                <w:lang w:val="en-GB"/>
              </w:rPr>
              <w:t>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宋体" w:hAnsi="宋体"/>
              </w:rPr>
            </w:pPr>
            <w:r>
              <w:rPr>
                <w:rFonts w:hint="eastAsia" w:ascii="宋体" w:hAnsi="宋体"/>
                <w:lang w:val="en-GB"/>
              </w:rPr>
              <w:t>2</w:t>
            </w:r>
          </w:p>
        </w:tc>
      </w:tr>
    </w:tbl>
    <w:p>
      <w:pPr>
        <w:spacing w:line="276" w:lineRule="auto"/>
        <w:ind w:firstLine="480"/>
      </w:pPr>
    </w:p>
    <w:p>
      <w:pPr>
        <w:pStyle w:val="3"/>
      </w:pPr>
      <w:r>
        <w:rPr>
          <w:rFonts w:hint="eastAsia"/>
        </w:rPr>
        <w:t>通信网络建设</w:t>
      </w:r>
    </w:p>
    <w:p>
      <w:pPr>
        <w:ind w:firstLine="480"/>
      </w:pPr>
      <w:r>
        <w:rPr>
          <w:rFonts w:hint="eastAsia"/>
        </w:rPr>
        <w:t>针对以上的现状和问题，本次方案建议使用广电专网的光纤接入专线为本次区应急管理局和8个乡镇分中心的视频会议专线通信。原因有以下几点：</w:t>
      </w:r>
    </w:p>
    <w:p>
      <w:pPr>
        <w:pStyle w:val="21"/>
        <w:numPr>
          <w:ilvl w:val="0"/>
          <w:numId w:val="6"/>
        </w:numPr>
        <w:ind w:firstLineChars="0"/>
      </w:pPr>
      <w:r>
        <w:rPr>
          <w:rFonts w:hint="eastAsia"/>
        </w:rPr>
        <w:t>一旦出现应急突发事件，必须确保网络线路的稳定性和安全性，使用广电专线，属于清新区应急管理局和8个乡镇联通的专网专用线路，可以有效提高画面和声音的质量，同时能达到国际高清1080P的标准，有助于区领导应对突发事件对8乡镇的应急指挥调度的快速响应，可以与各镇、各部门保持24小时联络畅通。包括8乡镇的专网建设，有助与区与8乡镇实现网络一体化管理。</w:t>
      </w:r>
    </w:p>
    <w:p>
      <w:pPr>
        <w:pStyle w:val="21"/>
        <w:numPr>
          <w:ilvl w:val="0"/>
          <w:numId w:val="6"/>
        </w:numPr>
        <w:ind w:firstLineChars="0"/>
      </w:pPr>
      <w:r>
        <w:rPr>
          <w:rFonts w:hint="eastAsia"/>
        </w:rPr>
        <w:t>由于8个乡镇的视频会议终端安装高清摄像头和达到高清1080P的画质标准，需要保证较强的带宽网络才能达到视频会议的正常运作。</w:t>
      </w:r>
    </w:p>
    <w:p>
      <w:pPr>
        <w:pStyle w:val="21"/>
        <w:numPr>
          <w:ilvl w:val="0"/>
          <w:numId w:val="6"/>
        </w:numPr>
        <w:ind w:firstLineChars="0"/>
      </w:pPr>
      <w:r>
        <w:rPr>
          <w:rFonts w:hint="eastAsia"/>
        </w:rPr>
        <w:t>有助于各乡镇的工作人员和运维人员的日常管理和后期维修维护的工作，8个乡镇都有独立的清新广电网络机房和运维人员，一旦出现网络故障，可以确保第一时间有专业的广电网络维护人员到场处理。</w:t>
      </w:r>
    </w:p>
    <w:p>
      <w:pPr>
        <w:pStyle w:val="21"/>
        <w:numPr>
          <w:ilvl w:val="0"/>
          <w:numId w:val="6"/>
        </w:numPr>
        <w:ind w:firstLineChars="0"/>
      </w:pPr>
      <w:r>
        <w:rPr>
          <w:rFonts w:hint="eastAsia"/>
        </w:rPr>
        <w:t>施工难度小，使用广电网络的专用光纤从广电机房到值班室，稳定性较好。</w:t>
      </w:r>
    </w:p>
    <w:p>
      <w:pPr>
        <w:pStyle w:val="21"/>
        <w:numPr>
          <w:ilvl w:val="0"/>
          <w:numId w:val="6"/>
        </w:numPr>
        <w:ind w:firstLineChars="0"/>
      </w:pPr>
      <w:r>
        <w:rPr>
          <w:rFonts w:hint="eastAsia"/>
        </w:rPr>
        <w:t>使用广电专网，不影响办公楼的电子政务外网的日常运作，不会占用带宽，有效提高应急指挥视频专网的效率。</w:t>
      </w:r>
    </w:p>
    <w:p>
      <w:pPr>
        <w:pStyle w:val="21"/>
        <w:numPr>
          <w:ilvl w:val="0"/>
          <w:numId w:val="6"/>
        </w:numPr>
        <w:ind w:firstLineChars="0"/>
      </w:pPr>
      <w:r>
        <w:rPr>
          <w:rFonts w:hint="eastAsia"/>
        </w:rPr>
        <w:t>使用广电专网和现有机房的核心交换机，配合“智能化计算机网络系统”的接入交换机和硬件防火墙等设备，有效保证应急指挥视频专网的安全性。</w:t>
      </w:r>
    </w:p>
    <w:p>
      <w:pPr>
        <w:widowControl/>
        <w:spacing w:line="240" w:lineRule="auto"/>
        <w:ind w:firstLine="0" w:firstLineChars="0"/>
      </w:pPr>
      <w:r>
        <w:br w:type="page"/>
      </w:r>
    </w:p>
    <w:p>
      <w:pPr>
        <w:pStyle w:val="3"/>
      </w:pPr>
      <w:r>
        <w:rPr>
          <w:rFonts w:hint="eastAsia"/>
        </w:rPr>
        <w:t>区中心机房升级内容</w:t>
      </w:r>
    </w:p>
    <w:p>
      <w:pPr>
        <w:pStyle w:val="4"/>
      </w:pPr>
      <w:bookmarkStart w:id="34" w:name="_Toc14021626"/>
      <w:r>
        <w:rPr>
          <w:rFonts w:hint="eastAsia"/>
        </w:rPr>
        <w:t>多点会议智能平台</w:t>
      </w:r>
      <w:bookmarkEnd w:id="34"/>
      <w:r>
        <w:rPr>
          <w:rFonts w:hint="eastAsia"/>
        </w:rPr>
        <w:t>设备</w:t>
      </w:r>
    </w:p>
    <w:p>
      <w:pPr>
        <w:ind w:firstLine="480"/>
      </w:pPr>
      <w:r>
        <w:rPr>
          <w:rFonts w:hint="eastAsia"/>
        </w:rPr>
        <w:t>区中心二楼设备间新增1台先进的</w:t>
      </w:r>
      <w:bookmarkStart w:id="35" w:name="_Hlk14212908"/>
      <w:r>
        <w:rPr>
          <w:rFonts w:hint="eastAsia"/>
        </w:rPr>
        <w:t>多点会议智能平台</w:t>
      </w:r>
      <w:bookmarkEnd w:id="35"/>
      <w:r>
        <w:rPr>
          <w:rFonts w:hint="eastAsia"/>
        </w:rPr>
        <w:t>设备，既要</w:t>
      </w:r>
      <w:bookmarkStart w:id="36" w:name="_Hlk14212944"/>
      <w:r>
        <w:rPr>
          <w:rFonts w:hint="eastAsia"/>
        </w:rPr>
        <w:t>能够与上级政务外网的应急视频会议的网络兼容又要与目前通过专线互联的安监视频会议网络系统兼容</w:t>
      </w:r>
      <w:bookmarkEnd w:id="36"/>
      <w:r>
        <w:rPr>
          <w:rFonts w:hint="eastAsia"/>
        </w:rPr>
        <w:t>，选择具有双网络许可能力、并且能够普遍兼容所有标准系统的M</w:t>
      </w:r>
      <w:r>
        <w:t>CU进行设计。</w:t>
      </w:r>
    </w:p>
    <w:p>
      <w:pPr>
        <w:pStyle w:val="11"/>
        <w:spacing w:line="360" w:lineRule="auto"/>
        <w:rPr>
          <w:rFonts w:ascii="宋体" w:hAnsi="宋体"/>
        </w:rPr>
      </w:pPr>
    </w:p>
    <w:p>
      <w:pPr>
        <w:autoSpaceDE w:val="0"/>
        <w:autoSpaceDN w:val="0"/>
        <w:adjustRightInd w:val="0"/>
        <w:ind w:firstLine="480"/>
        <w:jc w:val="center"/>
        <w:rPr>
          <w:rFonts w:ascii="宋体" w:hAnsi="宋体"/>
        </w:rPr>
      </w:pPr>
      <w:r>
        <w:rPr>
          <w:rFonts w:ascii="宋体" w:hAnsi="宋体"/>
        </w:rPr>
        <w:drawing>
          <wp:inline distT="0" distB="0" distL="0" distR="0">
            <wp:extent cx="3486150" cy="1143000"/>
            <wp:effectExtent l="0" t="0" r="0" b="0"/>
            <wp:docPr id="2" name="图片 2" descr="1800R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00RM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86150" cy="1143000"/>
                    </a:xfrm>
                    <a:prstGeom prst="rect">
                      <a:avLst/>
                    </a:prstGeom>
                    <a:noFill/>
                    <a:ln>
                      <a:noFill/>
                    </a:ln>
                  </pic:spPr>
                </pic:pic>
              </a:graphicData>
            </a:graphic>
          </wp:inline>
        </w:drawing>
      </w:r>
    </w:p>
    <w:p>
      <w:pPr>
        <w:ind w:firstLine="480"/>
      </w:pPr>
      <w:r>
        <w:rPr>
          <w:rFonts w:hint="eastAsia"/>
        </w:rPr>
        <w:t>实时多媒体会议平台的基础是其基于标准的、模块化的架构，使企业能够充分利用他们现有和未来的会议投资。会议平台能够动态分配资源，获得最高效能，并可用于各种通话类型和各种环境。先进的架构还有助于实现高性能和高扩展性，并与</w:t>
      </w:r>
      <w:r>
        <w:t>IP</w:t>
      </w:r>
      <w:r>
        <w:rPr>
          <w:rFonts w:hint="eastAsia"/>
        </w:rPr>
        <w:t>（</w:t>
      </w:r>
      <w:r>
        <w:t>H.323</w:t>
      </w:r>
      <w:r>
        <w:rPr>
          <w:rFonts w:hint="eastAsia"/>
        </w:rPr>
        <w:t>和</w:t>
      </w:r>
      <w:r>
        <w:t>SIP</w:t>
      </w:r>
      <w:r>
        <w:rPr>
          <w:rFonts w:hint="eastAsia"/>
        </w:rPr>
        <w:t>）、</w:t>
      </w:r>
      <w:r>
        <w:t>PSTN</w:t>
      </w:r>
      <w:r>
        <w:rPr>
          <w:rFonts w:hint="eastAsia"/>
        </w:rPr>
        <w:t>和</w:t>
      </w:r>
      <w:r>
        <w:t>ISDN</w:t>
      </w:r>
      <w:r>
        <w:rPr>
          <w:rFonts w:hint="eastAsia"/>
        </w:rPr>
        <w:t>会议服务实现低成本集成。</w:t>
      </w:r>
    </w:p>
    <w:p>
      <w:pPr>
        <w:pStyle w:val="4"/>
        <w:numPr>
          <w:ilvl w:val="2"/>
          <w:numId w:val="7"/>
        </w:numPr>
      </w:pPr>
      <w:bookmarkStart w:id="37" w:name="_Hlk14213059"/>
      <w:bookmarkStart w:id="38" w:name="_Toc509070242"/>
      <w:bookmarkStart w:id="39" w:name="_Toc14021631"/>
      <w:r>
        <w:rPr>
          <w:rFonts w:hint="eastAsia"/>
        </w:rPr>
        <w:t>会议便捷管控平台</w:t>
      </w:r>
      <w:bookmarkEnd w:id="37"/>
      <w:bookmarkEnd w:id="38"/>
      <w:bookmarkEnd w:id="39"/>
      <w:r>
        <w:rPr>
          <w:rFonts w:hint="eastAsia"/>
        </w:rPr>
        <w:t>功能说明</w:t>
      </w:r>
    </w:p>
    <w:p>
      <w:pPr>
        <w:pStyle w:val="5"/>
      </w:pPr>
      <w:bookmarkStart w:id="40" w:name="_Toc501291639"/>
      <w:bookmarkStart w:id="41" w:name="_Toc14021632"/>
      <w:bookmarkStart w:id="42" w:name="_Toc509070243"/>
      <w:bookmarkStart w:id="43" w:name="_Toc449712617"/>
      <w:bookmarkStart w:id="44" w:name="_Toc498337727"/>
      <w:bookmarkStart w:id="45" w:name="_Toc423643523"/>
      <w:bookmarkStart w:id="46" w:name="_Toc449111236"/>
      <w:bookmarkStart w:id="47" w:name="_Toc422929322"/>
      <w:r>
        <w:rPr>
          <w:rFonts w:hint="eastAsia"/>
        </w:rPr>
        <w:t>自定义角色及权限分配</w:t>
      </w:r>
      <w:bookmarkEnd w:id="40"/>
      <w:bookmarkEnd w:id="41"/>
      <w:bookmarkEnd w:id="42"/>
      <w:bookmarkEnd w:id="43"/>
      <w:bookmarkEnd w:id="44"/>
      <w:bookmarkEnd w:id="45"/>
      <w:bookmarkEnd w:id="46"/>
      <w:bookmarkEnd w:id="47"/>
    </w:p>
    <w:p>
      <w:pPr>
        <w:ind w:firstLine="480"/>
      </w:pPr>
      <w:r>
        <w:rPr>
          <w:rFonts w:hint="eastAsia"/>
        </w:rPr>
        <w:t>本次建设的高清视频会议MCU是可以开放给各区人员使用的，各乡镇人员需要组织视频会议时，只需登录WEB界面进行会议预约申请，区中心后台系统管理员进行统一管控、审批。</w:t>
      </w:r>
    </w:p>
    <w:p>
      <w:pPr>
        <w:ind w:firstLine="480"/>
      </w:pPr>
      <w:r>
        <w:rPr>
          <w:rFonts w:hint="eastAsia"/>
        </w:rPr>
        <w:t>系统支持进行三级单位和部门的管理。各级单位的用户只能维护和使用本单位和下属单位的视频会议设备资源，各单位之间互相不会影响。使得管理部门可以放心的将视频会议使用权下放到各级单位中去。</w:t>
      </w:r>
    </w:p>
    <w:p>
      <w:pPr>
        <w:pStyle w:val="5"/>
      </w:pPr>
      <w:bookmarkStart w:id="48" w:name="_Toc509070245"/>
      <w:bookmarkStart w:id="49" w:name="_Toc422929324"/>
      <w:r>
        <w:rPr>
          <w:rFonts w:hint="eastAsia"/>
        </w:rPr>
        <w:t>角色权限定义</w:t>
      </w:r>
      <w:bookmarkEnd w:id="48"/>
      <w:bookmarkEnd w:id="49"/>
    </w:p>
    <w:p>
      <w:pPr>
        <w:spacing w:before="50" w:after="60"/>
        <w:ind w:firstLine="480"/>
        <w:rPr>
          <w:rFonts w:ascii="宋体" w:hAnsi="宋体"/>
          <w:color w:val="000000"/>
        </w:rPr>
      </w:pPr>
      <w:r>
        <w:rPr>
          <w:rFonts w:ascii="宋体" w:hAnsi="宋体"/>
          <w:color w:val="000000"/>
        </w:rPr>
        <w:drawing>
          <wp:inline distT="0" distB="0" distL="0" distR="0">
            <wp:extent cx="5274310" cy="2646680"/>
            <wp:effectExtent l="0" t="0" r="254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646680"/>
                    </a:xfrm>
                    <a:prstGeom prst="rect">
                      <a:avLst/>
                    </a:prstGeom>
                    <a:noFill/>
                    <a:ln>
                      <a:noFill/>
                    </a:ln>
                  </pic:spPr>
                </pic:pic>
              </a:graphicData>
            </a:graphic>
          </wp:inline>
        </w:drawing>
      </w:r>
    </w:p>
    <w:p>
      <w:pPr>
        <w:spacing w:before="50" w:after="60"/>
        <w:ind w:firstLine="480"/>
        <w:rPr>
          <w:rFonts w:ascii="宋体" w:hAnsi="宋体"/>
          <w:color w:val="000000"/>
        </w:rPr>
      </w:pPr>
      <w:r>
        <w:rPr>
          <w:rFonts w:hint="eastAsia" w:ascii="宋体" w:hAnsi="宋体"/>
          <w:color w:val="000000"/>
        </w:rPr>
        <w:t>在软件中，具有内嵌的几种角色，用户也可以根据需要创建新的角色；或者并不创建新的角色，而只是开启或关闭该角色的几项菜单功能。</w:t>
      </w:r>
    </w:p>
    <w:p>
      <w:pPr>
        <w:spacing w:before="50" w:after="60"/>
        <w:ind w:firstLine="480"/>
        <w:rPr>
          <w:rFonts w:ascii="宋体" w:hAnsi="宋体"/>
          <w:color w:val="000000"/>
        </w:rPr>
      </w:pPr>
      <w:r>
        <w:rPr>
          <w:rFonts w:hint="eastAsia" w:ascii="宋体" w:hAnsi="宋体"/>
          <w:color w:val="000000"/>
        </w:rPr>
        <w:t>通过不同的组合，可以让软件的角色和菜单权限管理更加灵活。例如可开发广州人员权限，使其可独立预约该区的会议，当无法预约别区的会议室，除非管理员下方该区的会议室权限给指定人员。可以有效提高各区自行召开会议的效率。</w:t>
      </w:r>
    </w:p>
    <w:p>
      <w:pPr>
        <w:pStyle w:val="5"/>
      </w:pPr>
      <w:bookmarkStart w:id="50" w:name="_Toc422929325"/>
      <w:bookmarkStart w:id="51" w:name="_Toc509070246"/>
      <w:r>
        <w:rPr>
          <w:rFonts w:hint="eastAsia"/>
        </w:rPr>
        <w:t>资源使用权限管理</w:t>
      </w:r>
      <w:bookmarkEnd w:id="50"/>
      <w:bookmarkEnd w:id="51"/>
    </w:p>
    <w:p>
      <w:pPr>
        <w:spacing w:before="50" w:after="60"/>
        <w:ind w:firstLine="480"/>
        <w:rPr>
          <w:rFonts w:ascii="宋体" w:hAnsi="宋体"/>
          <w:color w:val="000000"/>
        </w:rPr>
      </w:pPr>
      <w:r>
        <w:rPr>
          <w:rFonts w:ascii="宋体" w:hAnsi="宋体"/>
          <w:color w:val="000000"/>
        </w:rPr>
        <w:drawing>
          <wp:inline distT="0" distB="0" distL="0" distR="0">
            <wp:extent cx="5270500" cy="22542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254250"/>
                    </a:xfrm>
                    <a:prstGeom prst="rect">
                      <a:avLst/>
                    </a:prstGeom>
                    <a:noFill/>
                    <a:ln>
                      <a:noFill/>
                    </a:ln>
                  </pic:spPr>
                </pic:pic>
              </a:graphicData>
            </a:graphic>
          </wp:inline>
        </w:drawing>
      </w:r>
    </w:p>
    <w:p>
      <w:pPr>
        <w:spacing w:before="50" w:after="60"/>
        <w:ind w:firstLine="480"/>
        <w:rPr>
          <w:rFonts w:ascii="宋体" w:hAnsi="宋体"/>
          <w:color w:val="000000"/>
        </w:rPr>
      </w:pPr>
      <w:r>
        <w:rPr>
          <w:rFonts w:hint="eastAsia" w:ascii="宋体" w:hAnsi="宋体"/>
          <w:color w:val="000000"/>
        </w:rPr>
        <w:t>软件中，默认的资源使用权限（会议室，视频终端，MCU等）是根据用户所在的单位决定的。但也有一些情况，是需要打破这种限制的。</w:t>
      </w:r>
    </w:p>
    <w:p>
      <w:pPr>
        <w:spacing w:before="50" w:after="60"/>
        <w:ind w:firstLine="480"/>
        <w:rPr>
          <w:rFonts w:ascii="宋体" w:hAnsi="宋体"/>
          <w:color w:val="000000"/>
        </w:rPr>
      </w:pPr>
      <w:r>
        <w:rPr>
          <w:rFonts w:hint="eastAsia" w:ascii="宋体" w:hAnsi="宋体"/>
          <w:color w:val="000000"/>
        </w:rPr>
        <w:t>会议管理系统可以根据不同人员的权限进行设备预约的优先分配。该区域级别的人员预约了该区所有的会议室终端，但若总部临时需要对该区会议室终端进行会议预约，系统将根据总部人员权限优先规则，把该大区的会议室优先分配给总部人员预约的会议。</w:t>
      </w:r>
    </w:p>
    <w:p>
      <w:pPr>
        <w:pStyle w:val="5"/>
      </w:pPr>
      <w:bookmarkStart w:id="52" w:name="_Toc422929326"/>
      <w:bookmarkStart w:id="53" w:name="_Toc423643524"/>
      <w:bookmarkStart w:id="54" w:name="_Toc449111237"/>
      <w:bookmarkStart w:id="55" w:name="_Toc449712618"/>
      <w:bookmarkStart w:id="56" w:name="_Toc498337728"/>
      <w:bookmarkStart w:id="57" w:name="_Toc501291640"/>
      <w:bookmarkStart w:id="58" w:name="_Toc509070247"/>
      <w:bookmarkStart w:id="59" w:name="_Toc14021633"/>
      <w:r>
        <w:rPr>
          <w:rFonts w:hint="eastAsia"/>
        </w:rPr>
        <w:t>应急视频会议发起模式</w:t>
      </w:r>
      <w:bookmarkEnd w:id="52"/>
      <w:bookmarkEnd w:id="53"/>
      <w:bookmarkEnd w:id="54"/>
      <w:bookmarkEnd w:id="55"/>
      <w:bookmarkEnd w:id="56"/>
      <w:bookmarkEnd w:id="57"/>
      <w:bookmarkEnd w:id="58"/>
      <w:bookmarkEnd w:id="59"/>
    </w:p>
    <w:p>
      <w:pPr>
        <w:spacing w:before="50" w:after="60"/>
        <w:ind w:firstLine="480"/>
        <w:rPr>
          <w:rFonts w:ascii="宋体" w:hAnsi="宋体"/>
          <w:color w:val="000000"/>
        </w:rPr>
      </w:pPr>
      <w:r>
        <w:rPr>
          <w:rFonts w:hint="eastAsia" w:ascii="宋体" w:hAnsi="宋体"/>
          <w:color w:val="000000"/>
        </w:rPr>
        <w:t>为了加强系统管理，提升系统工作效率，提高系统整体投资回报，同时降低信息部门的运维压力和操作难度，需要一个完整的流程来规范化和自动化的会议管理方案，来帮助我们</w:t>
      </w:r>
      <w:bookmarkStart w:id="60" w:name="_Hlk14213199"/>
      <w:r>
        <w:rPr>
          <w:rFonts w:hint="eastAsia" w:ascii="宋体" w:hAnsi="宋体"/>
          <w:color w:val="000000"/>
        </w:rPr>
        <w:t>实现会前准备、会议预约、会前通知、会中控制、会后统计等功能。</w:t>
      </w:r>
      <w:bookmarkEnd w:id="60"/>
      <w:bookmarkStart w:id="61" w:name="_Toc212963953"/>
    </w:p>
    <w:p>
      <w:pPr>
        <w:spacing w:before="50" w:after="60"/>
        <w:ind w:firstLine="480"/>
        <w:rPr>
          <w:rFonts w:ascii="宋体" w:hAnsi="宋体"/>
          <w:color w:val="000000"/>
        </w:rPr>
      </w:pPr>
      <w:r>
        <w:rPr>
          <w:rFonts w:hint="eastAsia" w:ascii="宋体" w:hAnsi="宋体"/>
          <w:color w:val="000000"/>
        </w:rPr>
        <w:t>功能界面如下：</w:t>
      </w:r>
    </w:p>
    <w:p>
      <w:pPr>
        <w:spacing w:before="50" w:after="60"/>
        <w:ind w:firstLine="480"/>
        <w:jc w:val="center"/>
        <w:rPr>
          <w:rFonts w:ascii="宋体" w:hAnsi="宋体"/>
          <w:color w:val="000000"/>
        </w:rPr>
      </w:pPr>
      <w:r>
        <w:rPr>
          <w:rFonts w:ascii="宋体" w:hAnsi="宋体"/>
          <w:color w:val="000000"/>
        </w:rPr>
        <w:drawing>
          <wp:inline distT="0" distB="0" distL="0" distR="0">
            <wp:extent cx="2717800" cy="328930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7800" cy="3289300"/>
                    </a:xfrm>
                    <a:prstGeom prst="rect">
                      <a:avLst/>
                    </a:prstGeom>
                    <a:noFill/>
                    <a:ln>
                      <a:noFill/>
                    </a:ln>
                  </pic:spPr>
                </pic:pic>
              </a:graphicData>
            </a:graphic>
          </wp:inline>
        </w:drawing>
      </w:r>
    </w:p>
    <w:p>
      <w:pPr>
        <w:spacing w:before="50" w:after="60"/>
        <w:ind w:firstLine="480"/>
        <w:jc w:val="center"/>
        <w:rPr>
          <w:rFonts w:ascii="宋体" w:hAnsi="宋体"/>
          <w:color w:val="000000"/>
        </w:rPr>
      </w:pPr>
      <w:r>
        <w:rPr>
          <w:rFonts w:hint="eastAsia" w:ascii="宋体" w:hAnsi="宋体"/>
          <w:color w:val="000000"/>
        </w:rPr>
        <w:t>图：登陆界面</w:t>
      </w:r>
    </w:p>
    <w:bookmarkEnd w:id="61"/>
    <w:p>
      <w:pPr>
        <w:spacing w:before="50" w:after="60"/>
        <w:ind w:firstLine="480"/>
        <w:rPr>
          <w:rFonts w:ascii="宋体" w:hAnsi="宋体"/>
          <w:color w:val="000000"/>
        </w:rPr>
      </w:pPr>
      <w:r>
        <w:rPr>
          <w:rFonts w:ascii="宋体" w:hAnsi="宋体"/>
          <w:color w:val="000000"/>
        </w:rPr>
        <w:drawing>
          <wp:inline distT="0" distB="0" distL="0" distR="0">
            <wp:extent cx="5274310" cy="330009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3300095"/>
                    </a:xfrm>
                    <a:prstGeom prst="rect">
                      <a:avLst/>
                    </a:prstGeom>
                    <a:noFill/>
                    <a:ln>
                      <a:noFill/>
                    </a:ln>
                  </pic:spPr>
                </pic:pic>
              </a:graphicData>
            </a:graphic>
          </wp:inline>
        </w:drawing>
      </w:r>
    </w:p>
    <w:p>
      <w:pPr>
        <w:spacing w:before="50" w:after="60"/>
        <w:ind w:firstLine="480"/>
        <w:jc w:val="center"/>
        <w:rPr>
          <w:rFonts w:ascii="宋体" w:hAnsi="宋体"/>
          <w:color w:val="000000"/>
        </w:rPr>
      </w:pPr>
      <w:r>
        <w:rPr>
          <w:rFonts w:hint="eastAsia" w:ascii="宋体" w:hAnsi="宋体"/>
          <w:color w:val="000000"/>
        </w:rPr>
        <w:t>图：会议级图形化拓扑</w:t>
      </w:r>
    </w:p>
    <w:p>
      <w:pPr>
        <w:spacing w:before="50" w:after="60"/>
        <w:ind w:firstLine="480"/>
        <w:rPr>
          <w:rFonts w:ascii="宋体" w:hAnsi="宋体"/>
          <w:color w:val="000000"/>
        </w:rPr>
      </w:pPr>
      <w:r>
        <w:rPr>
          <w:rFonts w:hint="eastAsia" w:ascii="宋体" w:hAnsi="宋体"/>
          <w:color w:val="000000"/>
        </w:rPr>
        <w:t>其次，在会议控制中，可以对所有的视频终端设备进行统一管理，切换音视频信号，一键切换演讲会场，发言会场。而不必关心后台实现的技术细节。</w:t>
      </w:r>
    </w:p>
    <w:p>
      <w:pPr>
        <w:spacing w:before="50" w:after="60"/>
        <w:ind w:firstLine="480"/>
        <w:rPr>
          <w:rFonts w:ascii="宋体" w:hAnsi="宋体"/>
          <w:color w:val="000000"/>
        </w:rPr>
      </w:pPr>
      <w:r>
        <w:rPr>
          <w:rFonts w:ascii="宋体" w:hAnsi="宋体"/>
          <w:color w:val="000000"/>
        </w:rPr>
        <w:drawing>
          <wp:inline distT="0" distB="0" distL="0" distR="0">
            <wp:extent cx="5274310" cy="33045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3304540"/>
                    </a:xfrm>
                    <a:prstGeom prst="rect">
                      <a:avLst/>
                    </a:prstGeom>
                    <a:noFill/>
                    <a:ln>
                      <a:noFill/>
                    </a:ln>
                  </pic:spPr>
                </pic:pic>
              </a:graphicData>
            </a:graphic>
          </wp:inline>
        </w:drawing>
      </w:r>
    </w:p>
    <w:p>
      <w:pPr>
        <w:spacing w:before="50" w:after="60"/>
        <w:ind w:firstLine="480"/>
        <w:jc w:val="center"/>
        <w:rPr>
          <w:rFonts w:ascii="宋体" w:hAnsi="宋体"/>
          <w:color w:val="000000"/>
        </w:rPr>
      </w:pPr>
      <w:r>
        <w:rPr>
          <w:rFonts w:hint="eastAsia" w:ascii="宋体" w:hAnsi="宋体"/>
          <w:color w:val="000000"/>
        </w:rPr>
        <w:t>图：会议控制界面</w:t>
      </w:r>
    </w:p>
    <w:p>
      <w:pPr>
        <w:widowControl/>
        <w:spacing w:line="240" w:lineRule="auto"/>
        <w:ind w:firstLine="0" w:firstLineChars="0"/>
      </w:pPr>
      <w:r>
        <w:br w:type="page"/>
      </w:r>
    </w:p>
    <w:p>
      <w:pPr>
        <w:pStyle w:val="2"/>
      </w:pPr>
      <w:r>
        <w:rPr>
          <w:rFonts w:hint="eastAsia"/>
        </w:rPr>
        <w:t>系统维护要求</w:t>
      </w:r>
    </w:p>
    <w:p>
      <w:pPr>
        <w:pStyle w:val="3"/>
        <w:rPr>
          <w:rFonts w:ascii="宋体" w:hAnsi="宋体"/>
        </w:rPr>
      </w:pPr>
      <w:bookmarkStart w:id="62" w:name="_Toc466392954"/>
      <w:bookmarkStart w:id="63" w:name="_Toc12955441"/>
      <w:r>
        <w:rPr>
          <w:rFonts w:hint="eastAsia" w:ascii="宋体" w:hAnsi="宋体"/>
        </w:rPr>
        <w:t>服务范围</w:t>
      </w:r>
      <w:bookmarkEnd w:id="62"/>
      <w:bookmarkEnd w:id="63"/>
    </w:p>
    <w:p>
      <w:pPr>
        <w:snapToGrid w:val="0"/>
        <w:spacing w:before="120" w:after="120"/>
        <w:ind w:firstLine="480"/>
        <w:rPr>
          <w:rFonts w:ascii="宋体" w:hAnsi="宋体"/>
          <w:color w:val="000000"/>
        </w:rPr>
      </w:pPr>
      <w:r>
        <w:rPr>
          <w:rFonts w:hint="eastAsia" w:ascii="宋体" w:hAnsi="宋体"/>
          <w:color w:val="000000"/>
        </w:rPr>
        <w:t>在免费运维服务期内，本项目的运维服务范围包括：</w:t>
      </w:r>
    </w:p>
    <w:p>
      <w:pPr>
        <w:snapToGrid w:val="0"/>
        <w:spacing w:before="120" w:after="120"/>
        <w:ind w:firstLine="480"/>
        <w:rPr>
          <w:rFonts w:ascii="宋体" w:hAnsi="宋体"/>
          <w:color w:val="000000"/>
        </w:rPr>
      </w:pPr>
      <w:r>
        <w:rPr>
          <w:rFonts w:hint="eastAsia" w:ascii="宋体" w:hAnsi="宋体"/>
          <w:color w:val="000000"/>
        </w:rPr>
        <w:t>1.本次项目新建的系统，包括硬件和网络设备、光纤专线网络、应用软件等的维护、维修、更换故障设备和产品升级；</w:t>
      </w:r>
    </w:p>
    <w:p>
      <w:pPr>
        <w:snapToGrid w:val="0"/>
        <w:spacing w:before="120" w:after="120"/>
        <w:ind w:firstLine="480"/>
        <w:rPr>
          <w:rFonts w:ascii="宋体" w:hAnsi="宋体"/>
          <w:color w:val="000000"/>
        </w:rPr>
      </w:pPr>
      <w:r>
        <w:rPr>
          <w:rFonts w:hint="eastAsia" w:ascii="宋体" w:hAnsi="宋体"/>
          <w:color w:val="000000"/>
        </w:rPr>
        <w:t>2.应与项目集成商签订合理的运维服务保障协议，保证提供充足的备品备件资源。</w:t>
      </w:r>
    </w:p>
    <w:p>
      <w:pPr>
        <w:pStyle w:val="3"/>
        <w:rPr>
          <w:rFonts w:ascii="宋体" w:hAnsi="宋体"/>
        </w:rPr>
      </w:pPr>
      <w:r>
        <w:rPr>
          <w:rFonts w:hint="eastAsia" w:ascii="宋体" w:hAnsi="宋体"/>
        </w:rPr>
        <w:t>免费维护期要求</w:t>
      </w:r>
    </w:p>
    <w:p>
      <w:pPr>
        <w:ind w:firstLine="480"/>
        <w:rPr>
          <w:rFonts w:hint="eastAsia"/>
        </w:rPr>
      </w:pPr>
      <w:r>
        <w:rPr>
          <w:rFonts w:hint="eastAsia" w:ascii="宋体" w:hAnsi="宋体"/>
          <w:color w:val="000000"/>
        </w:rPr>
        <w:t>要求项目集成商</w:t>
      </w:r>
      <w:r>
        <w:t>提供的所有</w:t>
      </w:r>
      <w:r>
        <w:rPr>
          <w:rFonts w:hint="eastAsia"/>
        </w:rPr>
        <w:t>硬件和网络</w:t>
      </w:r>
      <w:r>
        <w:t>设备</w:t>
      </w:r>
      <w:r>
        <w:rPr>
          <w:rFonts w:hint="eastAsia"/>
        </w:rPr>
        <w:t>需要</w:t>
      </w:r>
      <w:r>
        <w:t>提供</w:t>
      </w:r>
      <w:r>
        <w:rPr>
          <w:rFonts w:hint="eastAsia"/>
        </w:rPr>
        <w:t>3</w:t>
      </w:r>
      <w:r>
        <w:t>年</w:t>
      </w:r>
      <w:r>
        <w:rPr>
          <w:rFonts w:hint="eastAsia"/>
        </w:rPr>
        <w:t>保修服务</w:t>
      </w:r>
      <w:r>
        <w:t>及免费技术支持服务</w:t>
      </w:r>
      <w:r>
        <w:rPr>
          <w:rFonts w:hint="eastAsia"/>
        </w:rPr>
        <w:t>；对提供的</w:t>
      </w:r>
      <w:r>
        <w:t>所有软件</w:t>
      </w:r>
      <w:r>
        <w:rPr>
          <w:rFonts w:hint="eastAsia"/>
        </w:rPr>
        <w:t>需要</w:t>
      </w:r>
      <w:r>
        <w:t>提供</w:t>
      </w:r>
      <w:r>
        <w:rPr>
          <w:rFonts w:hint="eastAsia"/>
        </w:rPr>
        <w:t>1</w:t>
      </w:r>
      <w:r>
        <w:t>年的质保期及免费技术支持服务</w:t>
      </w:r>
      <w:r>
        <w:rPr>
          <w:rFonts w:hint="eastAsia"/>
        </w:rPr>
        <w:t>。</w:t>
      </w:r>
    </w:p>
    <w:p>
      <w:pPr>
        <w:widowControl/>
        <w:spacing w:line="240" w:lineRule="auto"/>
        <w:ind w:firstLine="0" w:firstLineChars="0"/>
        <w:rPr>
          <w:rFonts w:hint="eastAsia"/>
        </w:rPr>
      </w:pPr>
      <w:r>
        <w:br w:type="page"/>
      </w:r>
    </w:p>
    <w:p>
      <w:pPr>
        <w:pStyle w:val="2"/>
      </w:pPr>
      <w:r>
        <w:rPr>
          <w:rFonts w:hint="eastAsia"/>
        </w:rPr>
        <w:t>工程总体预算</w:t>
      </w:r>
      <w:r>
        <w:rPr>
          <w:rFonts w:hint="default"/>
        </w:rPr>
        <w:t>（以具体清单为准）</w:t>
      </w:r>
    </w:p>
    <w:p>
      <w:pPr>
        <w:spacing w:line="276" w:lineRule="auto"/>
        <w:ind w:firstLine="480"/>
      </w:pPr>
    </w:p>
    <w:tbl>
      <w:tblPr>
        <w:tblStyle w:val="18"/>
        <w:tblW w:w="8217" w:type="dxa"/>
        <w:tblInd w:w="0" w:type="dxa"/>
        <w:tblLayout w:type="autofit"/>
        <w:tblCellMar>
          <w:top w:w="0" w:type="dxa"/>
          <w:left w:w="108" w:type="dxa"/>
          <w:bottom w:w="0" w:type="dxa"/>
          <w:right w:w="108" w:type="dxa"/>
        </w:tblCellMar>
      </w:tblPr>
      <w:tblGrid>
        <w:gridCol w:w="704"/>
        <w:gridCol w:w="2977"/>
        <w:gridCol w:w="1417"/>
        <w:gridCol w:w="1184"/>
        <w:gridCol w:w="943"/>
        <w:gridCol w:w="992"/>
      </w:tblGrid>
      <w:tr>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序号</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设备和施工内容</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数量</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单价</w:t>
            </w:r>
          </w:p>
        </w:tc>
        <w:tc>
          <w:tcPr>
            <w:tcW w:w="943" w:type="dxa"/>
            <w:tcBorders>
              <w:top w:val="single" w:color="auto" w:sz="4" w:space="0"/>
              <w:left w:val="nil"/>
              <w:bottom w:val="single" w:color="auto" w:sz="4" w:space="0"/>
              <w:right w:val="single" w:color="auto" w:sz="4" w:space="0"/>
            </w:tcBorders>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小计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一</w:t>
            </w:r>
          </w:p>
        </w:tc>
        <w:tc>
          <w:tcPr>
            <w:tcW w:w="751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乡镇分中心配置和实施内容</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r>
              <w:rPr>
                <w:rFonts w:hint="eastAsia" w:ascii="宋体" w:hAnsi="宋体" w:cs="宋体"/>
                <w:color w:val="000000"/>
                <w:kern w:val="0"/>
              </w:rPr>
              <w:t>乡镇分中心显示系统</w:t>
            </w:r>
          </w:p>
        </w:tc>
        <w:tc>
          <w:tcPr>
            <w:tcW w:w="141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1套</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2</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r>
              <w:rPr>
                <w:rFonts w:hint="eastAsia" w:ascii="宋体" w:hAnsi="宋体" w:cs="宋体"/>
                <w:color w:val="000000"/>
                <w:kern w:val="0"/>
              </w:rPr>
              <w:t>会议讨论系统和会议控制管理系统</w:t>
            </w:r>
          </w:p>
        </w:tc>
        <w:tc>
          <w:tcPr>
            <w:tcW w:w="141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1套</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3</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r>
              <w:rPr>
                <w:rFonts w:hint="eastAsia" w:ascii="宋体" w:hAnsi="宋体" w:cs="宋体"/>
                <w:color w:val="000000"/>
                <w:kern w:val="0"/>
              </w:rPr>
              <w:t>视频会议系统设备和软件</w:t>
            </w:r>
          </w:p>
        </w:tc>
        <w:tc>
          <w:tcPr>
            <w:tcW w:w="141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1项</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4</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r>
              <w:rPr>
                <w:rFonts w:hint="eastAsia" w:ascii="宋体" w:hAnsi="宋体" w:cs="宋体"/>
                <w:color w:val="000000"/>
                <w:kern w:val="0"/>
              </w:rPr>
              <w:t>综合布线工程</w:t>
            </w:r>
          </w:p>
        </w:tc>
        <w:tc>
          <w:tcPr>
            <w:tcW w:w="141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1项</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5</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r>
              <w:rPr>
                <w:rFonts w:hint="eastAsia" w:ascii="宋体" w:hAnsi="宋体" w:cs="宋体"/>
                <w:color w:val="000000"/>
                <w:kern w:val="0"/>
              </w:rPr>
              <w:t>智能化和计算机网络设备</w:t>
            </w:r>
          </w:p>
        </w:tc>
        <w:tc>
          <w:tcPr>
            <w:tcW w:w="141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1项</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二</w:t>
            </w:r>
          </w:p>
        </w:tc>
        <w:tc>
          <w:tcPr>
            <w:tcW w:w="7513" w:type="dxa"/>
            <w:gridSpan w:val="5"/>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区中心二楼设备间升级内容</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7</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多点会议智能平台设备</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1套</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8</w:t>
            </w:r>
          </w:p>
        </w:tc>
        <w:tc>
          <w:tcPr>
            <w:tcW w:w="297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会议便捷管控平台一套</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rPr>
            </w:pPr>
            <w:r>
              <w:rPr>
                <w:rFonts w:hint="eastAsia" w:ascii="宋体" w:hAnsi="宋体" w:cs="宋体"/>
                <w:color w:val="000000"/>
                <w:kern w:val="0"/>
              </w:rPr>
              <w:t>9个授权</w:t>
            </w:r>
          </w:p>
        </w:tc>
        <w:tc>
          <w:tcPr>
            <w:tcW w:w="1184"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宋体" w:hAnsi="宋体" w:cs="宋体"/>
                <w:color w:val="000000"/>
                <w:kern w:val="0"/>
              </w:rPr>
            </w:pPr>
          </w:p>
        </w:tc>
        <w:tc>
          <w:tcPr>
            <w:tcW w:w="943" w:type="dxa"/>
            <w:tcBorders>
              <w:top w:val="single" w:color="auto" w:sz="4" w:space="0"/>
              <w:left w:val="nil"/>
              <w:bottom w:val="single" w:color="auto" w:sz="4" w:space="0"/>
              <w:right w:val="single" w:color="auto" w:sz="4" w:space="0"/>
            </w:tcBorders>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000000"/>
                <w:kern w:val="0"/>
              </w:rPr>
            </w:pPr>
          </w:p>
        </w:tc>
        <w:tc>
          <w:tcPr>
            <w:tcW w:w="43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
                <w:bCs/>
                <w:color w:val="000000"/>
                <w:kern w:val="0"/>
              </w:rPr>
            </w:pPr>
            <w:r>
              <w:rPr>
                <w:rFonts w:hint="eastAsia" w:ascii="宋体" w:hAnsi="宋体" w:cs="宋体"/>
                <w:b/>
                <w:bCs/>
                <w:color w:val="000000"/>
                <w:kern w:val="0"/>
              </w:rPr>
              <w:t>合计</w:t>
            </w:r>
          </w:p>
        </w:tc>
        <w:tc>
          <w:tcPr>
            <w:tcW w:w="2127"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宋体" w:hAnsi="宋体" w:cs="宋体"/>
                <w:color w:val="000000"/>
                <w:kern w:val="0"/>
              </w:rPr>
            </w:pPr>
          </w:p>
        </w:tc>
      </w:tr>
    </w:tbl>
    <w:p>
      <w:pPr>
        <w:spacing w:line="276" w:lineRule="auto"/>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DC9"/>
    <w:multiLevelType w:val="multilevel"/>
    <w:tmpl w:val="101B7DC9"/>
    <w:lvl w:ilvl="0" w:tentative="0">
      <w:start w:val="1"/>
      <w:numFmt w:val="decimal"/>
      <w:lvlText w:val="%1."/>
      <w:lvlJc w:val="left"/>
      <w:pPr>
        <w:ind w:left="900" w:hanging="420"/>
      </w:p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A83376"/>
    <w:multiLevelType w:val="multilevel"/>
    <w:tmpl w:val="14A83376"/>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425" w:firstLine="0"/>
      </w:pPr>
      <w:rPr>
        <w:rFonts w:hint="eastAsia"/>
      </w:rPr>
    </w:lvl>
    <w:lvl w:ilvl="2" w:tentative="0">
      <w:start w:val="1"/>
      <w:numFmt w:val="decimal"/>
      <w:pStyle w:val="4"/>
      <w:lvlText w:val="%1.%2.%3"/>
      <w:lvlJc w:val="left"/>
      <w:pPr>
        <w:ind w:left="851" w:hanging="227"/>
      </w:pPr>
      <w:rPr>
        <w:rFonts w:hint="eastAsia"/>
      </w:rPr>
    </w:lvl>
    <w:lvl w:ilvl="3" w:tentative="0">
      <w:start w:val="1"/>
      <w:numFmt w:val="decimal"/>
      <w:pStyle w:val="5"/>
      <w:lvlText w:val="%1.%2.%3.%4"/>
      <w:lvlJc w:val="left"/>
      <w:pPr>
        <w:ind w:left="1134"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EF55DC0"/>
    <w:multiLevelType w:val="multilevel"/>
    <w:tmpl w:val="1EF55DC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8A6024"/>
    <w:multiLevelType w:val="multilevel"/>
    <w:tmpl w:val="288A6024"/>
    <w:lvl w:ilvl="0" w:tentative="0">
      <w:start w:val="1"/>
      <w:numFmt w:val="chineseCountingThousand"/>
      <w:pStyle w:val="41"/>
      <w:suff w:val="space"/>
      <w:lvlText w:val="第%1章"/>
      <w:lvlJc w:val="left"/>
      <w:pPr>
        <w:ind w:left="0" w:firstLine="0"/>
      </w:pPr>
      <w:rPr>
        <w:rFonts w:hint="eastAsia"/>
      </w:rPr>
    </w:lvl>
    <w:lvl w:ilvl="1" w:tentative="0">
      <w:start w:val="1"/>
      <w:numFmt w:val="chineseCountingThousand"/>
      <w:pStyle w:val="42"/>
      <w:isLgl/>
      <w:suff w:val="space"/>
      <w:lvlText w:val="§%1.%2"/>
      <w:lvlJc w:val="left"/>
      <w:pPr>
        <w:ind w:left="0" w:firstLine="0"/>
      </w:pPr>
      <w:rPr>
        <w:rFonts w:hint="eastAsia"/>
      </w:rPr>
    </w:lvl>
    <w:lvl w:ilvl="2" w:tentative="0">
      <w:start w:val="1"/>
      <w:numFmt w:val="decimal"/>
      <w:pStyle w:val="44"/>
      <w:isLgl/>
      <w:suff w:val="space"/>
      <w:lvlText w:val="§%1.%2.%3"/>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5"/>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suff w:val="space"/>
      <w:lvlText w:val="§%1.%2.%3.%4.%5.%6"/>
      <w:lvlJc w:val="left"/>
      <w:pPr>
        <w:ind w:left="0" w:firstLine="0"/>
      </w:pPr>
      <w:rPr>
        <w:rFonts w:hint="eastAsia"/>
      </w:rPr>
    </w:lvl>
    <w:lvl w:ilvl="6" w:tentative="0">
      <w:start w:val="1"/>
      <w:numFmt w:val="chineseCountingThousand"/>
      <w:lvlRestart w:val="1"/>
      <w:isLgl/>
      <w:suff w:val="nothing"/>
      <w:lvlText w:val="§%1.%2.%3.%4.%5.%6.%7"/>
      <w:lvlJc w:val="left"/>
      <w:pPr>
        <w:ind w:left="0" w:firstLine="0"/>
      </w:pPr>
      <w:rPr>
        <w:rFonts w:hint="eastAsia"/>
      </w:rPr>
    </w:lvl>
    <w:lvl w:ilvl="7" w:tentative="0">
      <w:start w:val="1"/>
      <w:numFmt w:val="decimal"/>
      <w:lvlRestart w:val="1"/>
      <w:isLgl/>
      <w:suff w:val="space"/>
      <w:lvlText w:val="表%1-%8"/>
      <w:lvlJc w:val="left"/>
      <w:pPr>
        <w:ind w:left="0" w:firstLine="0"/>
      </w:pPr>
      <w:rPr>
        <w:rFonts w:hint="eastAsia"/>
      </w:rPr>
    </w:lvl>
    <w:lvl w:ilvl="8" w:tentative="0">
      <w:start w:val="1"/>
      <w:numFmt w:val="decimal"/>
      <w:lvlRestart w:val="1"/>
      <w:pStyle w:val="13"/>
      <w:isLgl/>
      <w:suff w:val="space"/>
      <w:lvlText w:val="图%1-%9"/>
      <w:lvlJc w:val="left"/>
      <w:pPr>
        <w:ind w:left="0" w:firstLine="0"/>
      </w:pPr>
      <w:rPr>
        <w:rFonts w:hint="eastAsia"/>
      </w:rPr>
    </w:lvl>
  </w:abstractNum>
  <w:abstractNum w:abstractNumId="4">
    <w:nsid w:val="426A29B0"/>
    <w:multiLevelType w:val="multilevel"/>
    <w:tmpl w:val="426A29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CB87CFC"/>
    <w:multiLevelType w:val="multilevel"/>
    <w:tmpl w:val="7CB87CF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2C"/>
    <w:rsid w:val="000211E6"/>
    <w:rsid w:val="00055005"/>
    <w:rsid w:val="00074737"/>
    <w:rsid w:val="00075662"/>
    <w:rsid w:val="001550B8"/>
    <w:rsid w:val="001C2623"/>
    <w:rsid w:val="00207BAD"/>
    <w:rsid w:val="00241B62"/>
    <w:rsid w:val="002549EE"/>
    <w:rsid w:val="0028537D"/>
    <w:rsid w:val="002C2719"/>
    <w:rsid w:val="00322032"/>
    <w:rsid w:val="00393C5E"/>
    <w:rsid w:val="003B10FD"/>
    <w:rsid w:val="003C1F75"/>
    <w:rsid w:val="003F5607"/>
    <w:rsid w:val="00431B51"/>
    <w:rsid w:val="004A68A5"/>
    <w:rsid w:val="004A69E7"/>
    <w:rsid w:val="00512CBE"/>
    <w:rsid w:val="005C34DE"/>
    <w:rsid w:val="005C37D0"/>
    <w:rsid w:val="0062684B"/>
    <w:rsid w:val="00753079"/>
    <w:rsid w:val="007701D2"/>
    <w:rsid w:val="00775B8B"/>
    <w:rsid w:val="007F2A49"/>
    <w:rsid w:val="007F53B1"/>
    <w:rsid w:val="008B0B0B"/>
    <w:rsid w:val="008F5DD2"/>
    <w:rsid w:val="00925431"/>
    <w:rsid w:val="00927A6E"/>
    <w:rsid w:val="00937E60"/>
    <w:rsid w:val="009F55C7"/>
    <w:rsid w:val="00A45CF9"/>
    <w:rsid w:val="00AA2FFF"/>
    <w:rsid w:val="00B65D70"/>
    <w:rsid w:val="00B8195A"/>
    <w:rsid w:val="00B827D5"/>
    <w:rsid w:val="00BD195B"/>
    <w:rsid w:val="00BD66F3"/>
    <w:rsid w:val="00BD6F04"/>
    <w:rsid w:val="00BD7D82"/>
    <w:rsid w:val="00BF209A"/>
    <w:rsid w:val="00C6402C"/>
    <w:rsid w:val="00CE62E7"/>
    <w:rsid w:val="00D807EF"/>
    <w:rsid w:val="00DB4087"/>
    <w:rsid w:val="00DC09E4"/>
    <w:rsid w:val="00E05262"/>
    <w:rsid w:val="00E9161A"/>
    <w:rsid w:val="00EB52E6"/>
    <w:rsid w:val="00F20271"/>
    <w:rsid w:val="00F541FC"/>
    <w:rsid w:val="00FB07D6"/>
    <w:rsid w:val="57B346B8"/>
    <w:rsid w:val="72AE7A4B"/>
    <w:rsid w:val="7F1D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72" w:semiHidden="0" w:name="heading 1"/>
    <w:lsdException w:qFormat="1" w:unhideWhenUsed="0" w:uiPriority="99" w:semiHidden="0" w:name="heading 2"/>
    <w:lsdException w:qFormat="1" w:uiPriority="9" w:semiHidden="0" w:name="heading 3"/>
    <w:lsdException w:unhideWhenUsed="0" w:uiPriority="9" w:semiHidden="0" w:name="heading 4"/>
    <w:lsdException w:unhideWhenUsed="0" w:uiPriority="9" w:semiHidden="0" w:name="heading 5"/>
    <w:lsdException w:unhideWhenUsed="0" w:uiPriority="9" w:semiHidden="0" w:name="heading 6"/>
    <w:lsdException w:qFormat="1" w:unhideWhenUsed="0" w:uiPriority="99" w:semiHidden="0" w:name="heading 7"/>
    <w:lsdException w:qFormat="1" w:unhideWhenUsed="0" w:uiPriority="9" w:semiHidden="0" w:name="heading 8"/>
    <w:lsdException w:qFormat="1" w:unhideWhenUsed="0" w:uiPriority="72"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nhideWhenUsed="0" w:uiPriority="0" w:semiHidden="0"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Arial" w:hAnsi="Arial" w:eastAsia="宋体" w:cs="Times New Roman"/>
      <w:kern w:val="2"/>
      <w:sz w:val="24"/>
      <w:szCs w:val="24"/>
      <w:lang w:val="en-US" w:eastAsia="zh-CN" w:bidi="ar-SA"/>
    </w:rPr>
  </w:style>
  <w:style w:type="paragraph" w:styleId="2">
    <w:name w:val="heading 1"/>
    <w:basedOn w:val="1"/>
    <w:next w:val="1"/>
    <w:link w:val="20"/>
    <w:qFormat/>
    <w:uiPriority w:val="72"/>
    <w:pPr>
      <w:numPr>
        <w:ilvl w:val="0"/>
        <w:numId w:val="1"/>
      </w:numPr>
      <w:spacing w:line="578" w:lineRule="auto"/>
      <w:ind w:right="240" w:rightChars="100" w:firstLineChars="0"/>
      <w:outlineLvl w:val="0"/>
    </w:pPr>
    <w:rPr>
      <w:rFonts w:eastAsia="黑体"/>
      <w:b/>
      <w:bCs/>
      <w:kern w:val="44"/>
      <w:sz w:val="44"/>
      <w:szCs w:val="44"/>
    </w:rPr>
  </w:style>
  <w:style w:type="paragraph" w:styleId="3">
    <w:name w:val="heading 2"/>
    <w:basedOn w:val="1"/>
    <w:next w:val="1"/>
    <w:link w:val="23"/>
    <w:qFormat/>
    <w:uiPriority w:val="99"/>
    <w:pPr>
      <w:keepNext/>
      <w:keepLines/>
      <w:numPr>
        <w:ilvl w:val="1"/>
        <w:numId w:val="1"/>
      </w:numPr>
      <w:spacing w:before="260" w:after="260" w:line="416" w:lineRule="auto"/>
      <w:ind w:firstLineChars="0"/>
      <w:outlineLvl w:val="1"/>
    </w:pPr>
    <w:rPr>
      <w:rFonts w:eastAsia="黑体"/>
      <w:b/>
      <w:bCs/>
      <w:sz w:val="32"/>
      <w:szCs w:val="32"/>
    </w:rPr>
  </w:style>
  <w:style w:type="paragraph" w:styleId="4">
    <w:name w:val="heading 3"/>
    <w:basedOn w:val="1"/>
    <w:next w:val="1"/>
    <w:link w:val="22"/>
    <w:unhideWhenUsed/>
    <w:qFormat/>
    <w:uiPriority w:val="9"/>
    <w:pPr>
      <w:keepNext/>
      <w:keepLines/>
      <w:numPr>
        <w:ilvl w:val="2"/>
        <w:numId w:val="1"/>
      </w:numPr>
      <w:spacing w:before="260" w:after="260" w:line="416" w:lineRule="auto"/>
      <w:ind w:firstLineChars="0"/>
      <w:outlineLvl w:val="2"/>
    </w:pPr>
    <w:rPr>
      <w:b/>
      <w:bCs/>
      <w:sz w:val="32"/>
      <w:szCs w:val="32"/>
    </w:rPr>
  </w:style>
  <w:style w:type="paragraph" w:styleId="5">
    <w:name w:val="heading 4"/>
    <w:basedOn w:val="1"/>
    <w:next w:val="1"/>
    <w:link w:val="28"/>
    <w:uiPriority w:val="9"/>
    <w:pPr>
      <w:keepNext/>
      <w:keepLines/>
      <w:numPr>
        <w:ilvl w:val="3"/>
        <w:numId w:val="1"/>
      </w:numPr>
      <w:spacing w:before="280" w:after="290" w:line="376" w:lineRule="auto"/>
      <w:ind w:firstLineChars="0"/>
      <w:outlineLvl w:val="3"/>
    </w:pPr>
    <w:rPr>
      <w:rFonts w:eastAsia="黑体"/>
      <w:b/>
      <w:bCs/>
      <w:sz w:val="28"/>
      <w:szCs w:val="28"/>
    </w:rPr>
  </w:style>
  <w:style w:type="paragraph" w:styleId="6">
    <w:name w:val="heading 5"/>
    <w:basedOn w:val="1"/>
    <w:next w:val="1"/>
    <w:link w:val="29"/>
    <w:uiPriority w:val="9"/>
    <w:pPr>
      <w:keepNext/>
      <w:keepLines/>
      <w:spacing w:before="280" w:after="290" w:line="376" w:lineRule="auto"/>
      <w:ind w:firstLine="0" w:firstLineChars="0"/>
      <w:outlineLvl w:val="4"/>
    </w:pPr>
    <w:rPr>
      <w:rFonts w:ascii="Calibri" w:hAnsi="Calibri"/>
      <w:b/>
      <w:bCs/>
      <w:sz w:val="28"/>
      <w:szCs w:val="28"/>
    </w:rPr>
  </w:style>
  <w:style w:type="paragraph" w:styleId="7">
    <w:name w:val="heading 6"/>
    <w:basedOn w:val="1"/>
    <w:next w:val="1"/>
    <w:link w:val="27"/>
    <w:uiPriority w:val="9"/>
    <w:pPr>
      <w:keepNext/>
      <w:keepLines/>
      <w:spacing w:before="240" w:after="64" w:line="320" w:lineRule="auto"/>
      <w:ind w:firstLine="0" w:firstLineChars="0"/>
      <w:outlineLvl w:val="5"/>
    </w:pPr>
    <w:rPr>
      <w:rFonts w:eastAsia="黑体"/>
      <w:b/>
      <w:bCs/>
    </w:rPr>
  </w:style>
  <w:style w:type="paragraph" w:styleId="8">
    <w:name w:val="heading 7"/>
    <w:basedOn w:val="1"/>
    <w:next w:val="1"/>
    <w:link w:val="54"/>
    <w:qFormat/>
    <w:uiPriority w:val="99"/>
    <w:pPr>
      <w:keepNext/>
      <w:keepLines/>
      <w:tabs>
        <w:tab w:val="left" w:pos="1296"/>
      </w:tabs>
      <w:adjustRightInd w:val="0"/>
      <w:spacing w:before="240" w:beforeLines="50" w:after="64" w:afterLines="50" w:line="317" w:lineRule="auto"/>
      <w:ind w:left="1296" w:hanging="1296" w:firstLineChars="0"/>
      <w:textAlignment w:val="baseline"/>
      <w:outlineLvl w:val="6"/>
    </w:pPr>
    <w:rPr>
      <w:rFonts w:ascii="Times New Roman" w:hAnsi="Times New Roman"/>
      <w:b/>
      <w:kern w:val="0"/>
    </w:rPr>
  </w:style>
  <w:style w:type="paragraph" w:styleId="9">
    <w:name w:val="heading 8"/>
    <w:basedOn w:val="1"/>
    <w:next w:val="1"/>
    <w:link w:val="55"/>
    <w:qFormat/>
    <w:uiPriority w:val="9"/>
    <w:pPr>
      <w:keepNext/>
      <w:keepLines/>
      <w:tabs>
        <w:tab w:val="left" w:pos="1440"/>
      </w:tabs>
      <w:adjustRightInd w:val="0"/>
      <w:spacing w:before="240" w:beforeLines="50" w:after="64" w:afterLines="50" w:line="317" w:lineRule="auto"/>
      <w:ind w:left="1440" w:hanging="1440" w:firstLineChars="0"/>
      <w:textAlignment w:val="baseline"/>
      <w:outlineLvl w:val="7"/>
    </w:pPr>
    <w:rPr>
      <w:rFonts w:eastAsia="黑体"/>
      <w:kern w:val="0"/>
    </w:rPr>
  </w:style>
  <w:style w:type="paragraph" w:styleId="10">
    <w:name w:val="heading 9"/>
    <w:basedOn w:val="1"/>
    <w:next w:val="1"/>
    <w:link w:val="56"/>
    <w:qFormat/>
    <w:uiPriority w:val="72"/>
    <w:pPr>
      <w:keepNext/>
      <w:keepLines/>
      <w:tabs>
        <w:tab w:val="left" w:pos="1584"/>
      </w:tabs>
      <w:adjustRightInd w:val="0"/>
      <w:spacing w:before="240" w:beforeLines="50" w:after="64" w:afterLines="50" w:line="317" w:lineRule="auto"/>
      <w:ind w:left="1584" w:hanging="1584" w:firstLineChars="0"/>
      <w:textAlignment w:val="baseline"/>
      <w:outlineLvl w:val="8"/>
    </w:pPr>
    <w:rPr>
      <w:rFonts w:eastAsia="黑体"/>
      <w:kern w:val="0"/>
      <w:sz w:val="21"/>
    </w:rPr>
  </w:style>
  <w:style w:type="character" w:default="1" w:styleId="19">
    <w:name w:val="Default Paragraph Font"/>
    <w:unhideWhenUsed/>
    <w:uiPriority w:val="1"/>
  </w:style>
  <w:style w:type="table" w:default="1" w:styleId="18">
    <w:name w:val="Normal Table"/>
    <w:unhideWhenUsed/>
    <w:uiPriority w:val="99"/>
    <w:tblPr>
      <w:tblCellMar>
        <w:top w:w="0" w:type="dxa"/>
        <w:left w:w="108" w:type="dxa"/>
        <w:bottom w:w="0" w:type="dxa"/>
        <w:right w:w="108" w:type="dxa"/>
      </w:tblCellMar>
    </w:tblPr>
  </w:style>
  <w:style w:type="paragraph" w:styleId="11">
    <w:name w:val="Normal Indent"/>
    <w:basedOn w:val="1"/>
    <w:link w:val="38"/>
    <w:qFormat/>
    <w:uiPriority w:val="0"/>
    <w:pPr>
      <w:spacing w:line="240" w:lineRule="auto"/>
      <w:ind w:firstLine="420"/>
      <w:jc w:val="both"/>
    </w:pPr>
    <w:rPr>
      <w:rFonts w:ascii="Times New Roman" w:hAnsi="Times New Roman"/>
      <w:sz w:val="21"/>
    </w:rPr>
  </w:style>
  <w:style w:type="paragraph" w:styleId="12">
    <w:name w:val="caption"/>
    <w:basedOn w:val="1"/>
    <w:next w:val="1"/>
    <w:link w:val="31"/>
    <w:qFormat/>
    <w:uiPriority w:val="0"/>
    <w:pPr>
      <w:spacing w:line="240" w:lineRule="auto"/>
      <w:ind w:firstLine="0" w:firstLineChars="0"/>
    </w:pPr>
    <w:rPr>
      <w:rFonts w:eastAsia="黑体" w:cs="Arial"/>
      <w:sz w:val="20"/>
      <w:szCs w:val="20"/>
    </w:rPr>
  </w:style>
  <w:style w:type="paragraph" w:styleId="13">
    <w:name w:val="Closing"/>
    <w:basedOn w:val="1"/>
    <w:link w:val="39"/>
    <w:uiPriority w:val="0"/>
    <w:pPr>
      <w:numPr>
        <w:ilvl w:val="8"/>
        <w:numId w:val="2"/>
      </w:numPr>
      <w:spacing w:line="240" w:lineRule="auto"/>
      <w:ind w:firstLineChars="0"/>
      <w:jc w:val="both"/>
    </w:pPr>
    <w:rPr>
      <w:rFonts w:ascii="宋体" w:hAnsi="宋体"/>
      <w:color w:val="000000"/>
      <w:szCs w:val="20"/>
      <w:lang w:val="zh-CN" w:eastAsia="zh-CN"/>
    </w:rPr>
  </w:style>
  <w:style w:type="paragraph" w:styleId="14">
    <w:name w:val="Body Text"/>
    <w:basedOn w:val="1"/>
    <w:link w:val="46"/>
    <w:unhideWhenUsed/>
    <w:uiPriority w:val="99"/>
    <w:pPr>
      <w:spacing w:after="120"/>
    </w:pPr>
  </w:style>
  <w:style w:type="paragraph" w:styleId="15">
    <w:name w:val="footer"/>
    <w:basedOn w:val="1"/>
    <w:link w:val="37"/>
    <w:unhideWhenUsed/>
    <w:uiPriority w:val="99"/>
    <w:pPr>
      <w:tabs>
        <w:tab w:val="center" w:pos="4153"/>
        <w:tab w:val="right" w:pos="8306"/>
      </w:tabs>
      <w:snapToGrid w:val="0"/>
      <w:spacing w:line="240" w:lineRule="auto"/>
    </w:pPr>
    <w:rPr>
      <w:sz w:val="18"/>
      <w:szCs w:val="18"/>
    </w:rPr>
  </w:style>
  <w:style w:type="paragraph" w:styleId="16">
    <w:name w:val="header"/>
    <w:basedOn w:val="1"/>
    <w:link w:val="3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Body Text First Indent"/>
    <w:basedOn w:val="14"/>
    <w:link w:val="47"/>
    <w:unhideWhenUsed/>
    <w:uiPriority w:val="99"/>
    <w:pPr>
      <w:ind w:firstLine="420" w:firstLineChars="100"/>
    </w:pPr>
  </w:style>
  <w:style w:type="character" w:customStyle="1" w:styleId="20">
    <w:name w:val="标题 1 字符"/>
    <w:basedOn w:val="19"/>
    <w:link w:val="2"/>
    <w:uiPriority w:val="0"/>
    <w:rPr>
      <w:rFonts w:ascii="Arial" w:hAnsi="Arial" w:eastAsia="黑体" w:cs="Times New Roman"/>
      <w:b/>
      <w:bCs/>
      <w:kern w:val="44"/>
      <w:sz w:val="44"/>
      <w:szCs w:val="44"/>
    </w:rPr>
  </w:style>
  <w:style w:type="paragraph" w:customStyle="1" w:styleId="21">
    <w:name w:val="List Paragraph"/>
    <w:basedOn w:val="1"/>
    <w:qFormat/>
    <w:uiPriority w:val="34"/>
    <w:pPr>
      <w:ind w:firstLine="420"/>
    </w:pPr>
  </w:style>
  <w:style w:type="character" w:customStyle="1" w:styleId="22">
    <w:name w:val="标题 3 字符"/>
    <w:basedOn w:val="19"/>
    <w:link w:val="4"/>
    <w:semiHidden/>
    <w:uiPriority w:val="9"/>
    <w:rPr>
      <w:rFonts w:ascii="Arial" w:hAnsi="Arial" w:eastAsia="宋体" w:cs="Times New Roman"/>
      <w:b/>
      <w:bCs/>
      <w:sz w:val="32"/>
      <w:szCs w:val="32"/>
    </w:rPr>
  </w:style>
  <w:style w:type="character" w:customStyle="1" w:styleId="23">
    <w:name w:val="标题 2 字符"/>
    <w:basedOn w:val="19"/>
    <w:link w:val="3"/>
    <w:uiPriority w:val="0"/>
    <w:rPr>
      <w:rFonts w:ascii="Arial" w:hAnsi="Arial" w:eastAsia="黑体" w:cs="Times New Roman"/>
      <w:b/>
      <w:bCs/>
      <w:sz w:val="32"/>
      <w:szCs w:val="32"/>
    </w:rPr>
  </w:style>
  <w:style w:type="character" w:customStyle="1" w:styleId="24">
    <w:name w:val="标题 4 字符"/>
    <w:basedOn w:val="19"/>
    <w:semiHidden/>
    <w:uiPriority w:val="9"/>
    <w:rPr>
      <w:rFonts w:asciiTheme="majorHAnsi" w:hAnsiTheme="majorHAnsi" w:eastAsiaTheme="majorEastAsia" w:cstheme="majorBidi"/>
      <w:b/>
      <w:bCs/>
      <w:sz w:val="28"/>
      <w:szCs w:val="28"/>
    </w:rPr>
  </w:style>
  <w:style w:type="character" w:customStyle="1" w:styleId="25">
    <w:name w:val="标题 5 字符"/>
    <w:basedOn w:val="19"/>
    <w:semiHidden/>
    <w:qFormat/>
    <w:uiPriority w:val="9"/>
    <w:rPr>
      <w:rFonts w:ascii="Arial" w:hAnsi="Arial" w:eastAsia="宋体" w:cs="Times New Roman"/>
      <w:b/>
      <w:bCs/>
      <w:sz w:val="28"/>
      <w:szCs w:val="28"/>
    </w:rPr>
  </w:style>
  <w:style w:type="character" w:customStyle="1" w:styleId="26">
    <w:name w:val="标题 6 字符"/>
    <w:basedOn w:val="19"/>
    <w:semiHidden/>
    <w:qFormat/>
    <w:uiPriority w:val="9"/>
    <w:rPr>
      <w:rFonts w:asciiTheme="majorHAnsi" w:hAnsiTheme="majorHAnsi" w:eastAsiaTheme="majorEastAsia" w:cstheme="majorBidi"/>
      <w:b/>
      <w:bCs/>
      <w:sz w:val="24"/>
      <w:szCs w:val="24"/>
    </w:rPr>
  </w:style>
  <w:style w:type="character" w:customStyle="1" w:styleId="27">
    <w:name w:val="标题 6 字符1"/>
    <w:link w:val="7"/>
    <w:qFormat/>
    <w:locked/>
    <w:uiPriority w:val="0"/>
    <w:rPr>
      <w:rFonts w:ascii="Arial" w:hAnsi="Arial" w:eastAsia="黑体" w:cs="Times New Roman"/>
      <w:b/>
      <w:bCs/>
      <w:sz w:val="24"/>
      <w:szCs w:val="24"/>
    </w:rPr>
  </w:style>
  <w:style w:type="character" w:customStyle="1" w:styleId="28">
    <w:name w:val="标题 4 字符1"/>
    <w:link w:val="5"/>
    <w:locked/>
    <w:uiPriority w:val="0"/>
    <w:rPr>
      <w:rFonts w:ascii="Arial" w:hAnsi="Arial" w:eastAsia="黑体" w:cs="Times New Roman"/>
      <w:b/>
      <w:bCs/>
      <w:sz w:val="28"/>
      <w:szCs w:val="28"/>
    </w:rPr>
  </w:style>
  <w:style w:type="character" w:customStyle="1" w:styleId="29">
    <w:name w:val="标题 5 字符1"/>
    <w:link w:val="6"/>
    <w:locked/>
    <w:uiPriority w:val="0"/>
    <w:rPr>
      <w:rFonts w:ascii="Calibri" w:hAnsi="Calibri" w:eastAsia="宋体" w:cs="Times New Roman"/>
      <w:b/>
      <w:bCs/>
      <w:sz w:val="28"/>
      <w:szCs w:val="28"/>
    </w:rPr>
  </w:style>
  <w:style w:type="paragraph" w:customStyle="1" w:styleId="30">
    <w:name w:val="_Style 23"/>
    <w:basedOn w:val="1"/>
    <w:next w:val="21"/>
    <w:link w:val="33"/>
    <w:qFormat/>
    <w:uiPriority w:val="34"/>
    <w:pPr>
      <w:ind w:firstLine="420"/>
    </w:pPr>
    <w:rPr>
      <w:rFonts w:asciiTheme="minorHAnsi" w:hAnsiTheme="minorHAnsi" w:eastAsiaTheme="minorEastAsia" w:cstheme="minorBidi"/>
      <w:sz w:val="21"/>
      <w:szCs w:val="22"/>
    </w:rPr>
  </w:style>
  <w:style w:type="character" w:customStyle="1" w:styleId="31">
    <w:name w:val="题注 字符"/>
    <w:link w:val="12"/>
    <w:uiPriority w:val="0"/>
    <w:rPr>
      <w:rFonts w:ascii="Arial" w:hAnsi="Arial" w:eastAsia="黑体" w:cs="Arial"/>
      <w:sz w:val="20"/>
      <w:szCs w:val="20"/>
    </w:rPr>
  </w:style>
  <w:style w:type="paragraph" w:customStyle="1" w:styleId="32">
    <w:name w:val="表格（小四号字）"/>
    <w:basedOn w:val="1"/>
    <w:uiPriority w:val="0"/>
    <w:pPr>
      <w:keepNext/>
      <w:adjustRightInd w:val="0"/>
      <w:jc w:val="center"/>
    </w:pPr>
    <w:rPr>
      <w:rFonts w:ascii="宋体" w:hAnsi="宋体"/>
      <w:kern w:val="0"/>
      <w:szCs w:val="20"/>
      <w:lang w:val="en-GB"/>
    </w:rPr>
  </w:style>
  <w:style w:type="character" w:customStyle="1" w:styleId="33">
    <w:name w:val="列出段落 字符"/>
    <w:link w:val="30"/>
    <w:uiPriority w:val="34"/>
    <w:rPr>
      <w:kern w:val="2"/>
      <w:sz w:val="21"/>
      <w:szCs w:val="22"/>
    </w:rPr>
  </w:style>
  <w:style w:type="paragraph" w:customStyle="1" w:styleId="34">
    <w:name w:val="_Style 27"/>
    <w:basedOn w:val="1"/>
    <w:next w:val="21"/>
    <w:qFormat/>
    <w:uiPriority w:val="34"/>
    <w:pPr>
      <w:ind w:firstLine="420"/>
      <w:jc w:val="both"/>
    </w:pPr>
    <w:rPr>
      <w:rFonts w:ascii="Calibri" w:hAnsi="Calibri"/>
      <w:sz w:val="21"/>
      <w:szCs w:val="22"/>
    </w:rPr>
  </w:style>
  <w:style w:type="character" w:customStyle="1" w:styleId="35">
    <w:name w:val="题注 Char"/>
    <w:uiPriority w:val="0"/>
    <w:rPr>
      <w:rFonts w:ascii="Arial" w:hAnsi="Arial" w:eastAsia="黑体" w:cs="Arial"/>
      <w:kern w:val="2"/>
    </w:rPr>
  </w:style>
  <w:style w:type="character" w:customStyle="1" w:styleId="36">
    <w:name w:val="页眉 字符"/>
    <w:basedOn w:val="19"/>
    <w:link w:val="16"/>
    <w:uiPriority w:val="99"/>
    <w:rPr>
      <w:rFonts w:ascii="Arial" w:hAnsi="Arial" w:eastAsia="宋体" w:cs="Times New Roman"/>
      <w:sz w:val="18"/>
      <w:szCs w:val="18"/>
    </w:rPr>
  </w:style>
  <w:style w:type="character" w:customStyle="1" w:styleId="37">
    <w:name w:val="页脚 字符"/>
    <w:basedOn w:val="19"/>
    <w:link w:val="15"/>
    <w:uiPriority w:val="99"/>
    <w:rPr>
      <w:rFonts w:ascii="Arial" w:hAnsi="Arial" w:eastAsia="宋体" w:cs="Times New Roman"/>
      <w:sz w:val="18"/>
      <w:szCs w:val="18"/>
    </w:rPr>
  </w:style>
  <w:style w:type="character" w:customStyle="1" w:styleId="38">
    <w:name w:val="正文缩进 字符"/>
    <w:link w:val="11"/>
    <w:uiPriority w:val="0"/>
    <w:rPr>
      <w:rFonts w:ascii="Times New Roman" w:hAnsi="Times New Roman" w:eastAsia="宋体" w:cs="Times New Roman"/>
      <w:szCs w:val="24"/>
    </w:rPr>
  </w:style>
  <w:style w:type="character" w:customStyle="1" w:styleId="39">
    <w:name w:val="结束语 字符"/>
    <w:basedOn w:val="19"/>
    <w:link w:val="13"/>
    <w:uiPriority w:val="0"/>
    <w:rPr>
      <w:rFonts w:ascii="宋体" w:hAnsi="宋体" w:eastAsia="宋体" w:cs="Times New Roman"/>
      <w:color w:val="000000"/>
      <w:sz w:val="24"/>
      <w:szCs w:val="20"/>
      <w:lang w:val="zh-CN" w:eastAsia="zh-CN"/>
    </w:rPr>
  </w:style>
  <w:style w:type="paragraph" w:customStyle="1" w:styleId="40">
    <w:name w:val="_Style 37"/>
    <w:basedOn w:val="14"/>
    <w:next w:val="17"/>
    <w:uiPriority w:val="99"/>
    <w:pPr>
      <w:spacing w:line="240" w:lineRule="auto"/>
      <w:ind w:firstLine="0" w:firstLineChars="0"/>
      <w:jc w:val="both"/>
    </w:pPr>
    <w:rPr>
      <w:rFonts w:ascii="Times New Roman" w:hAnsi="Times New Roman"/>
      <w:sz w:val="21"/>
    </w:rPr>
  </w:style>
  <w:style w:type="paragraph" w:customStyle="1" w:styleId="41">
    <w:name w:val="HH1"/>
    <w:basedOn w:val="1"/>
    <w:uiPriority w:val="0"/>
    <w:pPr>
      <w:widowControl/>
      <w:numPr>
        <w:ilvl w:val="0"/>
        <w:numId w:val="2"/>
      </w:numPr>
      <w:spacing w:after="312" w:afterLines="100"/>
      <w:ind w:firstLineChars="0"/>
      <w:jc w:val="center"/>
      <w:outlineLvl w:val="0"/>
    </w:pPr>
    <w:rPr>
      <w:rFonts w:ascii="宋体" w:hAnsi="宋体"/>
      <w:b/>
      <w:sz w:val="36"/>
      <w:szCs w:val="22"/>
    </w:rPr>
  </w:style>
  <w:style w:type="paragraph" w:customStyle="1" w:styleId="42">
    <w:name w:val="HH2"/>
    <w:basedOn w:val="1"/>
    <w:link w:val="43"/>
    <w:uiPriority w:val="0"/>
    <w:pPr>
      <w:widowControl/>
      <w:numPr>
        <w:ilvl w:val="1"/>
        <w:numId w:val="2"/>
      </w:numPr>
      <w:spacing w:before="156" w:beforeLines="50"/>
      <w:ind w:firstLineChars="0"/>
      <w:outlineLvl w:val="1"/>
    </w:pPr>
    <w:rPr>
      <w:rFonts w:ascii="宋体" w:hAnsi="宋体"/>
      <w:b/>
      <w:sz w:val="32"/>
      <w:szCs w:val="22"/>
    </w:rPr>
  </w:style>
  <w:style w:type="character" w:customStyle="1" w:styleId="43">
    <w:name w:val="HH2 Char"/>
    <w:link w:val="42"/>
    <w:uiPriority w:val="0"/>
    <w:rPr>
      <w:rFonts w:ascii="宋体" w:hAnsi="宋体" w:eastAsia="宋体" w:cs="Times New Roman"/>
      <w:b/>
      <w:sz w:val="32"/>
    </w:rPr>
  </w:style>
  <w:style w:type="paragraph" w:customStyle="1" w:styleId="44">
    <w:name w:val="HH3"/>
    <w:basedOn w:val="1"/>
    <w:link w:val="51"/>
    <w:uiPriority w:val="0"/>
    <w:pPr>
      <w:widowControl/>
      <w:numPr>
        <w:ilvl w:val="2"/>
        <w:numId w:val="2"/>
      </w:numPr>
      <w:spacing w:before="120" w:after="120"/>
      <w:ind w:firstLineChars="0"/>
      <w:outlineLvl w:val="2"/>
    </w:pPr>
    <w:rPr>
      <w:rFonts w:ascii="宋体" w:hAnsi="宋体"/>
      <w:b/>
      <w:bCs/>
      <w:spacing w:val="10"/>
      <w:sz w:val="30"/>
      <w:szCs w:val="20"/>
    </w:rPr>
  </w:style>
  <w:style w:type="paragraph" w:customStyle="1" w:styleId="45">
    <w:name w:val="HH4"/>
    <w:basedOn w:val="1"/>
    <w:next w:val="1"/>
    <w:link w:val="52"/>
    <w:uiPriority w:val="0"/>
    <w:pPr>
      <w:keepNext/>
      <w:widowControl/>
      <w:numPr>
        <w:ilvl w:val="3"/>
        <w:numId w:val="2"/>
      </w:numPr>
      <w:ind w:firstLineChars="0"/>
      <w:outlineLvl w:val="3"/>
    </w:pPr>
    <w:rPr>
      <w:rFonts w:ascii="新宋体" w:hAnsi="新宋体"/>
      <w:b/>
      <w:spacing w:val="10"/>
    </w:rPr>
  </w:style>
  <w:style w:type="character" w:customStyle="1" w:styleId="46">
    <w:name w:val="正文文本 字符"/>
    <w:basedOn w:val="19"/>
    <w:link w:val="14"/>
    <w:semiHidden/>
    <w:uiPriority w:val="99"/>
    <w:rPr>
      <w:rFonts w:ascii="Arial" w:hAnsi="Arial" w:eastAsia="宋体" w:cs="Times New Roman"/>
      <w:sz w:val="24"/>
      <w:szCs w:val="24"/>
    </w:rPr>
  </w:style>
  <w:style w:type="character" w:customStyle="1" w:styleId="47">
    <w:name w:val="正文文本首行缩进 字符"/>
    <w:basedOn w:val="46"/>
    <w:link w:val="17"/>
    <w:semiHidden/>
    <w:uiPriority w:val="99"/>
    <w:rPr>
      <w:rFonts w:ascii="Arial" w:hAnsi="Arial" w:eastAsia="宋体" w:cs="Times New Roman"/>
      <w:sz w:val="24"/>
      <w:szCs w:val="24"/>
    </w:rPr>
  </w:style>
  <w:style w:type="paragraph" w:customStyle="1" w:styleId="48">
    <w:name w:val="文档正文"/>
    <w:basedOn w:val="1"/>
    <w:link w:val="53"/>
    <w:qFormat/>
    <w:uiPriority w:val="0"/>
    <w:pPr>
      <w:adjustRightInd w:val="0"/>
      <w:spacing w:line="480" w:lineRule="atLeast"/>
      <w:ind w:firstLine="567" w:firstLineChars="0"/>
      <w:jc w:val="both"/>
      <w:textAlignment w:val="baseline"/>
    </w:pPr>
    <w:rPr>
      <w:rFonts w:ascii="长城仿宋" w:hAnsi="Times New Roman"/>
      <w:kern w:val="0"/>
      <w:szCs w:val="20"/>
    </w:rPr>
  </w:style>
  <w:style w:type="paragraph" w:customStyle="1" w:styleId="49">
    <w:name w:val="￥正文"/>
    <w:basedOn w:val="1"/>
    <w:link w:val="50"/>
    <w:uiPriority w:val="0"/>
    <w:pPr>
      <w:jc w:val="both"/>
    </w:pPr>
    <w:rPr>
      <w:rFonts w:ascii="Calibri" w:hAnsi="Calibri"/>
      <w:szCs w:val="22"/>
    </w:rPr>
  </w:style>
  <w:style w:type="character" w:customStyle="1" w:styleId="50">
    <w:name w:val="￥正文 Char"/>
    <w:link w:val="49"/>
    <w:uiPriority w:val="0"/>
    <w:rPr>
      <w:rFonts w:ascii="Calibri" w:hAnsi="Calibri" w:eastAsia="宋体" w:cs="Times New Roman"/>
      <w:sz w:val="24"/>
    </w:rPr>
  </w:style>
  <w:style w:type="character" w:customStyle="1" w:styleId="51">
    <w:name w:val="HH3 Char"/>
    <w:link w:val="44"/>
    <w:uiPriority w:val="0"/>
    <w:rPr>
      <w:rFonts w:ascii="宋体" w:hAnsi="宋体" w:eastAsia="宋体" w:cs="Times New Roman"/>
      <w:b/>
      <w:bCs/>
      <w:spacing w:val="10"/>
      <w:sz w:val="30"/>
      <w:szCs w:val="20"/>
    </w:rPr>
  </w:style>
  <w:style w:type="character" w:customStyle="1" w:styleId="52">
    <w:name w:val="HH4 Char"/>
    <w:link w:val="45"/>
    <w:uiPriority w:val="0"/>
    <w:rPr>
      <w:rFonts w:ascii="新宋体" w:hAnsi="新宋体" w:eastAsia="宋体" w:cs="Times New Roman"/>
      <w:b/>
      <w:spacing w:val="10"/>
      <w:sz w:val="24"/>
      <w:szCs w:val="24"/>
    </w:rPr>
  </w:style>
  <w:style w:type="character" w:customStyle="1" w:styleId="53">
    <w:name w:val="文档正文 Char"/>
    <w:link w:val="48"/>
    <w:uiPriority w:val="0"/>
    <w:rPr>
      <w:rFonts w:ascii="长城仿宋" w:hAnsi="Times New Roman" w:eastAsia="宋体" w:cs="Times New Roman"/>
      <w:kern w:val="0"/>
      <w:sz w:val="24"/>
      <w:szCs w:val="20"/>
    </w:rPr>
  </w:style>
  <w:style w:type="character" w:customStyle="1" w:styleId="54">
    <w:name w:val="标题 7 字符"/>
    <w:basedOn w:val="19"/>
    <w:link w:val="8"/>
    <w:uiPriority w:val="99"/>
    <w:rPr>
      <w:rFonts w:ascii="Times New Roman" w:hAnsi="Times New Roman" w:eastAsia="宋体" w:cs="Times New Roman"/>
      <w:b/>
      <w:kern w:val="0"/>
      <w:sz w:val="24"/>
      <w:szCs w:val="24"/>
    </w:rPr>
  </w:style>
  <w:style w:type="character" w:customStyle="1" w:styleId="55">
    <w:name w:val="标题 8 字符"/>
    <w:basedOn w:val="19"/>
    <w:link w:val="9"/>
    <w:uiPriority w:val="9"/>
    <w:rPr>
      <w:rFonts w:ascii="Arial" w:hAnsi="Arial" w:eastAsia="黑体" w:cs="Times New Roman"/>
      <w:kern w:val="0"/>
      <w:sz w:val="24"/>
      <w:szCs w:val="24"/>
    </w:rPr>
  </w:style>
  <w:style w:type="character" w:customStyle="1" w:styleId="56">
    <w:name w:val="标题 9 字符"/>
    <w:basedOn w:val="19"/>
    <w:link w:val="10"/>
    <w:uiPriority w:val="72"/>
    <w:rPr>
      <w:rFonts w:ascii="Arial" w:hAnsi="Arial" w:eastAsia="黑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1346</Words>
  <Characters>7673</Characters>
  <Lines>63</Lines>
  <Paragraphs>18</Paragraphs>
  <TotalTime>0</TotalTime>
  <ScaleCrop>false</ScaleCrop>
  <LinksUpToDate>false</LinksUpToDate>
  <CharactersWithSpaces>9001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2020-02-05T18:06:00Z</dcterms:created>
  <dc:creator>石 锋利</dc:creator>
  <cp:lastModifiedBy>qy0763</cp:lastModifiedBy>
  <dcterms:modified xsi:type="dcterms:W3CDTF">2020-02-19T08:36:44Z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