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关于《</w:t>
      </w:r>
      <w:r>
        <w:rPr>
          <w:rFonts w:hint="eastAsia"/>
          <w:b/>
          <w:bCs/>
          <w:color w:val="000000" w:themeColor="text1"/>
          <w:sz w:val="36"/>
          <w:szCs w:val="36"/>
          <w:lang w:eastAsia="zh-CN"/>
          <w14:textFill>
            <w14:solidFill>
              <w14:schemeClr w14:val="tx1"/>
            </w14:solidFill>
          </w14:textFill>
        </w:rPr>
        <w:t>中顶豪瑞（广东）建材科技有限公司年产40000吨铝板天花板建设项目</w:t>
      </w:r>
      <w:r>
        <w:rPr>
          <w:rFonts w:hint="eastAsia"/>
          <w:b/>
          <w:bCs/>
          <w:color w:val="000000" w:themeColor="text1"/>
          <w:sz w:val="36"/>
          <w:szCs w:val="36"/>
          <w14:textFill>
            <w14:solidFill>
              <w14:schemeClr w14:val="tx1"/>
            </w14:solidFill>
          </w14:textFill>
        </w:rPr>
        <w:t>环境影响报告表》的批复</w:t>
      </w:r>
    </w:p>
    <w:p>
      <w:pPr>
        <w:rPr>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中顶豪瑞（广东）建材科技有限公司</w:t>
      </w:r>
      <w:r>
        <w:rPr>
          <w:rFonts w:ascii="Times New Roman" w:hAnsi="Times New Roman" w:eastAsia="仿宋" w:cs="Times New Roman"/>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你公司报</w:t>
      </w:r>
      <w:r>
        <w:rPr>
          <w:rFonts w:hint="eastAsia" w:ascii="Times New Roman" w:hAnsi="Times New Roman" w:eastAsia="仿宋" w:cs="Times New Roman"/>
          <w:color w:val="000000" w:themeColor="text1"/>
          <w:sz w:val="30"/>
          <w:szCs w:val="30"/>
          <w14:textFill>
            <w14:solidFill>
              <w14:schemeClr w14:val="tx1"/>
            </w14:solidFill>
          </w14:textFill>
        </w:rPr>
        <w:t>批</w:t>
      </w:r>
      <w:r>
        <w:rPr>
          <w:rFonts w:ascii="Times New Roman" w:hAnsi="Times New Roman" w:eastAsia="仿宋" w:cs="Times New Roman"/>
          <w:color w:val="000000" w:themeColor="text1"/>
          <w:sz w:val="30"/>
          <w:szCs w:val="30"/>
          <w14:textFill>
            <w14:solidFill>
              <w14:schemeClr w14:val="tx1"/>
            </w14:solidFill>
          </w14:textFill>
        </w:rPr>
        <w:t>的《</w:t>
      </w:r>
      <w:r>
        <w:rPr>
          <w:rFonts w:hint="eastAsia" w:ascii="Times New Roman" w:hAnsi="Times New Roman" w:eastAsia="仿宋" w:cs="Times New Roman"/>
          <w:color w:val="000000" w:themeColor="text1"/>
          <w:sz w:val="30"/>
          <w:szCs w:val="30"/>
          <w:lang w:eastAsia="zh-CN"/>
          <w14:textFill>
            <w14:solidFill>
              <w14:schemeClr w14:val="tx1"/>
            </w14:solidFill>
          </w14:textFill>
        </w:rPr>
        <w:t>中顶豪瑞（广东）建材科技有限公司年产</w:t>
      </w:r>
      <w:r>
        <w:rPr>
          <w:rFonts w:hint="eastAsia" w:ascii="仿宋" w:hAnsi="仿宋" w:eastAsia="仿宋" w:cs="仿宋"/>
          <w:color w:val="000000" w:themeColor="text1"/>
          <w:sz w:val="30"/>
          <w:szCs w:val="30"/>
          <w:lang w:eastAsia="zh-CN"/>
          <w14:textFill>
            <w14:solidFill>
              <w14:schemeClr w14:val="tx1"/>
            </w14:solidFill>
          </w14:textFill>
        </w:rPr>
        <w:t>40000吨铝板天</w:t>
      </w:r>
      <w:r>
        <w:rPr>
          <w:rFonts w:hint="eastAsia" w:ascii="Times New Roman" w:hAnsi="Times New Roman" w:eastAsia="仿宋" w:cs="Times New Roman"/>
          <w:color w:val="000000" w:themeColor="text1"/>
          <w:sz w:val="30"/>
          <w:szCs w:val="30"/>
          <w:lang w:eastAsia="zh-CN"/>
          <w14:textFill>
            <w14:solidFill>
              <w14:schemeClr w14:val="tx1"/>
            </w14:solidFill>
          </w14:textFill>
        </w:rPr>
        <w:t>花板建设项目</w:t>
      </w:r>
      <w:r>
        <w:rPr>
          <w:rFonts w:ascii="Times New Roman" w:hAnsi="Times New Roman" w:eastAsia="仿宋" w:cs="Times New Roman"/>
          <w:color w:val="000000" w:themeColor="text1"/>
          <w:sz w:val="30"/>
          <w:szCs w:val="30"/>
          <w14:textFill>
            <w14:solidFill>
              <w14:schemeClr w14:val="tx1"/>
            </w14:solidFill>
          </w14:textFill>
        </w:rPr>
        <w:t>环境影响报告表》（以下简称“报告表”）</w:t>
      </w:r>
      <w:r>
        <w:rPr>
          <w:rFonts w:hint="eastAsia" w:ascii="Times New Roman" w:hAnsi="Times New Roman" w:eastAsia="仿宋" w:cs="Times New Roman"/>
          <w:color w:val="000000" w:themeColor="text1"/>
          <w:sz w:val="30"/>
          <w:szCs w:val="30"/>
          <w14:textFill>
            <w14:solidFill>
              <w14:schemeClr w14:val="tx1"/>
            </w14:solidFill>
          </w14:textFill>
        </w:rPr>
        <w:t>等材料</w:t>
      </w:r>
      <w:r>
        <w:rPr>
          <w:rFonts w:ascii="Times New Roman" w:hAnsi="Times New Roman" w:eastAsia="仿宋" w:cs="Times New Roman"/>
          <w:color w:val="000000" w:themeColor="text1"/>
          <w:sz w:val="30"/>
          <w:szCs w:val="30"/>
          <w14:textFill>
            <w14:solidFill>
              <w14:schemeClr w14:val="tx1"/>
            </w14:solidFill>
          </w14:textFill>
        </w:rPr>
        <w:t>收悉。根据《</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中华人民共和国环境影响评价法</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《建设项目环境保护管理条例》及有关法律、法规规定</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w:t>
      </w:r>
      <w:r>
        <w:rPr>
          <w:rFonts w:hint="eastAsia" w:ascii="Times New Roman" w:hAnsi="Times New Roman" w:eastAsia="仿宋" w:cs="Times New Roman"/>
          <w:color w:val="000000" w:themeColor="text1"/>
          <w:sz w:val="30"/>
          <w:szCs w:val="30"/>
          <w14:textFill>
            <w14:solidFill>
              <w14:schemeClr w14:val="tx1"/>
            </w14:solidFill>
          </w14:textFill>
        </w:rPr>
        <w:t>经研究，</w:t>
      </w:r>
      <w:r>
        <w:rPr>
          <w:rFonts w:ascii="Times New Roman" w:hAnsi="Times New Roman" w:eastAsia="仿宋" w:cs="Times New Roman"/>
          <w:color w:val="000000" w:themeColor="text1"/>
          <w:sz w:val="30"/>
          <w:szCs w:val="30"/>
          <w14:textFill>
            <w14:solidFill>
              <w14:schemeClr w14:val="tx1"/>
            </w14:solidFill>
          </w14:textFill>
        </w:rPr>
        <w:t>批复如下：</w:t>
      </w:r>
    </w:p>
    <w:p>
      <w:pPr>
        <w:keepNext w:val="0"/>
        <w:keepLines w:val="0"/>
        <w:pageBreakBefore w:val="0"/>
        <w:widowControl w:val="0"/>
        <w:numPr>
          <w:ilvl w:val="0"/>
          <w:numId w:val="0"/>
        </w:numPr>
        <w:kinsoku/>
        <w:wordWrap/>
        <w:overflowPunct/>
        <w:topLinePunct w:val="0"/>
        <w:bidi w:val="0"/>
        <w:snapToGrid/>
        <w:spacing w:line="560" w:lineRule="exact"/>
        <w:ind w:firstLine="600" w:firstLineChars="200"/>
        <w:rPr>
          <w:rFonts w:hint="eastAsia" w:ascii="Times New Roman" w:hAnsi="Times New Roman" w:eastAsia="仿宋" w:cs="Times New Roman"/>
          <w:color w:val="000000" w:themeColor="text1"/>
          <w:sz w:val="30"/>
          <w:szCs w:val="30"/>
          <w:lang w:eastAsia="zh-CN"/>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一、中顶豪瑞（广东）建材科技有限公司年</w:t>
      </w:r>
      <w:r>
        <w:rPr>
          <w:rFonts w:hint="eastAsia" w:ascii="仿宋" w:hAnsi="仿宋" w:eastAsia="仿宋" w:cs="仿宋"/>
          <w:color w:val="000000" w:themeColor="text1"/>
          <w:sz w:val="30"/>
          <w:szCs w:val="30"/>
          <w:lang w:eastAsia="zh-CN"/>
          <w14:textFill>
            <w14:solidFill>
              <w14:schemeClr w14:val="tx1"/>
            </w14:solidFill>
          </w14:textFill>
        </w:rPr>
        <w:t>产40000吨</w:t>
      </w:r>
      <w:r>
        <w:rPr>
          <w:rFonts w:hint="eastAsia" w:ascii="Times New Roman" w:hAnsi="Times New Roman" w:eastAsia="仿宋" w:cs="Times New Roman"/>
          <w:color w:val="000000" w:themeColor="text1"/>
          <w:sz w:val="30"/>
          <w:szCs w:val="30"/>
          <w:lang w:eastAsia="zh-CN"/>
          <w14:textFill>
            <w14:solidFill>
              <w14:schemeClr w14:val="tx1"/>
            </w14:solidFill>
          </w14:textFill>
        </w:rPr>
        <w:t>铝板天花板建设项目</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选址</w:t>
      </w:r>
      <w:r>
        <w:rPr>
          <w:rFonts w:hint="eastAsia" w:ascii="Times New Roman" w:hAnsi="Times New Roman" w:eastAsia="仿宋" w:cs="Times New Roman"/>
          <w:color w:val="000000" w:themeColor="text1"/>
          <w:sz w:val="30"/>
          <w:szCs w:val="30"/>
          <w:lang w:eastAsia="zh-CN"/>
          <w14:textFill>
            <w14:solidFill>
              <w14:schemeClr w14:val="tx1"/>
            </w14:solidFill>
          </w14:textFill>
        </w:rPr>
        <w:t>位于清远市清新区太平镇马岳工业区11号，</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租用清远市长裕棉纺实业有限公司原生产车间二</w:t>
      </w:r>
      <w:r>
        <w:rPr>
          <w:rFonts w:hint="eastAsia" w:ascii="Times New Roman" w:hAnsi="Times New Roman" w:eastAsia="仿宋" w:cs="Times New Roman"/>
          <w:color w:val="000000" w:themeColor="text1"/>
          <w:sz w:val="30"/>
          <w:szCs w:val="30"/>
          <w:lang w:eastAsia="zh-CN"/>
          <w14:textFill>
            <w14:solidFill>
              <w14:schemeClr w14:val="tx1"/>
            </w14:solidFill>
          </w14:textFill>
        </w:rPr>
        <w:t>（中心点坐标：</w:t>
      </w:r>
      <w:r>
        <w:rPr>
          <w:rFonts w:hint="eastAsia" w:ascii="仿宋" w:hAnsi="仿宋" w:eastAsia="仿宋" w:cs="仿宋"/>
          <w:color w:val="auto"/>
          <w:sz w:val="30"/>
          <w:szCs w:val="30"/>
          <w:lang w:eastAsia="zh-CN"/>
        </w:rPr>
        <w:t>东经112°5</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46.43</w:t>
      </w:r>
      <w:r>
        <w:rPr>
          <w:rFonts w:hint="eastAsia" w:ascii="仿宋" w:hAnsi="仿宋" w:eastAsia="仿宋" w:cs="仿宋"/>
          <w:color w:val="auto"/>
          <w:sz w:val="30"/>
          <w:szCs w:val="30"/>
          <w:lang w:eastAsia="zh-CN"/>
        </w:rPr>
        <w:t>″，北纬23°</w:t>
      </w:r>
      <w:r>
        <w:rPr>
          <w:rFonts w:hint="eastAsia" w:ascii="仿宋" w:hAnsi="仿宋" w:eastAsia="仿宋" w:cs="仿宋"/>
          <w:color w:val="auto"/>
          <w:sz w:val="30"/>
          <w:szCs w:val="30"/>
          <w:lang w:val="en-US" w:eastAsia="zh-CN"/>
        </w:rPr>
        <w:t>39</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45.78</w:t>
      </w:r>
      <w:r>
        <w:rPr>
          <w:rFonts w:hint="eastAsia" w:ascii="仿宋" w:hAnsi="仿宋" w:eastAsia="仿宋" w:cs="仿宋"/>
          <w:color w:val="auto"/>
          <w:sz w:val="30"/>
          <w:szCs w:val="30"/>
          <w:lang w:eastAsia="zh-CN"/>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厂区</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占地面积</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约为</w:t>
      </w:r>
      <w:r>
        <w:rPr>
          <w:rFonts w:hint="eastAsia" w:ascii="仿宋" w:hAnsi="仿宋" w:eastAsia="仿宋" w:cs="仿宋"/>
          <w:color w:val="000000" w:themeColor="text1"/>
          <w:sz w:val="30"/>
          <w:szCs w:val="30"/>
          <w:lang w:val="en-US" w:eastAsia="zh-CN"/>
          <w14:textFill>
            <w14:solidFill>
              <w14:schemeClr w14:val="tx1"/>
            </w14:solidFill>
          </w14:textFill>
        </w:rPr>
        <w:t>14666.74m</w:t>
      </w:r>
      <w:r>
        <w:rPr>
          <w:rFonts w:hint="eastAsia" w:ascii="仿宋" w:hAnsi="仿宋" w:eastAsia="仿宋" w:cs="仿宋"/>
          <w:color w:val="000000" w:themeColor="text1"/>
          <w:sz w:val="30"/>
          <w:szCs w:val="30"/>
          <w:vertAlign w:val="superscript"/>
          <w:lang w:val="en-US" w:eastAsia="zh-CN"/>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，总建筑面积为15800m</w:t>
      </w:r>
      <w:r>
        <w:rPr>
          <w:rFonts w:hint="eastAsia" w:ascii="仿宋" w:hAnsi="仿宋" w:eastAsia="仿宋" w:cs="仿宋"/>
          <w:color w:val="000000" w:themeColor="text1"/>
          <w:sz w:val="30"/>
          <w:szCs w:val="30"/>
          <w:vertAlign w:val="superscript"/>
          <w:lang w:val="en-US" w:eastAsia="zh-CN"/>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。项目年产4</w:t>
      </w:r>
      <w:r>
        <w:rPr>
          <w:rFonts w:hint="eastAsia" w:ascii="仿宋" w:hAnsi="仿宋" w:eastAsia="仿宋" w:cs="仿宋"/>
          <w:color w:val="000000" w:themeColor="text1"/>
          <w:sz w:val="30"/>
          <w:szCs w:val="30"/>
          <w:lang w:eastAsia="zh-CN"/>
          <w14:textFill>
            <w14:solidFill>
              <w14:schemeClr w14:val="tx1"/>
            </w14:solidFill>
          </w14:textFill>
        </w:rPr>
        <w:t>0000吨</w:t>
      </w:r>
      <w:r>
        <w:rPr>
          <w:rFonts w:hint="default" w:ascii="Times New Roman" w:hAnsi="Times New Roman" w:eastAsia="仿宋" w:cs="Times New Roman"/>
          <w:color w:val="000000" w:themeColor="text1"/>
          <w:sz w:val="30"/>
          <w:szCs w:val="30"/>
          <w:lang w:eastAsia="zh-CN"/>
          <w14:textFill>
            <w14:solidFill>
              <w14:schemeClr w14:val="tx1"/>
            </w14:solidFill>
          </w14:textFill>
        </w:rPr>
        <w:t>铝板天花板</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二、</w:t>
      </w:r>
      <w:r>
        <w:rPr>
          <w:rFonts w:ascii="Times New Roman" w:hAnsi="Times New Roman" w:eastAsia="仿宋" w:cs="Times New Roman"/>
          <w:color w:val="000000" w:themeColor="text1"/>
          <w:sz w:val="30"/>
          <w:szCs w:val="30"/>
          <w14:textFill>
            <w14:solidFill>
              <w14:schemeClr w14:val="tx1"/>
            </w14:solidFill>
          </w14:textFill>
        </w:rPr>
        <w:t>根据报告表的评价结论，在全面落实报告表提出的各项污染防治</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和环境风险防范措施</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并</w:t>
      </w:r>
      <w:r>
        <w:rPr>
          <w:rFonts w:ascii="Times New Roman" w:hAnsi="Times New Roman" w:eastAsia="仿宋" w:cs="Times New Roman"/>
          <w:color w:val="000000" w:themeColor="text1"/>
          <w:sz w:val="30"/>
          <w:szCs w:val="30"/>
          <w14:textFill>
            <w14:solidFill>
              <w14:schemeClr w14:val="tx1"/>
            </w14:solidFill>
          </w14:textFill>
        </w:rPr>
        <w:t>确保各</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类</w:t>
      </w:r>
      <w:r>
        <w:rPr>
          <w:rFonts w:ascii="Times New Roman" w:hAnsi="Times New Roman" w:eastAsia="仿宋" w:cs="Times New Roman"/>
          <w:color w:val="000000" w:themeColor="text1"/>
          <w:sz w:val="30"/>
          <w:szCs w:val="30"/>
          <w14:textFill>
            <w14:solidFill>
              <w14:schemeClr w14:val="tx1"/>
            </w14:solidFill>
          </w14:textFill>
        </w:rPr>
        <w:t>污染物</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稳定</w:t>
      </w:r>
      <w:r>
        <w:rPr>
          <w:rFonts w:ascii="Times New Roman" w:hAnsi="Times New Roman" w:eastAsia="仿宋" w:cs="Times New Roman"/>
          <w:color w:val="000000" w:themeColor="text1"/>
          <w:sz w:val="30"/>
          <w:szCs w:val="30"/>
          <w14:textFill>
            <w14:solidFill>
              <w14:schemeClr w14:val="tx1"/>
            </w14:solidFill>
          </w14:textFill>
        </w:rPr>
        <w:t>达标排放</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且符合总量控制要求</w:t>
      </w:r>
      <w:r>
        <w:rPr>
          <w:rFonts w:ascii="Times New Roman" w:hAnsi="Times New Roman" w:eastAsia="仿宋" w:cs="Times New Roman"/>
          <w:color w:val="000000" w:themeColor="text1"/>
          <w:sz w:val="30"/>
          <w:szCs w:val="30"/>
          <w14:textFill>
            <w14:solidFill>
              <w14:schemeClr w14:val="tx1"/>
            </w14:solidFill>
          </w14:textFill>
        </w:rPr>
        <w:t>的前提下，</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项目按照报告表中所列性质、规模、地点、采用的生产工艺和防治污染、防止生态破坏的措施进行建设，从生态</w:t>
      </w:r>
      <w:r>
        <w:rPr>
          <w:rFonts w:ascii="Times New Roman" w:hAnsi="Times New Roman" w:eastAsia="仿宋" w:cs="Times New Roman"/>
          <w:color w:val="000000" w:themeColor="text1"/>
          <w:sz w:val="30"/>
          <w:szCs w:val="30"/>
          <w14:textFill>
            <w14:solidFill>
              <w14:schemeClr w14:val="tx1"/>
            </w14:solidFill>
          </w14:textFill>
        </w:rPr>
        <w:t>环境保护角度可行</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项目应按报告表内容组织实施，建设和运营中还应重点做好以下工作：</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一</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严格落实水污染防治措施。生活</w:t>
      </w:r>
      <w:r>
        <w:rPr>
          <w:rFonts w:hint="eastAsia" w:ascii="Times New Roman" w:hAnsi="Times New Roman" w:eastAsia="仿宋" w:cs="Times New Roman"/>
          <w:color w:val="000000" w:themeColor="text1"/>
          <w:sz w:val="30"/>
          <w:szCs w:val="30"/>
          <w14:textFill>
            <w14:solidFill>
              <w14:schemeClr w14:val="tx1"/>
            </w14:solidFill>
          </w14:textFill>
        </w:rPr>
        <w:t>污水经三级化粪池预处理后满足太平污水处理厂进水水质标准和广东省《水污染物排放限值</w:t>
      </w:r>
      <w:r>
        <w:rPr>
          <w:rFonts w:hint="eastAsia" w:ascii="仿宋" w:hAnsi="仿宋" w:eastAsia="仿宋" w:cs="仿宋"/>
          <w:color w:val="000000" w:themeColor="text1"/>
          <w:sz w:val="30"/>
          <w:szCs w:val="30"/>
          <w14:textFill>
            <w14:solidFill>
              <w14:schemeClr w14:val="tx1"/>
            </w14:solidFill>
          </w14:textFill>
        </w:rPr>
        <w:t>》（DB44/26-2001）第二时段三级标准较严者后市政管网排入太平污水处理厂；酸洗废液定期收集移交有资质单位处理</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清洗废水回用于酸洗脱脂液配比，不外排；钝化液经过滤棉过滤后循环使用不外排。</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二</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严格落实大气污染防治措施。1、辊涂、印花、固化、烘干、淋胶、烘干等工序采取“集气罩+垂帘围闭+车间密闭”等措施加强收集废气，与表面处理及辊涂烘干炉燃烧废气汇集后经RTO蓄热式燃烧处理后由15m高排气筒排放，VOCs参照执行广东省地方标准《表面涂装（汽车制造业）挥发性有机化合物排放标准》（DB44/816-2010）中表2Ⅱ时段标准限值，天然气燃烧废气中的烟气黑度、烟尘执行《工业炉窑大气污染物排放标准》 (GB9078-1996)表2的“其他炉窑”二级标准排放限值，二氧化硫执行《工业炉窑大气污染物排放标准》（GB9078-1996）中表4的燃煤（油）炉窑中的二级标准排放限值，氮氧化物参照执行《工业炉窑大气污染综合治理方案》（环大气〔2019〕56号）中重点区域排放限值300mg/m</w:t>
      </w:r>
      <w:r>
        <w:rPr>
          <w:rFonts w:hint="eastAsia" w:ascii="仿宋" w:hAnsi="仿宋" w:eastAsia="仿宋" w:cs="仿宋"/>
          <w:color w:val="000000" w:themeColor="text1"/>
          <w:sz w:val="30"/>
          <w:szCs w:val="30"/>
          <w:vertAlign w:val="superscript"/>
          <w:lang w:val="en-US" w:eastAsia="zh-CN"/>
          <w14:textFill>
            <w14:solidFill>
              <w14:schemeClr w14:val="tx1"/>
            </w14:solidFill>
          </w14:textFill>
        </w:rPr>
        <w:t>3</w:t>
      </w:r>
      <w:r>
        <w:rPr>
          <w:rFonts w:hint="eastAsia" w:ascii="仿宋" w:hAnsi="仿宋" w:eastAsia="仿宋" w:cs="仿宋"/>
          <w:color w:val="000000" w:themeColor="text1"/>
          <w:sz w:val="30"/>
          <w:szCs w:val="30"/>
          <w:lang w:val="en-US" w:eastAsia="zh-CN"/>
          <w14:textFill>
            <w14:solidFill>
              <w14:schemeClr w14:val="tx1"/>
            </w14:solidFill>
          </w14:textFill>
        </w:rPr>
        <w:t>的要求；2、厂界外无组织排放废气：酸雾、粉尘执行广东省地方标准《大气污染物排放限值》（DB44/27-2001）第二时段二级标准无组织排放监控浓度限值，VOCs参照执行广东省地方标准《表面涂装（汽车制造业）挥发性有机化合物排放标准》（DB44/816-2010）表3无组织排放监控点VOCs浓度限值；3、厂区内无组织排放废气：非甲烷总烃执行《挥发性有机物无组织排放控制标准》</w:t>
      </w:r>
      <w:r>
        <w:rPr>
          <w:rFonts w:hint="eastAsia" w:ascii="仿宋" w:hAnsi="仿宋" w:eastAsia="仿宋" w:cs="仿宋"/>
          <w:color w:val="000000" w:themeColor="text1"/>
          <w:sz w:val="30"/>
          <w:szCs w:val="30"/>
          <w14:textFill>
            <w14:solidFill>
              <w14:schemeClr w14:val="tx1"/>
            </w14:solidFill>
          </w14:textFill>
        </w:rPr>
        <w:t>(GB38722-2019)附录A表A.1无组织特别排放限值</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严格落实</w:t>
      </w:r>
      <w:r>
        <w:rPr>
          <w:rFonts w:hint="eastAsia" w:ascii="仿宋" w:hAnsi="仿宋" w:eastAsia="仿宋" w:cs="仿宋"/>
          <w:color w:val="000000" w:themeColor="text1"/>
          <w:sz w:val="30"/>
          <w:szCs w:val="30"/>
          <w14:textFill>
            <w14:solidFill>
              <w14:schemeClr w14:val="tx1"/>
            </w14:solidFill>
          </w14:textFill>
        </w:rPr>
        <w:t>噪声污染防治措施</w:t>
      </w:r>
      <w:r>
        <w:rPr>
          <w:rFonts w:hint="eastAsia" w:ascii="仿宋" w:hAnsi="仿宋" w:eastAsia="仿宋" w:cs="仿宋"/>
          <w:color w:val="000000" w:themeColor="text1"/>
          <w:sz w:val="30"/>
          <w:szCs w:val="30"/>
          <w:lang w:eastAsia="zh-CN"/>
          <w14:textFill>
            <w14:solidFill>
              <w14:schemeClr w14:val="tx1"/>
            </w14:solidFill>
          </w14:textFill>
        </w:rPr>
        <w:t>。厂界执行</w:t>
      </w:r>
      <w:r>
        <w:rPr>
          <w:rFonts w:hint="eastAsia" w:ascii="仿宋" w:hAnsi="仿宋" w:eastAsia="仿宋" w:cs="仿宋"/>
          <w:color w:val="000000" w:themeColor="text1"/>
          <w:sz w:val="30"/>
          <w:szCs w:val="30"/>
          <w14:textFill>
            <w14:solidFill>
              <w14:schemeClr w14:val="tx1"/>
            </w14:solidFill>
          </w14:textFill>
        </w:rPr>
        <w:t>《工业企业厂界环境噪声排放标准》(GB12348-2008)的</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类标准。</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四</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固体废弃物要分类并及时规范处理，固体废物执行《一般工业固体废物贮存和填埋污染控制标准(GB18599-2020)》、《危险废物贮存污染控制标准》(GB18597-2001)及其2013年修改单的有关规定要求和《广东省固体废物污染环境防治条例》的有关规定。</w:t>
      </w:r>
    </w:p>
    <w:p>
      <w:pPr>
        <w:keepNext w:val="0"/>
        <w:keepLines w:val="0"/>
        <w:pageBreakBefore w:val="0"/>
        <w:widowControl w:val="0"/>
        <w:kinsoku/>
        <w:wordWrap/>
        <w:overflowPunct/>
        <w:topLinePunct w:val="0"/>
        <w:bidi w:val="0"/>
        <w:snapToGrid/>
        <w:spacing w:line="560" w:lineRule="exact"/>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五</w:t>
      </w:r>
      <w:r>
        <w:rPr>
          <w:rFonts w:hint="eastAsia" w:ascii="仿宋" w:hAnsi="仿宋" w:eastAsia="仿宋" w:cs="仿宋"/>
          <w:color w:val="000000" w:themeColor="text1"/>
          <w:sz w:val="30"/>
          <w:szCs w:val="30"/>
          <w:lang w:eastAsia="zh-CN"/>
          <w14:textFill>
            <w14:solidFill>
              <w14:schemeClr w14:val="tx1"/>
            </w14:solidFill>
          </w14:textFill>
        </w:rPr>
        <w:t>）项目总量</w:t>
      </w:r>
      <w:r>
        <w:rPr>
          <w:rFonts w:hint="eastAsia" w:ascii="仿宋" w:hAnsi="仿宋" w:eastAsia="仿宋" w:cs="仿宋"/>
          <w:color w:val="000000" w:themeColor="text1"/>
          <w:sz w:val="30"/>
          <w:szCs w:val="30"/>
          <w:lang w:val="en-US" w:eastAsia="zh-CN"/>
          <w14:textFill>
            <w14:solidFill>
              <w14:schemeClr w14:val="tx1"/>
            </w14:solidFill>
          </w14:textFill>
        </w:rPr>
        <w:t>控制</w:t>
      </w:r>
      <w:r>
        <w:rPr>
          <w:rFonts w:hint="eastAsia" w:ascii="仿宋" w:hAnsi="仿宋" w:eastAsia="仿宋" w:cs="仿宋"/>
          <w:color w:val="000000" w:themeColor="text1"/>
          <w:sz w:val="30"/>
          <w:szCs w:val="30"/>
          <w:lang w:eastAsia="zh-CN"/>
          <w14:textFill>
            <w14:solidFill>
              <w14:schemeClr w14:val="tx1"/>
            </w14:solidFill>
          </w14:textFill>
        </w:rPr>
        <w:t>指标</w:t>
      </w:r>
      <w:r>
        <w:rPr>
          <w:rFonts w:hint="eastAsia" w:ascii="仿宋" w:hAnsi="仿宋" w:eastAsia="仿宋" w:cs="仿宋"/>
          <w:color w:val="000000" w:themeColor="text1"/>
          <w:sz w:val="30"/>
          <w:szCs w:val="30"/>
          <w:lang w:val="en-US" w:eastAsia="zh-CN"/>
          <w14:textFill>
            <w14:solidFill>
              <w14:schemeClr w14:val="tx1"/>
            </w14:solidFill>
          </w14:textFill>
        </w:rPr>
        <w:t>为：VOCs有组织排放量1.016t/a，二氧化硫0.519t/a，氮氧化物4.855t/a</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三</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报告表</w:t>
      </w:r>
      <w:r>
        <w:rPr>
          <w:rFonts w:hint="eastAsia" w:ascii="仿宋" w:hAnsi="仿宋" w:eastAsia="仿宋" w:cs="仿宋"/>
          <w:color w:val="000000" w:themeColor="text1"/>
          <w:sz w:val="30"/>
          <w:szCs w:val="30"/>
          <w14:textFill>
            <w14:solidFill>
              <w14:schemeClr w14:val="tx1"/>
            </w14:solidFill>
          </w14:textFill>
        </w:rPr>
        <w:t>经批准后，建设项目的性质</w:t>
      </w:r>
      <w:r>
        <w:rPr>
          <w:rFonts w:ascii="Times New Roman" w:hAnsi="Times New Roman" w:eastAsia="仿宋" w:cs="Times New Roman"/>
          <w:color w:val="000000" w:themeColor="text1"/>
          <w:sz w:val="30"/>
          <w:szCs w:val="30"/>
          <w14:textFill>
            <w14:solidFill>
              <w14:schemeClr w14:val="tx1"/>
            </w14:solidFill>
          </w14:textFill>
        </w:rPr>
        <w:t>、规模、地点、采用的生产工艺或者防治污染、防止生态破坏的措施发生重大变动的，建设单位应当重新报批建设项目的环境影响评价文件。</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四</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14:textFill>
            <w14:solidFill>
              <w14:schemeClr w14:val="tx1"/>
            </w14:solidFill>
          </w14:textFill>
        </w:rPr>
        <w:t>严格执行排污许可管理制度</w:t>
      </w:r>
      <w:r>
        <w:rPr>
          <w:rFonts w:ascii="Times New Roman" w:hAnsi="Times New Roman" w:eastAsia="仿宋" w:cs="Times New Roman"/>
          <w:color w:val="000000" w:themeColor="text1"/>
          <w:sz w:val="30"/>
          <w:szCs w:val="30"/>
          <w14:textFill>
            <w14:solidFill>
              <w14:schemeClr w14:val="tx1"/>
            </w14:solidFill>
          </w14:textFill>
        </w:rPr>
        <w:t>，未</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依法办理</w:t>
      </w:r>
      <w:r>
        <w:rPr>
          <w:rFonts w:ascii="Times New Roman" w:hAnsi="Times New Roman" w:eastAsia="仿宋" w:cs="Times New Roman"/>
          <w:color w:val="000000" w:themeColor="text1"/>
          <w:sz w:val="30"/>
          <w:szCs w:val="30"/>
          <w14:textFill>
            <w14:solidFill>
              <w14:schemeClr w14:val="tx1"/>
            </w14:solidFill>
          </w14:textFill>
        </w:rPr>
        <w:t>排污许可手续</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的</w:t>
      </w:r>
      <w:r>
        <w:rPr>
          <w:rFonts w:ascii="Times New Roman" w:hAnsi="Times New Roman" w:eastAsia="仿宋" w:cs="Times New Roman"/>
          <w:color w:val="000000" w:themeColor="text1"/>
          <w:sz w:val="30"/>
          <w:szCs w:val="30"/>
          <w14:textFill>
            <w14:solidFill>
              <w14:schemeClr w14:val="tx1"/>
            </w14:solidFill>
          </w14:textFill>
        </w:rPr>
        <w:t xml:space="preserve">不得排放污染物。  </w:t>
      </w:r>
    </w:p>
    <w:p>
      <w:pPr>
        <w:keepNext w:val="0"/>
        <w:keepLines w:val="0"/>
        <w:pageBreakBefore w:val="0"/>
        <w:widowControl w:val="0"/>
        <w:kinsoku/>
        <w:wordWrap/>
        <w:overflowPunct/>
        <w:topLinePunct w:val="0"/>
        <w:bidi w:val="0"/>
        <w:snapToGrid/>
        <w:spacing w:line="560" w:lineRule="exact"/>
        <w:ind w:firstLine="600" w:firstLineChars="200"/>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五</w:t>
      </w:r>
      <w:r>
        <w:rPr>
          <w:rFonts w:ascii="Times New Roman" w:hAnsi="Times New Roman" w:eastAsia="仿宋" w:cs="Times New Roman"/>
          <w:color w:val="000000" w:themeColor="text1"/>
          <w:sz w:val="30"/>
          <w:szCs w:val="30"/>
          <w14:textFill>
            <w14:solidFill>
              <w14:schemeClr w14:val="tx1"/>
            </w14:solidFill>
          </w14:textFill>
        </w:rPr>
        <w:t>、项目建设</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应</w:t>
      </w:r>
      <w:r>
        <w:rPr>
          <w:rFonts w:ascii="Times New Roman" w:hAnsi="Times New Roman" w:eastAsia="仿宋" w:cs="Times New Roman"/>
          <w:color w:val="000000" w:themeColor="text1"/>
          <w:sz w:val="30"/>
          <w:szCs w:val="30"/>
          <w14:textFill>
            <w14:solidFill>
              <w14:schemeClr w14:val="tx1"/>
            </w14:solidFill>
          </w14:textFill>
        </w:rPr>
        <w:t>严格执行配套建设的环境保护设施与主体工程同时设计、同时施工、同时投产使用的</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环境保护</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三同时</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制度。项目竣工后，建设单位必须按照规定程序办理环境保护竣工验收</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验收合格后，项目方可正式投入生产。</w:t>
      </w:r>
    </w:p>
    <w:p>
      <w:pPr>
        <w:keepNext w:val="0"/>
        <w:keepLines w:val="0"/>
        <w:pageBreakBefore w:val="0"/>
        <w:widowControl w:val="0"/>
        <w:kinsoku/>
        <w:wordWrap/>
        <w:overflowPunct/>
        <w:topLinePunct w:val="0"/>
        <w:bidi w:val="0"/>
        <w:snapToGrid/>
        <w:spacing w:line="560" w:lineRule="exact"/>
        <w:ind w:firstLine="600" w:firstLineChars="200"/>
        <w:rPr>
          <w:rFonts w:hint="eastAsia" w:ascii="Times New Roman" w:hAnsi="Times New Roman" w:eastAsia="仿宋" w:cs="Times New Roman"/>
          <w:color w:val="000000" w:themeColor="text1"/>
          <w:sz w:val="30"/>
          <w:szCs w:val="30"/>
          <w:lang w:val="en-US" w:eastAsia="zh-CN"/>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六</w:t>
      </w:r>
      <w:r>
        <w:rPr>
          <w:rFonts w:ascii="Times New Roman" w:hAnsi="Times New Roman" w:eastAsia="仿宋" w:cs="Times New Roman"/>
          <w:color w:val="000000" w:themeColor="text1"/>
          <w:sz w:val="30"/>
          <w:szCs w:val="30"/>
          <w14:textFill>
            <w14:solidFill>
              <w14:schemeClr w14:val="tx1"/>
            </w14:solidFill>
          </w14:textFill>
        </w:rPr>
        <w:t>、</w:t>
      </w:r>
      <w:r>
        <w:rPr>
          <w:rFonts w:hint="eastAsia" w:ascii="Times New Roman" w:hAnsi="Times New Roman" w:eastAsia="仿宋" w:cs="Times New Roman"/>
          <w:color w:val="000000" w:themeColor="text1"/>
          <w:sz w:val="30"/>
          <w:szCs w:val="30"/>
          <w:lang w:eastAsia="zh-CN"/>
          <w14:textFill>
            <w14:solidFill>
              <w14:schemeClr w14:val="tx1"/>
            </w14:solidFill>
          </w14:textFill>
        </w:rPr>
        <w:t>该项目建设和运行过程中如涉及规划、土地利用、建设、水务、消防、安全等问题，应遵照相关法律法规要求到相应的行政主管部门办理有关手续。</w:t>
      </w:r>
    </w:p>
    <w:p>
      <w:pPr>
        <w:keepNext w:val="0"/>
        <w:keepLines w:val="0"/>
        <w:pageBreakBefore w:val="0"/>
        <w:widowControl w:val="0"/>
        <w:kinsoku/>
        <w:wordWrap/>
        <w:overflowPunct/>
        <w:topLinePunct w:val="0"/>
        <w:bidi w:val="0"/>
        <w:snapToGrid/>
        <w:spacing w:line="560" w:lineRule="exact"/>
        <w:ind w:firstLine="600" w:firstLineChars="200"/>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七</w:t>
      </w:r>
      <w:r>
        <w:rPr>
          <w:rFonts w:ascii="Times New Roman" w:hAnsi="Times New Roman" w:eastAsia="仿宋" w:cs="Times New Roman"/>
          <w:color w:val="000000" w:themeColor="text1"/>
          <w:sz w:val="30"/>
          <w:szCs w:val="30"/>
          <w14:textFill>
            <w14:solidFill>
              <w14:schemeClr w14:val="tx1"/>
            </w14:solidFill>
          </w14:textFill>
        </w:rPr>
        <w:t xml:space="preserve">、以后国家或地方颁布新标准、行业新规定时，按新标准、新规定执行。  </w:t>
      </w:r>
    </w:p>
    <w:p>
      <w:pPr>
        <w:pStyle w:val="2"/>
        <w:rPr>
          <w:rFonts w:hint="default"/>
        </w:rPr>
      </w:pPr>
      <w:bookmarkStart w:id="0" w:name="_GoBack"/>
      <w:bookmarkEnd w:id="0"/>
    </w:p>
    <w:p>
      <w:pPr>
        <w:pStyle w:val="2"/>
        <w:rPr>
          <w:rFonts w:hint="default"/>
        </w:rPr>
      </w:pPr>
    </w:p>
    <w:p>
      <w:pPr>
        <w:keepNext w:val="0"/>
        <w:keepLines w:val="0"/>
        <w:pageBreakBefore w:val="0"/>
        <w:widowControl w:val="0"/>
        <w:kinsoku/>
        <w:wordWrap/>
        <w:overflowPunct/>
        <w:topLinePunct w:val="0"/>
        <w:bidi w:val="0"/>
        <w:snapToGrid/>
        <w:spacing w:line="560" w:lineRule="exact"/>
        <w:ind w:firstLine="420"/>
        <w:jc w:val="right"/>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 xml:space="preserve">                      清远市生态环境局</w:t>
      </w:r>
    </w:p>
    <w:p>
      <w:pPr>
        <w:keepNext w:val="0"/>
        <w:keepLines w:val="0"/>
        <w:pageBreakBefore w:val="0"/>
        <w:widowControl w:val="0"/>
        <w:kinsoku/>
        <w:wordWrap/>
        <w:overflowPunct/>
        <w:topLinePunct w:val="0"/>
        <w:bidi w:val="0"/>
        <w:snapToGrid/>
        <w:spacing w:line="560" w:lineRule="exact"/>
        <w:ind w:firstLine="420"/>
        <w:jc w:val="right"/>
        <w:rPr>
          <w:rFonts w:ascii="Times New Roman" w:hAnsi="Times New Roman" w:eastAsia="仿宋" w:cs="Times New Roman"/>
          <w:color w:val="000000" w:themeColor="text1"/>
          <w:sz w:val="30"/>
          <w:szCs w:val="30"/>
          <w14:textFill>
            <w14:solidFill>
              <w14:schemeClr w14:val="tx1"/>
            </w14:solidFill>
          </w14:textFill>
        </w:rPr>
      </w:pPr>
      <w:r>
        <w:rPr>
          <w:rFonts w:ascii="Times New Roman" w:hAnsi="Times New Roman" w:eastAsia="仿宋" w:cs="Times New Roman"/>
          <w:color w:val="000000" w:themeColor="text1"/>
          <w:sz w:val="30"/>
          <w:szCs w:val="30"/>
          <w14:textFill>
            <w14:solidFill>
              <w14:schemeClr w14:val="tx1"/>
            </w14:solidFill>
          </w14:textFill>
        </w:rPr>
        <w:t xml:space="preserve">                                 2022年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7</w:t>
      </w:r>
      <w:r>
        <w:rPr>
          <w:rFonts w:ascii="Times New Roman" w:hAnsi="Times New Roman" w:eastAsia="仿宋" w:cs="Times New Roman"/>
          <w:color w:val="000000" w:themeColor="text1"/>
          <w:sz w:val="30"/>
          <w:szCs w:val="30"/>
          <w14:textFill>
            <w14:solidFill>
              <w14:schemeClr w14:val="tx1"/>
            </w14:solidFill>
          </w14:textFill>
        </w:rPr>
        <w:t>月</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18</w:t>
      </w:r>
      <w:r>
        <w:rPr>
          <w:rFonts w:ascii="Times New Roman" w:hAnsi="Times New Roman" w:eastAsia="仿宋" w:cs="Times New Roman"/>
          <w:color w:val="000000" w:themeColor="text1"/>
          <w:sz w:val="30"/>
          <w:szCs w:val="30"/>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6CA80F39"/>
    <w:rsid w:val="00040FC6"/>
    <w:rsid w:val="00047AF6"/>
    <w:rsid w:val="00190066"/>
    <w:rsid w:val="002144EA"/>
    <w:rsid w:val="00227939"/>
    <w:rsid w:val="00452748"/>
    <w:rsid w:val="00461E3F"/>
    <w:rsid w:val="00584FD1"/>
    <w:rsid w:val="0063419F"/>
    <w:rsid w:val="00BF1146"/>
    <w:rsid w:val="00D73B11"/>
    <w:rsid w:val="00FE2C36"/>
    <w:rsid w:val="01216C84"/>
    <w:rsid w:val="01980EED"/>
    <w:rsid w:val="01BC08FE"/>
    <w:rsid w:val="020B06F8"/>
    <w:rsid w:val="022B31FA"/>
    <w:rsid w:val="024833B1"/>
    <w:rsid w:val="03B1055A"/>
    <w:rsid w:val="04635465"/>
    <w:rsid w:val="047E0E97"/>
    <w:rsid w:val="04A50D75"/>
    <w:rsid w:val="055C6268"/>
    <w:rsid w:val="05EA6A22"/>
    <w:rsid w:val="062B20B3"/>
    <w:rsid w:val="06FF7C5E"/>
    <w:rsid w:val="08A56F27"/>
    <w:rsid w:val="098C7AAA"/>
    <w:rsid w:val="09FA3311"/>
    <w:rsid w:val="0A1F0E3D"/>
    <w:rsid w:val="0ABB758D"/>
    <w:rsid w:val="0DE327D3"/>
    <w:rsid w:val="0E982D96"/>
    <w:rsid w:val="0EC94362"/>
    <w:rsid w:val="10524C52"/>
    <w:rsid w:val="108D7E70"/>
    <w:rsid w:val="110F27D0"/>
    <w:rsid w:val="11E555C4"/>
    <w:rsid w:val="125B16E7"/>
    <w:rsid w:val="12E910F0"/>
    <w:rsid w:val="12F804B5"/>
    <w:rsid w:val="138A6357"/>
    <w:rsid w:val="13DC7523"/>
    <w:rsid w:val="143D7D79"/>
    <w:rsid w:val="15E8642F"/>
    <w:rsid w:val="16145A49"/>
    <w:rsid w:val="165732A4"/>
    <w:rsid w:val="16F12A6A"/>
    <w:rsid w:val="18DC0501"/>
    <w:rsid w:val="18DD6475"/>
    <w:rsid w:val="18EA1D66"/>
    <w:rsid w:val="19935284"/>
    <w:rsid w:val="19CA78A1"/>
    <w:rsid w:val="1AD96011"/>
    <w:rsid w:val="1FD81177"/>
    <w:rsid w:val="1FD945EA"/>
    <w:rsid w:val="2100051B"/>
    <w:rsid w:val="22770814"/>
    <w:rsid w:val="229B1C8E"/>
    <w:rsid w:val="249E00E0"/>
    <w:rsid w:val="261C1C23"/>
    <w:rsid w:val="267625C1"/>
    <w:rsid w:val="26AE716C"/>
    <w:rsid w:val="26B2493E"/>
    <w:rsid w:val="27642545"/>
    <w:rsid w:val="28D7522E"/>
    <w:rsid w:val="291D22B1"/>
    <w:rsid w:val="2954446C"/>
    <w:rsid w:val="2B800985"/>
    <w:rsid w:val="2BCA6E69"/>
    <w:rsid w:val="2D5444F1"/>
    <w:rsid w:val="2D9D3E93"/>
    <w:rsid w:val="2E3454A3"/>
    <w:rsid w:val="2F1357B1"/>
    <w:rsid w:val="2F950CA9"/>
    <w:rsid w:val="30184296"/>
    <w:rsid w:val="30267F56"/>
    <w:rsid w:val="31895B43"/>
    <w:rsid w:val="31990B83"/>
    <w:rsid w:val="31D44FFF"/>
    <w:rsid w:val="34252304"/>
    <w:rsid w:val="376F6F45"/>
    <w:rsid w:val="38504778"/>
    <w:rsid w:val="3A216413"/>
    <w:rsid w:val="3AC23523"/>
    <w:rsid w:val="3B4451BA"/>
    <w:rsid w:val="3BF12432"/>
    <w:rsid w:val="3D2964D9"/>
    <w:rsid w:val="3DE75766"/>
    <w:rsid w:val="3E11241C"/>
    <w:rsid w:val="3E59409B"/>
    <w:rsid w:val="3F1F4063"/>
    <w:rsid w:val="3FBA150F"/>
    <w:rsid w:val="3FF87354"/>
    <w:rsid w:val="406575C3"/>
    <w:rsid w:val="41420D3D"/>
    <w:rsid w:val="43A675AF"/>
    <w:rsid w:val="44A3464C"/>
    <w:rsid w:val="45332489"/>
    <w:rsid w:val="48CD305D"/>
    <w:rsid w:val="4E2F226A"/>
    <w:rsid w:val="4E9972F5"/>
    <w:rsid w:val="52AB1C8B"/>
    <w:rsid w:val="534C3E4D"/>
    <w:rsid w:val="55280575"/>
    <w:rsid w:val="567F2386"/>
    <w:rsid w:val="56D85135"/>
    <w:rsid w:val="56F22483"/>
    <w:rsid w:val="578A054B"/>
    <w:rsid w:val="58081CFB"/>
    <w:rsid w:val="581B149A"/>
    <w:rsid w:val="58427035"/>
    <w:rsid w:val="5977685A"/>
    <w:rsid w:val="59BB5131"/>
    <w:rsid w:val="5AE64C80"/>
    <w:rsid w:val="5B5B0305"/>
    <w:rsid w:val="5BA74225"/>
    <w:rsid w:val="5BBB00E7"/>
    <w:rsid w:val="5C357C5F"/>
    <w:rsid w:val="5CC826A5"/>
    <w:rsid w:val="5D091B59"/>
    <w:rsid w:val="5D1170B9"/>
    <w:rsid w:val="5D1668AE"/>
    <w:rsid w:val="610C29EC"/>
    <w:rsid w:val="62F23F5F"/>
    <w:rsid w:val="63746C40"/>
    <w:rsid w:val="64362B02"/>
    <w:rsid w:val="65DC05D9"/>
    <w:rsid w:val="65DC4E64"/>
    <w:rsid w:val="65E637B9"/>
    <w:rsid w:val="66055596"/>
    <w:rsid w:val="663E1014"/>
    <w:rsid w:val="66717D3C"/>
    <w:rsid w:val="668350A5"/>
    <w:rsid w:val="66B2315D"/>
    <w:rsid w:val="66C96FBE"/>
    <w:rsid w:val="66FE6CC3"/>
    <w:rsid w:val="67315085"/>
    <w:rsid w:val="68596275"/>
    <w:rsid w:val="69EF461D"/>
    <w:rsid w:val="6AC06552"/>
    <w:rsid w:val="6AEF3635"/>
    <w:rsid w:val="6AF6662F"/>
    <w:rsid w:val="6B9F1464"/>
    <w:rsid w:val="6BA46DE6"/>
    <w:rsid w:val="6BFA533E"/>
    <w:rsid w:val="6C5C40AA"/>
    <w:rsid w:val="6C8D5649"/>
    <w:rsid w:val="6CA80F39"/>
    <w:rsid w:val="6DFD36FA"/>
    <w:rsid w:val="6F054B09"/>
    <w:rsid w:val="6F261E16"/>
    <w:rsid w:val="70146855"/>
    <w:rsid w:val="70BC3193"/>
    <w:rsid w:val="7182628F"/>
    <w:rsid w:val="725358B1"/>
    <w:rsid w:val="757F2223"/>
    <w:rsid w:val="759B4F81"/>
    <w:rsid w:val="765C1B07"/>
    <w:rsid w:val="77314B60"/>
    <w:rsid w:val="77665B22"/>
    <w:rsid w:val="77756778"/>
    <w:rsid w:val="78B90B01"/>
    <w:rsid w:val="7B0B3EAF"/>
    <w:rsid w:val="7C0D1681"/>
    <w:rsid w:val="7D13456F"/>
    <w:rsid w:val="7EDD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unhideWhenUsed/>
    <w:qFormat/>
    <w:uiPriority w:val="99"/>
    <w:pPr>
      <w:tabs>
        <w:tab w:val="left" w:pos="58"/>
      </w:tabs>
      <w:autoSpaceDE w:val="0"/>
      <w:autoSpaceDN w:val="0"/>
    </w:pPr>
    <w:rPr>
      <w:rFonts w:hint="eastAsia" w:ascii="黑体" w:hAnsi="黑体" w:eastAsia="黑体" w:cs="Times New Roman"/>
      <w:color w:val="000000"/>
      <w:sz w:val="24"/>
      <w:szCs w:val="22"/>
    </w:rPr>
  </w:style>
  <w:style w:type="paragraph" w:customStyle="1" w:styleId="3">
    <w:name w:val="纯文本1"/>
    <w:basedOn w:val="1"/>
    <w:qFormat/>
    <w:uiPriority w:val="0"/>
    <w:pPr>
      <w:tabs>
        <w:tab w:val="left" w:pos="58"/>
      </w:tabs>
      <w:adjustRightInd w:val="0"/>
      <w:textAlignment w:val="baseline"/>
    </w:pPr>
    <w:rPr>
      <w:rFonts w:ascii="宋体" w:hAnsi="Courier New"/>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1553</Words>
  <Characters>1779</Characters>
  <Lines>15</Lines>
  <Paragraphs>4</Paragraphs>
  <TotalTime>1</TotalTime>
  <ScaleCrop>false</ScaleCrop>
  <LinksUpToDate>false</LinksUpToDate>
  <CharactersWithSpaces>1841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2022-03-07T07:47:00Z</dcterms:created>
  <dc:creator>Administrator</dc:creator>
  <cp:lastModifiedBy>84363</cp:lastModifiedBy>
  <cp:lastPrinted>2022-03-25T02:28:00Z</cp:lastPrinted>
  <dcterms:modified xsi:type="dcterms:W3CDTF">2022-07-18T01:29:34Z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FD8E69A6A19E477EA86C37AA7420B99E</vt:lpwstr>
  </property>
</Properties>
</file>