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b/>
          <w:bCs/>
          <w:sz w:val="32"/>
          <w:szCs w:val="32"/>
          <w:lang w:eastAsia="zh-CN"/>
        </w:rPr>
      </w:pPr>
      <w:r>
        <w:rPr>
          <w:rFonts w:hint="eastAsia"/>
          <w:lang w:eastAsia="zh-CN"/>
        </w:rPr>
        <w:t>不合格项目解读</w:t>
      </w:r>
    </w:p>
    <w:p>
      <w:pPr>
        <w:pStyle w:val="3"/>
        <w:keepNext w:val="0"/>
        <w:keepLines w:val="0"/>
        <w:widowControl/>
        <w:suppressLineNumbers w:val="0"/>
        <w:pBdr>
          <w:top w:val="none" w:color="auto" w:sz="0" w:space="0"/>
          <w:bottom w:val="none" w:color="auto" w:sz="0" w:space="0"/>
        </w:pBdr>
        <w:spacing w:before="0" w:beforeAutospacing="0" w:after="0" w:afterAutospacing="0" w:line="27" w:lineRule="atLeast"/>
        <w:rPr>
          <w:rFonts w:hint="default" w:ascii="仿宋" w:hAnsi="仿宋" w:eastAsia="仿宋" w:cs="仿宋"/>
          <w:b w:val="0"/>
          <w:i w:val="0"/>
          <w:caps w:val="0"/>
          <w:color w:val="auto"/>
          <w:spacing w:val="0"/>
          <w:kern w:val="0"/>
          <w:sz w:val="28"/>
          <w:szCs w:val="28"/>
          <w:u w:val="none"/>
          <w:lang w:val="en-US" w:eastAsia="zh-CN" w:bidi="ar"/>
        </w:rPr>
      </w:pPr>
      <w:r>
        <w:rPr>
          <w:rFonts w:hint="eastAsia" w:ascii="仿宋" w:hAnsi="仿宋" w:eastAsia="仿宋" w:cs="仿宋"/>
          <w:b/>
          <w:bCs/>
          <w:color w:val="auto"/>
          <w:kern w:val="2"/>
          <w:sz w:val="30"/>
          <w:szCs w:val="30"/>
          <w:u w:val="none"/>
          <w:lang w:val="en-US" w:eastAsia="zh-CN" w:bidi="ar-SA"/>
        </w:rPr>
        <w:t>酸价（以脂肪计）：</w:t>
      </w:r>
      <w:r>
        <w:t> </w:t>
      </w:r>
      <w:r>
        <w:rPr>
          <w:rFonts w:hint="default" w:ascii="仿宋" w:hAnsi="仿宋" w:eastAsia="仿宋" w:cs="仿宋"/>
          <w:b w:val="0"/>
          <w:i w:val="0"/>
          <w:caps w:val="0"/>
          <w:color w:val="auto"/>
          <w:spacing w:val="0"/>
          <w:kern w:val="0"/>
          <w:sz w:val="28"/>
          <w:szCs w:val="28"/>
          <w:u w:val="none"/>
          <w:lang w:val="en-US" w:eastAsia="zh-CN" w:bidi="ar"/>
        </w:rPr>
        <w:t>酸价主要反映食品中的油脂酸败程度。酸价超标会导致食品有哈喇味，超标严重时所产生的醛、酮、酸会破坏脂溶性维生素，导致肠胃不适。《食品安全国家标准饼干》（GB 7100—2015）中规定，饼干中酸价（以脂肪计）的最大限量值为5mg/g。《食品安全国家标准糕点、面包》（GB 7099—2015）中规定，糕点中酸价（以脂肪计）（KOH）最大限量值为5mg/g。造成酸价不合格的主要原因，可能是企业原料采购把关不严、生产工艺不达标、产品储藏条件不当，特别是存贮温度较高时易导致食品中的脂肪氧化酸败。</w:t>
      </w:r>
    </w:p>
    <w:p>
      <w:pPr>
        <w:pStyle w:val="3"/>
        <w:keepNext w:val="0"/>
        <w:keepLines w:val="0"/>
        <w:widowControl/>
        <w:suppressLineNumbers w:val="0"/>
        <w:pBdr>
          <w:top w:val="none" w:color="auto" w:sz="0" w:space="0"/>
          <w:bottom w:val="none" w:color="auto" w:sz="0" w:space="0"/>
        </w:pBdr>
        <w:spacing w:before="0" w:beforeAutospacing="0" w:after="0" w:afterAutospacing="0" w:line="27" w:lineRule="atLeast"/>
        <w:rPr>
          <w:rFonts w:hint="default" w:ascii="仿宋" w:hAnsi="仿宋" w:eastAsia="仿宋" w:cs="仿宋"/>
          <w:b w:val="0"/>
          <w:i w:val="0"/>
          <w:caps w:val="0"/>
          <w:color w:val="auto"/>
          <w:spacing w:val="0"/>
          <w:kern w:val="0"/>
          <w:sz w:val="28"/>
          <w:szCs w:val="28"/>
          <w:u w:val="none"/>
          <w:lang w:val="en-US" w:eastAsia="zh-CN" w:bidi="ar"/>
        </w:rPr>
      </w:pPr>
      <w:r>
        <w:rPr>
          <w:rFonts w:hint="eastAsia" w:ascii="仿宋" w:hAnsi="仿宋" w:eastAsia="仿宋" w:cs="仿宋"/>
          <w:b/>
          <w:bCs/>
          <w:color w:val="auto"/>
          <w:kern w:val="2"/>
          <w:sz w:val="30"/>
          <w:szCs w:val="30"/>
          <w:u w:val="none"/>
          <w:lang w:val="en-US" w:eastAsia="zh-CN" w:bidi="ar-SA"/>
        </w:rPr>
        <w:t>黄曲霉毒素B1：</w:t>
      </w:r>
      <w:r>
        <w:rPr>
          <w:rFonts w:hint="default" w:ascii="仿宋" w:hAnsi="仿宋" w:eastAsia="仿宋" w:cs="仿宋"/>
          <w:b w:val="0"/>
          <w:i w:val="0"/>
          <w:caps w:val="0"/>
          <w:color w:val="auto"/>
          <w:spacing w:val="0"/>
          <w:kern w:val="0"/>
          <w:sz w:val="28"/>
          <w:szCs w:val="28"/>
          <w:u w:val="none"/>
          <w:lang w:val="en-US" w:eastAsia="zh-CN" w:bidi="ar"/>
        </w:rPr>
        <w:t>黄曲霉毒素B1是一种强致癌性的化学物质，其毒性作用主要是对肝脏的损害。《食品安全国家标准食品中真菌毒素限量》（GB 2761—2017）中规定，花生酱和花生油中黄曲霉毒素B1的最大检出限量均为20μg/kg。花生酱中黄曲霉毒素B1不合格的主要原因，包括花生原料在种植、采收、运输及储存过程中受到黄曲霉霉菌污染，企业在生产时没有严格挑拣花生原料和进行相关检测等。花生油中黄曲霉毒素B1超标的原因，可能是花生原料在储存过程中温度、湿度等条件控制不当；生产前对原料把关不严；精炼工艺不达标或工艺控制不当等。</w:t>
      </w:r>
    </w:p>
    <w:p>
      <w:pPr>
        <w:pStyle w:val="3"/>
        <w:keepNext w:val="0"/>
        <w:keepLines w:val="0"/>
        <w:widowControl/>
        <w:numPr>
          <w:ilvl w:val="0"/>
          <w:numId w:val="0"/>
        </w:numPr>
        <w:suppressLineNumbers w:val="0"/>
        <w:pBdr>
          <w:top w:val="none" w:color="auto" w:sz="0" w:space="0"/>
          <w:bottom w:val="none" w:color="auto" w:sz="0" w:space="0"/>
        </w:pBdr>
        <w:shd w:val="clear" w:fill="FFFFFF"/>
        <w:spacing w:before="0" w:beforeAutospacing="0" w:after="0" w:afterAutospacing="0" w:line="27" w:lineRule="atLeast"/>
        <w:ind w:right="0" w:rightChars="0" w:firstLine="602" w:firstLineChars="200"/>
        <w:jc w:val="left"/>
        <w:rPr>
          <w:rFonts w:hint="default" w:ascii="仿宋" w:hAnsi="仿宋" w:eastAsia="仿宋" w:cs="仿宋"/>
          <w:b w:val="0"/>
          <w:i w:val="0"/>
          <w:caps w:val="0"/>
          <w:color w:val="auto"/>
          <w:spacing w:val="0"/>
          <w:kern w:val="0"/>
          <w:sz w:val="28"/>
          <w:szCs w:val="28"/>
          <w:u w:val="none"/>
          <w:lang w:val="en-US" w:eastAsia="zh-CN" w:bidi="ar"/>
        </w:rPr>
      </w:pPr>
      <w:r>
        <w:rPr>
          <w:rFonts w:hint="eastAsia" w:ascii="仿宋" w:hAnsi="仿宋" w:eastAsia="仿宋" w:cs="仿宋"/>
          <w:b/>
          <w:bCs/>
          <w:color w:val="auto"/>
          <w:kern w:val="2"/>
          <w:sz w:val="30"/>
          <w:szCs w:val="30"/>
          <w:u w:val="none"/>
          <w:lang w:val="en-US" w:eastAsia="zh-CN" w:bidi="ar-SA"/>
        </w:rPr>
        <w:t>过氧化值:</w:t>
      </w:r>
      <w:r>
        <w:rPr>
          <w:rFonts w:hint="default" w:ascii="仿宋" w:hAnsi="仿宋" w:eastAsia="仿宋" w:cs="仿宋"/>
          <w:b w:val="0"/>
          <w:i w:val="0"/>
          <w:caps w:val="0"/>
          <w:color w:val="auto"/>
          <w:spacing w:val="0"/>
          <w:kern w:val="0"/>
          <w:sz w:val="28"/>
          <w:szCs w:val="28"/>
          <w:u w:val="none"/>
          <w:lang w:val="en-US" w:eastAsia="zh-CN" w:bidi="ar"/>
        </w:rPr>
        <w:t>过氧化值（以脂肪计）主要反映食品中油脂是否氧化变质。随着油脂氧化，过氧化值会逐步升高，虽一般不会对人体的健康产生损害，但严重时会导致肠胃不适、腹泻等症状。《食品安全国家标准 饼干》（GB 7100—2015）中规定，饼干中的过氧化值（以脂肪计）的最大限量值为0.25g/100g。《食品安全国家标准膨化食品》（GB 17401—2014）中规定，膨化食品中的过氧化值（以脂肪计）最大限量值为0.25g/100g。过氧化值超标的原因，可能是原料油脂储存不当导致脂肪氧化、生产用油变质，或者样品漏气、储存过程中环境条件控制不当导致产品酸败变质。</w:t>
      </w:r>
    </w:p>
    <w:p>
      <w:pPr>
        <w:pStyle w:val="3"/>
        <w:keepNext w:val="0"/>
        <w:keepLines w:val="0"/>
        <w:widowControl/>
        <w:numPr>
          <w:ilvl w:val="0"/>
          <w:numId w:val="0"/>
        </w:numPr>
        <w:suppressLineNumbers w:val="0"/>
        <w:pBdr>
          <w:top w:val="none" w:color="auto" w:sz="0" w:space="0"/>
          <w:bottom w:val="none" w:color="auto" w:sz="0" w:space="0"/>
        </w:pBdr>
        <w:shd w:val="clear" w:fill="FFFFFF"/>
        <w:spacing w:before="0" w:beforeAutospacing="0" w:after="0" w:afterAutospacing="0" w:line="27" w:lineRule="atLeast"/>
        <w:ind w:right="0" w:rightChars="0" w:firstLine="602" w:firstLineChars="200"/>
        <w:jc w:val="left"/>
        <w:rPr>
          <w:rFonts w:hint="default" w:ascii="仿宋" w:hAnsi="仿宋" w:eastAsia="仿宋" w:cs="仿宋"/>
          <w:b w:val="0"/>
          <w:i w:val="0"/>
          <w:caps w:val="0"/>
          <w:color w:val="auto"/>
          <w:spacing w:val="0"/>
          <w:kern w:val="0"/>
          <w:sz w:val="28"/>
          <w:szCs w:val="28"/>
          <w:u w:val="none"/>
          <w:lang w:val="en-US" w:eastAsia="zh-CN" w:bidi="ar"/>
        </w:rPr>
      </w:pPr>
      <w:r>
        <w:rPr>
          <w:rFonts w:hint="eastAsia" w:ascii="仿宋" w:hAnsi="仿宋" w:eastAsia="仿宋" w:cs="仿宋"/>
          <w:b/>
          <w:bCs/>
          <w:color w:val="auto"/>
          <w:kern w:val="2"/>
          <w:sz w:val="30"/>
          <w:szCs w:val="30"/>
          <w:u w:val="none"/>
          <w:lang w:val="en-US" w:eastAsia="zh-CN" w:bidi="ar-SA"/>
        </w:rPr>
        <w:t>蛋白质:</w:t>
      </w:r>
      <w:r>
        <w:rPr>
          <w:rFonts w:hint="eastAsia" w:ascii="仿宋" w:hAnsi="仿宋" w:eastAsia="仿宋" w:cs="仿宋"/>
          <w:b w:val="0"/>
          <w:i w:val="0"/>
          <w:caps w:val="0"/>
          <w:color w:val="auto"/>
          <w:spacing w:val="0"/>
          <w:kern w:val="0"/>
          <w:sz w:val="28"/>
          <w:szCs w:val="28"/>
          <w:u w:val="none"/>
          <w:lang w:val="en-US" w:eastAsia="zh-CN" w:bidi="ar"/>
        </w:rPr>
        <w:t>蛋白质被认为是构成生物体细胞组织的重要成分。食物中的蛋白质是人体中氮的唯一来源，含氮量是蛋白质区别于其他有机化合物的重要标志。在食品分析中，通常用食品的总氮量表示。蛋白质是食品含氮物质的主要形式，每一蛋白质都有其恒定的含氮量。标准规定了食品中蛋白质的测定方法，第三法适用于蛋白质含量在10g/100g以上的粮食、奶粉、蛋白质粉等固体的测定。</w:t>
      </w:r>
    </w:p>
    <w:p>
      <w:pPr>
        <w:pStyle w:val="3"/>
        <w:keepNext w:val="0"/>
        <w:keepLines w:val="0"/>
        <w:widowControl/>
        <w:numPr>
          <w:ilvl w:val="0"/>
          <w:numId w:val="0"/>
        </w:numPr>
        <w:suppressLineNumbers w:val="0"/>
        <w:pBdr>
          <w:top w:val="none" w:color="auto" w:sz="0" w:space="0"/>
          <w:bottom w:val="none" w:color="auto" w:sz="0" w:space="0"/>
        </w:pBdr>
        <w:shd w:val="clear" w:fill="FFFFFF"/>
        <w:spacing w:before="0" w:beforeAutospacing="0" w:after="0" w:afterAutospacing="0" w:line="27" w:lineRule="atLeast"/>
        <w:ind w:right="0" w:rightChars="0" w:firstLine="602" w:firstLineChars="200"/>
        <w:jc w:val="left"/>
        <w:rPr>
          <w:rFonts w:hint="eastAsia" w:ascii="仿宋" w:hAnsi="仿宋" w:eastAsia="仿宋" w:cs="仿宋"/>
          <w:b w:val="0"/>
          <w:i w:val="0"/>
          <w:caps w:val="0"/>
          <w:color w:val="auto"/>
          <w:spacing w:val="0"/>
          <w:kern w:val="0"/>
          <w:sz w:val="28"/>
          <w:szCs w:val="28"/>
          <w:u w:val="none"/>
          <w:lang w:val="en-US" w:eastAsia="zh-CN" w:bidi="ar"/>
        </w:rPr>
      </w:pPr>
      <w:r>
        <w:rPr>
          <w:rFonts w:hint="eastAsia" w:ascii="仿宋" w:hAnsi="仿宋" w:eastAsia="仿宋" w:cs="仿宋"/>
          <w:b/>
          <w:bCs/>
          <w:color w:val="auto"/>
          <w:kern w:val="2"/>
          <w:sz w:val="30"/>
          <w:szCs w:val="30"/>
          <w:u w:val="none"/>
          <w:lang w:val="en-US" w:eastAsia="zh-CN" w:bidi="ar-SA"/>
        </w:rPr>
        <w:t>镉（以Cd计）:</w:t>
      </w:r>
      <w:r>
        <w:t> </w:t>
      </w:r>
      <w:r>
        <w:rPr>
          <w:rFonts w:hint="eastAsia" w:ascii="仿宋" w:hAnsi="仿宋" w:eastAsia="仿宋" w:cs="仿宋"/>
          <w:b w:val="0"/>
          <w:i w:val="0"/>
          <w:caps w:val="0"/>
          <w:color w:val="auto"/>
          <w:spacing w:val="0"/>
          <w:kern w:val="0"/>
          <w:sz w:val="28"/>
          <w:szCs w:val="28"/>
          <w:u w:val="none"/>
          <w:lang w:val="en-US" w:eastAsia="zh-CN" w:bidi="ar"/>
        </w:rPr>
        <w:t>镉是最常见的重金属元素污染物之一。《食品安全国家标准食品中污染物限量》（GB 2762—2017）中规定，镉（以Cd计）在鲜、冻水产动物的甲壳类中最大限量为0.5mg/kg。水产品中镉（以Cd计）超标可能是水产品养殖过程中对环境中镉元素的富集。镉对人体的危害主要是慢性蓄积性，长期大量摄入镉含量超标的食品可能导致肾和骨骼损伤等。</w:t>
      </w:r>
    </w:p>
    <w:p>
      <w:pPr>
        <w:pStyle w:val="3"/>
        <w:keepNext w:val="0"/>
        <w:keepLines w:val="0"/>
        <w:widowControl/>
        <w:numPr>
          <w:ilvl w:val="0"/>
          <w:numId w:val="0"/>
        </w:numPr>
        <w:suppressLineNumbers w:val="0"/>
        <w:pBdr>
          <w:top w:val="none" w:color="auto" w:sz="0" w:space="0"/>
          <w:bottom w:val="none" w:color="auto" w:sz="0" w:space="0"/>
        </w:pBdr>
        <w:shd w:val="clear" w:fill="FFFFFF"/>
        <w:spacing w:before="0" w:beforeAutospacing="0" w:after="0" w:afterAutospacing="0" w:line="27" w:lineRule="atLeast"/>
        <w:ind w:right="0" w:rightChars="0" w:firstLine="602" w:firstLineChars="200"/>
        <w:jc w:val="left"/>
        <w:rPr>
          <w:rFonts w:hint="eastAsia" w:ascii="仿宋" w:hAnsi="仿宋" w:eastAsia="仿宋" w:cs="仿宋"/>
          <w:b w:val="0"/>
          <w:i w:val="0"/>
          <w:caps w:val="0"/>
          <w:color w:val="auto"/>
          <w:spacing w:val="0"/>
          <w:kern w:val="0"/>
          <w:sz w:val="28"/>
          <w:szCs w:val="28"/>
          <w:u w:val="none"/>
          <w:lang w:val="en-US" w:eastAsia="zh-CN" w:bidi="ar"/>
        </w:rPr>
      </w:pPr>
      <w:r>
        <w:rPr>
          <w:rFonts w:hint="eastAsia" w:ascii="仿宋" w:hAnsi="仿宋" w:eastAsia="仿宋" w:cs="仿宋"/>
          <w:b/>
          <w:bCs/>
          <w:color w:val="auto"/>
          <w:kern w:val="2"/>
          <w:sz w:val="30"/>
          <w:szCs w:val="30"/>
          <w:u w:val="none"/>
          <w:lang w:val="en-US" w:eastAsia="zh-CN" w:bidi="ar-SA"/>
        </w:rPr>
        <w:t>铅:</w:t>
      </w:r>
      <w:r>
        <w:rPr>
          <w:rFonts w:hint="eastAsia" w:ascii="仿宋" w:hAnsi="仿宋" w:eastAsia="仿宋" w:cs="仿宋"/>
          <w:b w:val="0"/>
          <w:i w:val="0"/>
          <w:caps w:val="0"/>
          <w:color w:val="auto"/>
          <w:spacing w:val="0"/>
          <w:kern w:val="0"/>
          <w:sz w:val="28"/>
          <w:szCs w:val="28"/>
          <w:u w:val="none"/>
          <w:lang w:val="en-US" w:eastAsia="zh-CN" w:bidi="ar"/>
        </w:rPr>
        <w:t>铅是一种对人体有害的金属元素，可通过消化道及呼吸道进入体内，是一种慢性和积累性毒物，进入人体后，少部分会随着身体代谢排出体外，大部分会在体内沉积，危害人体健康，能影响人体神经系统的许多功能，特别是对婴幼儿的智力发育，儿童的学习记忆功能。《食品安全国家标准食品中污染物限量》（GB 2762—2017）中规定，藻类及其制品中铅的最大限量值为1.0mg/kg（干重计）。海带中铅超标的原因可能是，企业在生产时未对原料进行严格验收或为降低产品成本而采用劣质原料，由生产原料或辅料带入到产品中；也可能是食品生产加工过程中的加工设备、容器、包装材料中的铅迁移带入。《食品安全国家标准食品中污染物限量》（GB 2762—2012）中规定，茶叶中铅（以Pb计）的最大限量值为5.0mg/kg。造成茶叶中铅不合格的主要原因，包括茶树生长的过程中会吸收环境中的铅；采摘加工过程中引入；不法商家为了增加色泽，使用含铅的添加剂；包装不当，包装物也会引起茶叶铅含量超标。</w:t>
      </w:r>
    </w:p>
    <w:p>
      <w:pPr>
        <w:pStyle w:val="3"/>
        <w:keepNext w:val="0"/>
        <w:keepLines w:val="0"/>
        <w:widowControl/>
        <w:numPr>
          <w:ilvl w:val="0"/>
          <w:numId w:val="0"/>
        </w:numPr>
        <w:suppressLineNumbers w:val="0"/>
        <w:pBdr>
          <w:top w:val="none" w:color="auto" w:sz="0" w:space="0"/>
          <w:bottom w:val="none" w:color="auto" w:sz="0" w:space="0"/>
        </w:pBdr>
        <w:shd w:val="clear" w:fill="FFFFFF"/>
        <w:spacing w:before="0" w:beforeAutospacing="0" w:after="0" w:afterAutospacing="0" w:line="27" w:lineRule="atLeast"/>
        <w:ind w:right="0" w:rightChars="0" w:firstLine="602" w:firstLineChars="200"/>
        <w:jc w:val="left"/>
      </w:pPr>
      <w:r>
        <w:rPr>
          <w:rFonts w:hint="eastAsia" w:ascii="仿宋" w:hAnsi="仿宋" w:eastAsia="仿宋" w:cs="仿宋"/>
          <w:b/>
          <w:bCs/>
          <w:color w:val="auto"/>
          <w:kern w:val="2"/>
          <w:sz w:val="30"/>
          <w:szCs w:val="30"/>
          <w:u w:val="none"/>
          <w:lang w:val="en-US" w:eastAsia="zh-CN" w:bidi="ar-SA"/>
        </w:rPr>
        <w:t>大肠菌群:</w:t>
      </w:r>
      <w:r>
        <w:rPr>
          <w:rFonts w:hint="eastAsia" w:ascii="仿宋" w:hAnsi="仿宋" w:eastAsia="仿宋" w:cs="仿宋"/>
          <w:b w:val="0"/>
          <w:i w:val="0"/>
          <w:caps w:val="0"/>
          <w:color w:val="auto"/>
          <w:spacing w:val="0"/>
          <w:kern w:val="0"/>
          <w:sz w:val="28"/>
          <w:szCs w:val="28"/>
          <w:u w:val="none"/>
          <w:lang w:val="en-US" w:eastAsia="zh-CN" w:bidi="ar"/>
        </w:rPr>
        <w:t>大肠菌群是国内外通用的食品污染常用指示菌之一。食品中大肠菌群不合格，说明食品存在卫生质量缺陷，提示该食品中存在被肠道致病菌污染的可能，对人体健康具有潜在危害，尤其对老人、小孩的危害更大。《食品安全国家标准 豆制品》（GB 2712—2014）中规定，同一批次样品5个独立包装的大肠菌群检测结果均不得超过1000CFU/g且至少3个独立包装的检测结果不超过100CFU/g。《食品安全国家标准坚果与籽类食品》（GB 19300—2014）中规定，一个样品的5次检测结果均不得超过100 CFU/g且至少3次检测结果不超过10 CFU/g。《食品安全国家标准 冲调谷物制品》（GB 19640—2016）中规定，同批次5个独立包装产品中大肠菌群的检测结果不允许有超过102CFU/g的，且至少3个包装产品检测结果不超过10CFU/g。造成大肠菌群超标的原因，可能是产品的加工原料、包装材料受污染，或在生产过程中产品受到人员、工具器具等生产设备、环境污染、有灭菌工艺的产品灭菌不彻底等。</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02" w:firstLineChars="200"/>
        <w:jc w:val="left"/>
        <w:textAlignment w:val="auto"/>
        <w:rPr>
          <w:rFonts w:ascii="宋体" w:hAnsi="宋体" w:eastAsia="宋体" w:cs="宋体"/>
          <w:sz w:val="24"/>
          <w:szCs w:val="24"/>
        </w:rPr>
      </w:pPr>
      <w:r>
        <w:rPr>
          <w:rFonts w:hint="eastAsia" w:ascii="仿宋" w:hAnsi="仿宋" w:eastAsia="仿宋" w:cs="仿宋"/>
          <w:b/>
          <w:bCs/>
          <w:color w:val="auto"/>
          <w:kern w:val="2"/>
          <w:sz w:val="30"/>
          <w:szCs w:val="30"/>
          <w:u w:val="none"/>
          <w:lang w:val="en-US" w:eastAsia="zh-CN" w:bidi="ar-SA"/>
        </w:rPr>
        <w:t>甲硝唑：</w:t>
      </w:r>
      <w:r>
        <w:rPr>
          <w:rFonts w:hint="eastAsia" w:ascii="仿宋" w:hAnsi="仿宋" w:eastAsia="仿宋" w:cs="仿宋"/>
          <w:b w:val="0"/>
          <w:i w:val="0"/>
          <w:caps w:val="0"/>
          <w:color w:val="auto"/>
          <w:spacing w:val="0"/>
          <w:kern w:val="0"/>
          <w:sz w:val="28"/>
          <w:szCs w:val="28"/>
          <w:u w:val="none"/>
          <w:lang w:val="en-US" w:eastAsia="zh-CN" w:bidi="ar"/>
        </w:rPr>
        <w:t>甲硝唑是硝基咪唑类抗菌药，对甲硝唑敏感的菌种有拟杆菌属、梭状芽孢杆菌属、产气荚膜梭菌、消化球菌属等。《食品安全国家标准 食品中兽药最大残留限量》（GB 31650—2019）中规定甲硝唑允许作治疗用，但不得在动物性食品中检出。造成鸡蛋中检出甲硝唑的原因可能是养殖户在养殖过程中违规使用相关兽药导致。</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02" w:firstLineChars="200"/>
        <w:jc w:val="left"/>
        <w:textAlignment w:val="auto"/>
        <w:rPr>
          <w:rFonts w:hint="default" w:ascii="宋体" w:hAnsi="宋体" w:eastAsia="宋体" w:cs="宋体"/>
          <w:sz w:val="24"/>
          <w:szCs w:val="24"/>
          <w:lang w:val="en-US" w:eastAsia="zh-CN"/>
        </w:rPr>
      </w:pPr>
      <w:r>
        <w:rPr>
          <w:rFonts w:hint="eastAsia" w:ascii="仿宋" w:hAnsi="仿宋" w:eastAsia="仿宋" w:cs="仿宋"/>
          <w:b/>
          <w:bCs/>
          <w:color w:val="auto"/>
          <w:kern w:val="2"/>
          <w:sz w:val="30"/>
          <w:szCs w:val="30"/>
          <w:u w:val="none"/>
          <w:lang w:val="en-US" w:eastAsia="zh-CN" w:bidi="ar-SA"/>
        </w:rPr>
        <w:t>氰戊菊酯</w:t>
      </w:r>
      <w:r>
        <w:rPr>
          <w:rFonts w:hint="eastAsia" w:ascii="仿宋" w:hAnsi="仿宋" w:eastAsia="仿宋" w:cs="仿宋"/>
          <w:b w:val="0"/>
          <w:i w:val="0"/>
          <w:caps w:val="0"/>
          <w:color w:val="auto"/>
          <w:spacing w:val="0"/>
          <w:kern w:val="0"/>
          <w:sz w:val="28"/>
          <w:szCs w:val="28"/>
          <w:u w:val="none"/>
          <w:lang w:val="en-US" w:eastAsia="zh-CN" w:bidi="ar"/>
        </w:rPr>
        <w:t>是一种中等毒性拟除虫菊酯类杀虫剂，主要用于棉花、果树、蔬菜等作物，防治鞘翅目、双翅目、单翅目、半翅目、鳞翅目和直翅目害虫。作用方式是以触杀和胃毒作用为主。</w:t>
      </w:r>
      <w:r>
        <w:rPr>
          <w:rFonts w:hint="eastAsia" w:ascii="仿宋" w:hAnsi="仿宋" w:eastAsia="仿宋" w:cs="仿宋"/>
          <w:b/>
          <w:bCs/>
          <w:color w:val="auto"/>
          <w:kern w:val="2"/>
          <w:sz w:val="30"/>
          <w:szCs w:val="30"/>
          <w:u w:val="none"/>
          <w:lang w:val="en-US" w:eastAsia="zh-CN" w:bidi="ar-SA"/>
        </w:rPr>
        <w:t>S-氰戊菊酯</w:t>
      </w:r>
      <w:r>
        <w:rPr>
          <w:rFonts w:hint="eastAsia" w:ascii="仿宋" w:hAnsi="仿宋" w:eastAsia="仿宋" w:cs="仿宋"/>
          <w:b w:val="0"/>
          <w:i w:val="0"/>
          <w:caps w:val="0"/>
          <w:color w:val="auto"/>
          <w:spacing w:val="0"/>
          <w:kern w:val="0"/>
          <w:sz w:val="28"/>
          <w:szCs w:val="28"/>
          <w:u w:val="none"/>
          <w:lang w:val="en-US" w:eastAsia="zh-CN" w:bidi="ar"/>
        </w:rPr>
        <w:t>又称顺式氰戊菊酯，其药效特点、作用机理和防治对象与氰戊菊酯相同，但其杀虫活性比氰戊菊酯高出4倍。氰戊菊酯对人的眼睛有中度刺激作用，但没有致突变、致畸和致癌的“三致”作用。</w:t>
      </w:r>
    </w:p>
    <w:p>
      <w:pPr>
        <w:pStyle w:val="3"/>
        <w:keepNext w:val="0"/>
        <w:keepLines w:val="0"/>
        <w:widowControl/>
        <w:suppressLineNumbers w:val="0"/>
        <w:pBdr>
          <w:top w:val="none" w:color="auto" w:sz="0" w:space="0"/>
          <w:bottom w:val="none" w:color="auto" w:sz="0" w:space="0"/>
        </w:pBdr>
        <w:spacing w:before="0" w:beforeAutospacing="0" w:after="0" w:afterAutospacing="0" w:line="27" w:lineRule="atLeast"/>
        <w:rPr>
          <w:rFonts w:hint="eastAsia" w:ascii="仿宋" w:hAnsi="仿宋" w:eastAsia="仿宋" w:cs="仿宋"/>
          <w:b w:val="0"/>
          <w:i w:val="0"/>
          <w:caps w:val="0"/>
          <w:color w:val="auto"/>
          <w:spacing w:val="0"/>
          <w:kern w:val="0"/>
          <w:sz w:val="28"/>
          <w:szCs w:val="28"/>
          <w:u w:val="none"/>
          <w:lang w:val="en-US" w:eastAsia="zh-CN" w:bidi="ar"/>
        </w:rPr>
      </w:pPr>
      <w:r>
        <w:rPr>
          <w:rFonts w:hint="eastAsia" w:ascii="仿宋" w:hAnsi="仿宋" w:eastAsia="仿宋" w:cs="仿宋"/>
          <w:b/>
          <w:bCs/>
          <w:color w:val="auto"/>
          <w:kern w:val="2"/>
          <w:sz w:val="30"/>
          <w:szCs w:val="30"/>
          <w:u w:val="none"/>
          <w:lang w:val="en-US" w:eastAsia="zh-CN" w:bidi="ar-SA"/>
        </w:rPr>
        <w:t>总酸:</w:t>
      </w:r>
      <w:bookmarkStart w:id="0" w:name="_GoBack"/>
      <w:bookmarkEnd w:id="0"/>
      <w:r>
        <w:rPr>
          <w:rFonts w:hint="eastAsia" w:ascii="仿宋" w:hAnsi="仿宋" w:eastAsia="仿宋" w:cs="仿宋"/>
          <w:b w:val="0"/>
          <w:i w:val="0"/>
          <w:caps w:val="0"/>
          <w:color w:val="auto"/>
          <w:spacing w:val="0"/>
          <w:kern w:val="0"/>
          <w:sz w:val="28"/>
          <w:szCs w:val="28"/>
          <w:u w:val="none"/>
          <w:lang w:val="en-US" w:eastAsia="zh-CN" w:bidi="ar"/>
        </w:rPr>
        <w:t>总酸是食醋的品质指标，反映其特色的重要特征性指标之一。对酿造食醋来说，酸度越高说明发酵程度越高，食醋的酸味也就越浓，质量也就越好。按照该产品标签明示值中规定，食醋中总酸最小限量值为9.62g/100mL。总酸含量未达标的原因，可能是生产过程工艺控制不严或未按标准执行，产品与标签标注等级不匹配等造成。</w:t>
      </w:r>
    </w:p>
    <w:p>
      <w:pPr>
        <w:pStyle w:val="3"/>
        <w:keepNext w:val="0"/>
        <w:keepLines w:val="0"/>
        <w:widowControl/>
        <w:suppressLineNumbers w:val="0"/>
        <w:pBdr>
          <w:top w:val="none" w:color="auto" w:sz="0" w:space="0"/>
          <w:bottom w:val="none" w:color="auto" w:sz="0" w:space="0"/>
        </w:pBdr>
        <w:shd w:val="clear" w:fill="FFFFFF"/>
        <w:spacing w:before="0" w:beforeAutospacing="0" w:after="0" w:afterAutospacing="0" w:line="27" w:lineRule="atLeast"/>
        <w:ind w:left="0" w:firstLine="560" w:firstLineChars="200"/>
        <w:jc w:val="left"/>
        <w:rPr>
          <w:rFonts w:hint="eastAsia" w:ascii="仿宋" w:hAnsi="仿宋" w:eastAsia="仿宋" w:cs="仿宋"/>
          <w:b w:val="0"/>
          <w:i w:val="0"/>
          <w:caps w:val="0"/>
          <w:color w:val="auto"/>
          <w:spacing w:val="0"/>
          <w:kern w:val="0"/>
          <w:sz w:val="28"/>
          <w:szCs w:val="28"/>
          <w:lang w:val="en-US" w:eastAsia="zh-CN" w:bidi="ar"/>
        </w:rPr>
      </w:pPr>
    </w:p>
    <w:p>
      <w:pPr>
        <w:pStyle w:val="3"/>
        <w:keepNext w:val="0"/>
        <w:keepLines w:val="0"/>
        <w:widowControl/>
        <w:numPr>
          <w:ilvl w:val="0"/>
          <w:numId w:val="0"/>
        </w:numPr>
        <w:suppressLineNumbers w:val="0"/>
        <w:pBdr>
          <w:top w:val="none" w:color="auto" w:sz="0" w:space="0"/>
          <w:bottom w:val="none" w:color="auto" w:sz="0" w:space="0"/>
        </w:pBdr>
        <w:shd w:val="clear" w:fill="FFFFFF"/>
        <w:spacing w:before="0" w:beforeAutospacing="0" w:after="0" w:afterAutospacing="0" w:line="27" w:lineRule="atLeast"/>
        <w:ind w:right="0" w:rightChars="0" w:firstLine="560" w:firstLineChars="200"/>
        <w:jc w:val="left"/>
        <w:rPr>
          <w:rFonts w:hint="eastAsia" w:ascii="仿宋" w:hAnsi="仿宋" w:eastAsia="仿宋" w:cs="仿宋"/>
          <w:b w:val="0"/>
          <w:i w:val="0"/>
          <w:caps w:val="0"/>
          <w:color w:val="auto"/>
          <w:spacing w:val="0"/>
          <w:kern w:val="0"/>
          <w:sz w:val="28"/>
          <w:szCs w:val="28"/>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770778"/>
    <w:rsid w:val="039E4B9B"/>
    <w:rsid w:val="05A61843"/>
    <w:rsid w:val="132E0843"/>
    <w:rsid w:val="1BB32987"/>
    <w:rsid w:val="2044579A"/>
    <w:rsid w:val="22F743D6"/>
    <w:rsid w:val="2B167D4E"/>
    <w:rsid w:val="2E371E16"/>
    <w:rsid w:val="2F626E32"/>
    <w:rsid w:val="31885638"/>
    <w:rsid w:val="37A4588D"/>
    <w:rsid w:val="41C40CBC"/>
    <w:rsid w:val="44863331"/>
    <w:rsid w:val="45C508AE"/>
    <w:rsid w:val="46926D92"/>
    <w:rsid w:val="473032B1"/>
    <w:rsid w:val="474B39FB"/>
    <w:rsid w:val="4A423A63"/>
    <w:rsid w:val="4B1A16EF"/>
    <w:rsid w:val="4BF238B3"/>
    <w:rsid w:val="4C0619BB"/>
    <w:rsid w:val="4D4C6170"/>
    <w:rsid w:val="51492152"/>
    <w:rsid w:val="519A001A"/>
    <w:rsid w:val="542C0694"/>
    <w:rsid w:val="56AA50C9"/>
    <w:rsid w:val="5B2B2283"/>
    <w:rsid w:val="5F8862D7"/>
    <w:rsid w:val="637B1AF3"/>
    <w:rsid w:val="67861634"/>
    <w:rsid w:val="6C015585"/>
    <w:rsid w:val="6C50294F"/>
    <w:rsid w:val="6C902864"/>
    <w:rsid w:val="6CA372EC"/>
    <w:rsid w:val="71FF5B99"/>
    <w:rsid w:val="7B770778"/>
    <w:rsid w:val="7E454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spacing w:before="100" w:beforeLines="0" w:beforeAutospacing="1" w:after="100" w:afterLines="0" w:afterAutospacing="1"/>
      <w:ind w:left="0" w:right="0"/>
      <w:jc w:val="left"/>
    </w:pPr>
    <w:rPr>
      <w:color w:val="CC0000"/>
      <w:kern w:val="0"/>
      <w:sz w:val="24"/>
      <w:u w:val="single"/>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173</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2019-04-18T06:59:00Z</dcterms:created>
  <dc:creator>刘伟青</dc:creator>
  <cp:lastModifiedBy>张艳丽</cp:lastModifiedBy>
  <dcterms:modified xsi:type="dcterms:W3CDTF">2022-08-24T06:44:48Z</dcterms:modified>
  <dc:title>不合格项目解读</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D754B811C83A4EE3829086D78AF8857A</vt:lpwstr>
  </property>
</Properties>
</file>