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_GB2312" w:hAnsi="仿宋_GB2312" w:cs="仿宋_GB2312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highlight w:val="none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</w:rPr>
        <w:t>清远市清新区中心城区202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</w:rPr>
        <w:t>年义务教育公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eastAsia="zh-CN"/>
        </w:rPr>
        <w:t>、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</w:rPr>
        <w:t>民办学校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val="en-US" w:eastAsia="zh-CN"/>
        </w:rPr>
        <w:t>招生工作日程表</w:t>
      </w:r>
    </w:p>
    <w:tbl>
      <w:tblPr>
        <w:tblStyle w:val="4"/>
        <w:tblW w:w="9597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21"/>
        <w:gridCol w:w="4289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时间安排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工作要点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系统公测，家长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可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模拟报名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（非正式报名）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区教育局、符合条件适龄儿童监护人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28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报名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5月29日-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网上审核：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初审户籍、房产、社保等材料的真实性，采集报名信息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区教育局、各公办学校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-1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打印《新生学位申请表》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（一式两份）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-1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预约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现场审核（针对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网上审核后存在异议的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情况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。收到学校电话或短信的家长按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预约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时间到登记学校核验材料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17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-30日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就读资格审核（职能部门审核、上门核查入住情况）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区有关职能部门、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网上公示审核结果和学区积分,受理书面复核申请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-1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统筹安排学位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18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公布新生录取结果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家长登录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系统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“我的报名”查看录取学校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8月2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-2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新生入学报名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各公办学校、新生监护人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时间安排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工作要点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系统公测，家长模拟报名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（非正式报名）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区教育局、符合条件适龄儿童监护人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28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报名、现场报名（无网上报名条件或不懂操作者）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5月29日-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审核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网上报名信息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13-14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网上录取（有需要的进行电脑随机摇号录取）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，家长可登录系统查看录取结果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区教育局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各民办学校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-1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民办学校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现场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入学确认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已录取的适龄儿童监护人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日前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公布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民办学校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补录计划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21-22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民办学校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进行现场补录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未完成招生任务的民办学校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符合条件适龄儿童监护人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新生入学报名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进行第二次现场补录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新生监护人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  <w:highlight w:val="none"/>
          <w:u w:val="none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633" w:bottom="873" w:left="168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81F37"/>
    <w:rsid w:val="2F3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2024-05-11T02:52:00Z</dcterms:created>
  <dc:creator>Administrator</dc:creator>
  <cp:lastModifiedBy>Administrator</cp:lastModifiedBy>
  <dcterms:modified xsi:type="dcterms:W3CDTF">2024-05-11T02:53:09Z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