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关于《华润清远清新林泉风电场扩建项目环境影响报告表》的批复</w:t>
      </w: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华润（清远）太阳能发电有限公司: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你单位报来的《华润清远清新林泉风电场扩建项目环境影响报告表》收悉。根据《中华人民共和国环境影响评价法》《建设项目环境保护管理条例》及有关法律、法规规定，经研究，批复如下：</w:t>
      </w:r>
    </w:p>
    <w:p>
      <w:pPr>
        <w:pStyle w:val="2"/>
        <w:numPr>
          <w:ilvl w:val="0"/>
          <w:numId w:val="1"/>
        </w:numPr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该项目位于广东省清远市清新区龙颈镇、太和镇一带山脉，建设内容为：安装</w:t>
      </w: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ascii="仿宋" w:hAnsi="仿宋" w:eastAsia="仿宋" w:cs="仿宋"/>
          <w:sz w:val="30"/>
          <w:szCs w:val="30"/>
        </w:rPr>
        <w:t>台单机容量为5560kW的风力发电机组（其中1台采取上限负荷为5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20kW的限负荷运行）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ascii="仿宋" w:hAnsi="仿宋" w:eastAsia="仿宋" w:cs="仿宋"/>
          <w:sz w:val="30"/>
          <w:szCs w:val="30"/>
        </w:rPr>
        <w:t>装机容量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ascii="仿宋" w:hAnsi="仿宋" w:eastAsia="仿宋" w:cs="仿宋"/>
          <w:sz w:val="30"/>
          <w:szCs w:val="30"/>
        </w:rPr>
        <w:t>49.9MW，</w:t>
      </w:r>
      <w:r>
        <w:rPr>
          <w:rFonts w:hint="eastAsia" w:ascii="仿宋" w:hAnsi="仿宋" w:eastAsia="仿宋" w:cs="仿宋"/>
          <w:sz w:val="30"/>
          <w:szCs w:val="30"/>
        </w:rPr>
        <w:t>项目建成后</w:t>
      </w:r>
      <w:r>
        <w:rPr>
          <w:rFonts w:ascii="仿宋" w:hAnsi="仿宋" w:eastAsia="仿宋" w:cs="仿宋"/>
          <w:sz w:val="30"/>
          <w:szCs w:val="30"/>
        </w:rPr>
        <w:t>预计年上网发电量为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103596.54MW·h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ascii="仿宋" w:hAnsi="仿宋" w:eastAsia="仿宋" w:cs="仿宋"/>
          <w:sz w:val="30"/>
          <w:szCs w:val="30"/>
        </w:rPr>
        <w:t>每台风机配套一座箱式变压器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风机出口电压为1.14kV，经电缆引接至机组升压变低压侧，通过机组升压变升压至35kV，经2回35kV集电线路送入林泉110kV升压站的II段35kV母线(升压站建设不在本次评价范围内)。场内35kV集电线路采用以架空线路为主、直埋电缆为辅的混合架设形式建设，其中直埋电缆线路总长</w:t>
      </w:r>
      <w:r>
        <w:rPr>
          <w:rFonts w:hint="eastAsia" w:ascii="仿宋" w:hAnsi="仿宋" w:eastAsia="仿宋" w:cs="仿宋"/>
          <w:sz w:val="30"/>
          <w:szCs w:val="30"/>
        </w:rPr>
        <w:t>21.06</w:t>
      </w:r>
      <w:r>
        <w:rPr>
          <w:rFonts w:ascii="仿宋" w:hAnsi="仿宋" w:eastAsia="仿宋" w:cs="仿宋"/>
          <w:sz w:val="30"/>
          <w:szCs w:val="30"/>
        </w:rPr>
        <w:t>km，单回路架空1</w:t>
      </w:r>
      <w:r>
        <w:rPr>
          <w:rFonts w:hint="eastAsia" w:ascii="仿宋" w:hAnsi="仿宋" w:eastAsia="仿宋" w:cs="仿宋"/>
          <w:sz w:val="30"/>
          <w:szCs w:val="30"/>
        </w:rPr>
        <w:t>2.12</w:t>
      </w:r>
      <w:r>
        <w:rPr>
          <w:rFonts w:ascii="仿宋" w:hAnsi="仿宋" w:eastAsia="仿宋" w:cs="仿宋"/>
          <w:sz w:val="30"/>
          <w:szCs w:val="30"/>
        </w:rPr>
        <w:t>km，双回路架空</w:t>
      </w:r>
      <w:r>
        <w:rPr>
          <w:rFonts w:hint="eastAsia" w:ascii="仿宋" w:hAnsi="仿宋" w:eastAsia="仿宋" w:cs="仿宋"/>
          <w:sz w:val="30"/>
          <w:szCs w:val="30"/>
        </w:rPr>
        <w:t>8.71</w:t>
      </w:r>
      <w:r>
        <w:rPr>
          <w:rFonts w:ascii="仿宋" w:hAnsi="仿宋" w:eastAsia="仿宋" w:cs="仿宋"/>
          <w:sz w:val="30"/>
          <w:szCs w:val="30"/>
        </w:rPr>
        <w:t>km。</w:t>
      </w:r>
      <w:r>
        <w:rPr>
          <w:rFonts w:hint="eastAsia" w:ascii="仿宋" w:hAnsi="仿宋" w:eastAsia="仿宋" w:cs="仿宋"/>
          <w:sz w:val="30"/>
          <w:szCs w:val="30"/>
        </w:rPr>
        <w:t>架空线路新建铁塔共91座，其中单回直线塔8座、单回耐张塔40座、双回直线塔10座、双回耐张塔33座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二、根据报告表的评价结论，在全面落实报告表提出的各项污染防治和环境风险防范措施，并确保各类污染物稳定达标排放且符合总量控制要求的前提下，项目按照报告表中所列性质、规模、地点、采用的生产工艺和防治污染、防止生态破坏的措施进行建设，从生态环境保护角度可行。项目应按报告表内容组织实施，建设和运营中还应重点做好以下工作。</w:t>
      </w:r>
    </w:p>
    <w:p>
      <w:pPr>
        <w:pStyle w:val="2"/>
        <w:jc w:val="both"/>
        <w:rPr>
          <w:rFonts w:hint="default" w:ascii="Times New Roman" w:hAnsi="Times New Roman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ascii="仿宋" w:hAnsi="仿宋" w:eastAsia="仿宋" w:cs="仿宋"/>
          <w:sz w:val="30"/>
          <w:szCs w:val="30"/>
        </w:rPr>
        <w:t>做好</w:t>
      </w:r>
      <w:r>
        <w:rPr>
          <w:rFonts w:ascii="Times New Roman" w:hAnsi="Times New Roman" w:eastAsia="仿宋"/>
          <w:sz w:val="30"/>
          <w:szCs w:val="30"/>
        </w:rPr>
        <w:t>水污染防治工作，</w:t>
      </w:r>
      <w:r>
        <w:rPr>
          <w:rFonts w:hint="eastAsia" w:ascii="Times New Roman" w:hAnsi="Times New Roman" w:eastAsia="仿宋"/>
          <w:sz w:val="30"/>
          <w:szCs w:val="30"/>
        </w:rPr>
        <w:t>设置临时集水沟和临时隔油沉淀池，施工废水收集后经隔油沉淀池进行沉淀处理，处理后废水全部循环利用，不外排地表水体；施工生活污水经临时化粪池处理后用于周边农田灌溉，不外排入地表水体，生活污水执行《农田灌溉水质标准》</w:t>
      </w:r>
      <w:r>
        <w:rPr>
          <w:rFonts w:hint="eastAsia" w:ascii="仿宋" w:hAnsi="仿宋" w:eastAsia="仿宋" w:cs="仿宋"/>
          <w:sz w:val="30"/>
          <w:szCs w:val="30"/>
        </w:rPr>
        <w:t>(GB5084-2021)</w:t>
      </w:r>
      <w:r>
        <w:rPr>
          <w:rFonts w:hint="eastAsia" w:ascii="Times New Roman" w:hAnsi="Times New Roman" w:eastAsia="仿宋"/>
          <w:sz w:val="30"/>
          <w:szCs w:val="30"/>
        </w:rPr>
        <w:t>旱作标准</w:t>
      </w:r>
      <w:r>
        <w:rPr>
          <w:rFonts w:ascii="Times New Roman" w:hAnsi="Times New Roman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做好大气污染防治工作，施工期施工机械燃油废气、施工运输车辆行驶尾气、施工扬尘、移动式柴油发电机尾气执行广东省地方标准《大气污染物排放限值》(DB44/27-2001)中的无组织排放监控浓度限值标准。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做好噪声污染的防治工作，施工期间噪声执行《建筑施工场界环境噪声排放标准》（GB12523-2011）的要求，营运期间噪声执行《工业企业厂界环境噪声排放标准》（GB12348-2008）的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类标准。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）固体废弃物要分类并及时规范处理，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严格按照</w:t>
      </w:r>
      <w:r>
        <w:rPr>
          <w:rFonts w:hint="eastAsia" w:ascii="仿宋" w:hAnsi="仿宋" w:eastAsia="仿宋" w:cs="仿宋"/>
          <w:sz w:val="30"/>
          <w:szCs w:val="30"/>
        </w:rPr>
        <w:t>《中华人民共和国固体废物污染环境防治法》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《广东省固体废物污染环境防治条例》</w:t>
      </w:r>
      <w:r>
        <w:rPr>
          <w:rFonts w:hint="eastAsia" w:ascii="仿宋" w:hAnsi="仿宋" w:eastAsia="仿宋" w:cs="仿宋"/>
          <w:sz w:val="30"/>
          <w:szCs w:val="30"/>
        </w:rPr>
        <w:t>《危险废物贮存污染控制标准》要求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sz w:val="30"/>
          <w:szCs w:val="30"/>
        </w:rPr>
        <w:t>报告表经批准后，建设项目的性质、规模、地点、采用的生产工艺或者防治污染、防止生态破坏的措施发生重大变动的，建设单位应当重新报批建设项目的环境影响评价文件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sz w:val="30"/>
          <w:szCs w:val="30"/>
        </w:rPr>
        <w:t>项目建设应严格执行配套建设的环境保护设施与主体工程同时设计、同时施工、同时投产使用的环境保护“三同时”制度。项目竣工后，建设单位必须按照规定程序办理环境保护竣工验收，验收合格后，项目方可正式投入生产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  <w:bookmarkStart w:id="0" w:name="_GoBack"/>
      <w:bookmarkEnd w:id="0"/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</w:t>
      </w:r>
      <w:r>
        <w:rPr>
          <w:rFonts w:ascii="Times New Roman" w:hAnsi="Times New Roman" w:eastAsia="仿宋" w:cs="Times New Roman"/>
          <w:sz w:val="30"/>
          <w:szCs w:val="30"/>
        </w:rPr>
        <w:t xml:space="preserve">  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5100" w:firstLineChars="17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清远市生态环境局</w:t>
      </w:r>
    </w:p>
    <w:p>
      <w:pPr>
        <w:ind w:firstLine="5100" w:firstLineChars="17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8C344"/>
    <w:multiLevelType w:val="singleLevel"/>
    <w:tmpl w:val="56F8C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zkxMmJlYTgyZjE3ZjY0NTQ1NzY0MjAzOWNjMjEifQ=="/>
  </w:docVars>
  <w:rsids>
    <w:rsidRoot w:val="39E71ED4"/>
    <w:rsid w:val="00217B48"/>
    <w:rsid w:val="00273AE2"/>
    <w:rsid w:val="0041648C"/>
    <w:rsid w:val="007D4BD0"/>
    <w:rsid w:val="00C125C5"/>
    <w:rsid w:val="00C26505"/>
    <w:rsid w:val="0806255A"/>
    <w:rsid w:val="08FB7997"/>
    <w:rsid w:val="09154EF5"/>
    <w:rsid w:val="095D3195"/>
    <w:rsid w:val="0B3513F6"/>
    <w:rsid w:val="0E167F8E"/>
    <w:rsid w:val="10854C7A"/>
    <w:rsid w:val="113C6E29"/>
    <w:rsid w:val="11F9071D"/>
    <w:rsid w:val="12FD053E"/>
    <w:rsid w:val="143315A9"/>
    <w:rsid w:val="15CF515F"/>
    <w:rsid w:val="16502191"/>
    <w:rsid w:val="165C3D37"/>
    <w:rsid w:val="17E70C30"/>
    <w:rsid w:val="187666D8"/>
    <w:rsid w:val="19BC4D5C"/>
    <w:rsid w:val="20197B9F"/>
    <w:rsid w:val="21380498"/>
    <w:rsid w:val="21BC3A45"/>
    <w:rsid w:val="21E303AC"/>
    <w:rsid w:val="22623FCE"/>
    <w:rsid w:val="234D4AD3"/>
    <w:rsid w:val="25E854CC"/>
    <w:rsid w:val="27FC632B"/>
    <w:rsid w:val="28160C02"/>
    <w:rsid w:val="28644BBC"/>
    <w:rsid w:val="28B95B1B"/>
    <w:rsid w:val="2A291FFF"/>
    <w:rsid w:val="2B9920E3"/>
    <w:rsid w:val="2C4F4DF8"/>
    <w:rsid w:val="2D6918C7"/>
    <w:rsid w:val="32370065"/>
    <w:rsid w:val="37406543"/>
    <w:rsid w:val="37A72E92"/>
    <w:rsid w:val="3885576A"/>
    <w:rsid w:val="39E71ED4"/>
    <w:rsid w:val="41BC5526"/>
    <w:rsid w:val="43F3620C"/>
    <w:rsid w:val="44851D9A"/>
    <w:rsid w:val="48EC3D42"/>
    <w:rsid w:val="491F1F8A"/>
    <w:rsid w:val="492E6B58"/>
    <w:rsid w:val="4E3C2C47"/>
    <w:rsid w:val="536B2899"/>
    <w:rsid w:val="5495528E"/>
    <w:rsid w:val="568D158F"/>
    <w:rsid w:val="57310BB0"/>
    <w:rsid w:val="576C3972"/>
    <w:rsid w:val="59145CF2"/>
    <w:rsid w:val="591F0AFB"/>
    <w:rsid w:val="59EB2AB4"/>
    <w:rsid w:val="5A5124CB"/>
    <w:rsid w:val="5F211A7C"/>
    <w:rsid w:val="63A41837"/>
    <w:rsid w:val="65B54FD2"/>
    <w:rsid w:val="67A80F02"/>
    <w:rsid w:val="680C1D23"/>
    <w:rsid w:val="692F1628"/>
    <w:rsid w:val="6AE93884"/>
    <w:rsid w:val="6CBB7A66"/>
    <w:rsid w:val="6DE25D78"/>
    <w:rsid w:val="6DF7145C"/>
    <w:rsid w:val="6E203D8D"/>
    <w:rsid w:val="701D1918"/>
    <w:rsid w:val="70436E9A"/>
    <w:rsid w:val="71105BDF"/>
    <w:rsid w:val="713F74B5"/>
    <w:rsid w:val="726D11DF"/>
    <w:rsid w:val="72AA35D3"/>
    <w:rsid w:val="7350638A"/>
    <w:rsid w:val="73D54963"/>
    <w:rsid w:val="76057B87"/>
    <w:rsid w:val="76F10667"/>
    <w:rsid w:val="776631F2"/>
    <w:rsid w:val="785931B9"/>
    <w:rsid w:val="7BB3506A"/>
    <w:rsid w:val="7E5E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tabs>
        <w:tab w:val="left" w:pos="58"/>
      </w:tabs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1324</Characters>
  <Lines>9</Lines>
  <Paragraphs>2</Paragraphs>
  <TotalTime>3</TotalTime>
  <ScaleCrop>false</ScaleCrop>
  <LinksUpToDate>false</LinksUpToDate>
  <CharactersWithSpaces>1331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84363</cp:lastModifiedBy>
  <cp:lastPrinted>2023-04-14T07:03:00Z</cp:lastPrinted>
  <dcterms:modified xsi:type="dcterms:W3CDTF">2023-07-04T08:23:39Z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598C4ADF2A384F38B9AD270EDD656551</vt:lpwstr>
  </property>
</Properties>
</file>