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7561">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关于《清远110千伏花清#1输变电工程建设项目环境影响报告表》的批复</w:t>
      </w:r>
    </w:p>
    <w:p w14:paraId="038CFE44">
      <w:pPr>
        <w:rPr>
          <w:rFonts w:hint="default" w:ascii="Times New Roman" w:hAnsi="Times New Roman" w:eastAsia="仿宋" w:cs="Times New Roman"/>
          <w:sz w:val="30"/>
          <w:szCs w:val="30"/>
        </w:rPr>
      </w:pPr>
    </w:p>
    <w:p w14:paraId="5538B366">
      <w:pPr>
        <w:keepNext w:val="0"/>
        <w:keepLines w:val="0"/>
        <w:pageBreakBefore w:val="0"/>
        <w:widowControl w:val="0"/>
        <w:kinsoku/>
        <w:wordWrap/>
        <w:overflowPunct/>
        <w:topLinePunct w:val="0"/>
        <w:bidi w:val="0"/>
        <w:snapToGrid/>
        <w:spacing w:line="560" w:lineRule="exact"/>
        <w:rPr>
          <w:rFonts w:hint="eastAsia" w:ascii="Times New Roman" w:hAnsi="Times New Roman" w:eastAsia="仿宋" w:cs="Times New Roman"/>
          <w:sz w:val="30"/>
          <w:szCs w:val="30"/>
          <w:lang w:eastAsia="zh-CN"/>
        </w:rPr>
      </w:pPr>
      <w:r>
        <w:rPr>
          <w:rFonts w:hint="eastAsia" w:ascii="Times New Roman" w:hAnsi="Times New Roman" w:eastAsia="仿宋" w:cs="Times New Roman"/>
          <w:sz w:val="30"/>
          <w:szCs w:val="30"/>
          <w:lang w:eastAsia="zh-CN"/>
        </w:rPr>
        <w:t>广东电网有限责任公司清远供电局：</w:t>
      </w:r>
    </w:p>
    <w:p w14:paraId="49A0B16D">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你</w:t>
      </w:r>
      <w:r>
        <w:rPr>
          <w:rFonts w:hint="eastAsia" w:ascii="仿宋" w:hAnsi="仿宋" w:eastAsia="仿宋" w:cs="仿宋"/>
          <w:color w:val="000000" w:themeColor="text1"/>
          <w:sz w:val="30"/>
          <w:szCs w:val="30"/>
          <w:lang w:val="en-US" w:eastAsia="zh-CN"/>
          <w14:textFill>
            <w14:solidFill>
              <w14:schemeClr w14:val="tx1"/>
            </w14:solidFill>
          </w14:textFill>
        </w:rPr>
        <w:t>单位</w:t>
      </w:r>
      <w:r>
        <w:rPr>
          <w:rFonts w:hint="eastAsia" w:ascii="仿宋" w:hAnsi="仿宋" w:eastAsia="仿宋" w:cs="仿宋"/>
          <w:color w:val="000000" w:themeColor="text1"/>
          <w:sz w:val="30"/>
          <w:szCs w:val="30"/>
          <w14:textFill>
            <w14:solidFill>
              <w14:schemeClr w14:val="tx1"/>
            </w14:solidFill>
          </w14:textFill>
        </w:rPr>
        <w:t>报批的《清远110千伏花清#1输变电工程建设项目环境影响报告表》（以下简称“报告表”）收悉。根据《中华人民共和国环境影响评价法》《建设项目环境保护管理条例》及有关法律、法规规定，经研究，批复如下：</w:t>
      </w:r>
    </w:p>
    <w:p w14:paraId="19E5DDDD">
      <w:pPr>
        <w:pStyle w:val="2"/>
        <w:keepNext w:val="0"/>
        <w:keepLines w:val="0"/>
        <w:pageBreakBefore w:val="0"/>
        <w:widowControl w:val="0"/>
        <w:numPr>
          <w:ilvl w:val="0"/>
          <w:numId w:val="1"/>
        </w:numPr>
        <w:kinsoku/>
        <w:wordWrap/>
        <w:overflowPunct/>
        <w:topLinePunct w:val="0"/>
        <w:bidi w:val="0"/>
        <w:snapToGrid/>
        <w:spacing w:line="560" w:lineRule="exact"/>
        <w:ind w:firstLine="600" w:firstLineChars="200"/>
        <w:jc w:val="both"/>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清远110千伏花清#1输变电工程（以下简称“该项目”）位于清远市清新区太平镇、龙颈镇，工程建设内容包括新建花清#1变电站一座；在滨河站扩建110kV出线间隔一个；新建110kV滨河至平湾甲乙线解口入花清#1站线路；新建110kV回南线南龙侧解口入滨河站线路。</w:t>
      </w:r>
    </w:p>
    <w:p w14:paraId="2E2D4478">
      <w:pPr>
        <w:keepNext w:val="0"/>
        <w:keepLines w:val="0"/>
        <w:pageBreakBefore w:val="0"/>
        <w:widowControl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二、根据报告表的评价结论和广州青蓝环保科技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p>
    <w:p w14:paraId="258984B6">
      <w:pPr>
        <w:pStyle w:val="2"/>
        <w:keepNext w:val="0"/>
        <w:keepLines w:val="0"/>
        <w:pageBreakBefore w:val="0"/>
        <w:widowControl w:val="0"/>
        <w:kinsoku/>
        <w:wordWrap/>
        <w:overflowPunct/>
        <w:topLinePunct w:val="0"/>
        <w:bidi w:val="0"/>
        <w:snapToGrid/>
        <w:spacing w:line="560" w:lineRule="exact"/>
        <w:rPr>
          <w:rFonts w:hint="default" w:ascii="Times New Roman" w:hAnsi="Times New Roman" w:cs="Times New Roman"/>
          <w:sz w:val="30"/>
          <w:szCs w:val="30"/>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eastAsia="zh-CN"/>
        </w:rPr>
        <w:t>（一）</w:t>
      </w:r>
      <w:r>
        <w:rPr>
          <w:rFonts w:hint="default" w:ascii="Times New Roman" w:hAnsi="Times New Roman" w:eastAsia="仿宋" w:cs="Times New Roman"/>
          <w:sz w:val="30"/>
          <w:szCs w:val="30"/>
        </w:rPr>
        <w:t>加强环境管理，严格控制开挖量及开挖范围。施工废水需经处理达标后回用</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合理安排施工时间，施工期间噪声须满足《建筑施工场界环境噪声排放标准》</w:t>
      </w:r>
      <w:r>
        <w:rPr>
          <w:rFonts w:hint="eastAsia" w:ascii="仿宋" w:hAnsi="仿宋" w:eastAsia="仿宋" w:cs="仿宋"/>
          <w:sz w:val="30"/>
          <w:szCs w:val="30"/>
          <w:lang w:eastAsia="zh-CN"/>
        </w:rPr>
        <w:t>（</w:t>
      </w:r>
      <w:r>
        <w:rPr>
          <w:rFonts w:hint="eastAsia" w:ascii="仿宋" w:hAnsi="仿宋" w:eastAsia="仿宋" w:cs="仿宋"/>
          <w:sz w:val="30"/>
          <w:szCs w:val="30"/>
        </w:rPr>
        <w:t>GB12523-2011</w:t>
      </w:r>
      <w:r>
        <w:rPr>
          <w:rFonts w:hint="eastAsia" w:ascii="仿宋" w:hAnsi="仿宋" w:eastAsia="仿宋" w:cs="仿宋"/>
          <w:sz w:val="30"/>
          <w:szCs w:val="30"/>
          <w:lang w:eastAsia="zh-CN"/>
        </w:rPr>
        <w:t>）</w:t>
      </w:r>
      <w:r>
        <w:rPr>
          <w:rFonts w:hint="default" w:ascii="Times New Roman" w:hAnsi="Times New Roman" w:eastAsia="仿宋" w:cs="Times New Roman"/>
          <w:sz w:val="30"/>
          <w:szCs w:val="30"/>
        </w:rPr>
        <w:t>的要求</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落实有效的防扬尘和水土流失措施，减少施工过程对周围环境的影响。加强固体废物处理、处置管理。</w:t>
      </w:r>
    </w:p>
    <w:p w14:paraId="73CF1752">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）严格落实电磁环境保护措施。确保项目变电站</w:t>
      </w:r>
      <w:r>
        <w:rPr>
          <w:rFonts w:hint="eastAsia" w:ascii="仿宋" w:hAnsi="仿宋" w:eastAsia="仿宋" w:cs="仿宋"/>
          <w:sz w:val="30"/>
          <w:szCs w:val="30"/>
          <w:lang w:val="en-US" w:eastAsia="zh-CN"/>
        </w:rPr>
        <w:t>及</w:t>
      </w:r>
      <w:bookmarkStart w:id="0" w:name="_GoBack"/>
      <w:bookmarkEnd w:id="0"/>
      <w:r>
        <w:rPr>
          <w:rFonts w:hint="eastAsia" w:ascii="仿宋" w:hAnsi="仿宋" w:eastAsia="仿宋" w:cs="仿宋"/>
          <w:sz w:val="30"/>
          <w:szCs w:val="30"/>
          <w:lang w:eastAsia="zh-CN"/>
        </w:rPr>
        <w:t>沿线工频电磁场强度、磁感应强度均能满足《电磁环境控制限值》（GB8702-2014）的限值要求</w:t>
      </w:r>
      <w:r>
        <w:rPr>
          <w:rFonts w:hint="eastAsia" w:ascii="仿宋" w:hAnsi="仿宋" w:eastAsia="仿宋" w:cs="仿宋"/>
          <w:sz w:val="30"/>
          <w:szCs w:val="30"/>
        </w:rPr>
        <w:t>。</w:t>
      </w:r>
    </w:p>
    <w:p w14:paraId="69C3885A">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）严格落实噪声污染防治措施。确保项目沿线各环境敏感目标满足《声环境质量标准》（GB3096-2008）相应声环境功能区限值要求</w:t>
      </w:r>
      <w:r>
        <w:rPr>
          <w:rFonts w:hint="eastAsia" w:ascii="仿宋" w:hAnsi="仿宋" w:eastAsia="仿宋" w:cs="仿宋"/>
          <w:sz w:val="30"/>
          <w:szCs w:val="30"/>
        </w:rPr>
        <w:t>。</w:t>
      </w:r>
    </w:p>
    <w:p w14:paraId="68675F61">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四</w:t>
      </w:r>
      <w:r>
        <w:rPr>
          <w:rFonts w:hint="eastAsia" w:ascii="仿宋" w:hAnsi="仿宋" w:eastAsia="仿宋" w:cs="仿宋"/>
          <w:sz w:val="30"/>
          <w:szCs w:val="30"/>
          <w:lang w:eastAsia="zh-CN"/>
        </w:rPr>
        <w:t>）加强生态环境保护工作，落实报告中提出的各项生态保护措施。施工结束后，及时进行植被恢复，确保生态环境安全。</w:t>
      </w:r>
    </w:p>
    <w:p w14:paraId="4B9E0148">
      <w:pPr>
        <w:keepNext w:val="0"/>
        <w:keepLines w:val="0"/>
        <w:pageBreakBefore w:val="0"/>
        <w:widowControl w:val="0"/>
        <w:kinsoku/>
        <w:wordWrap/>
        <w:overflowPunct/>
        <w:topLinePunct w:val="0"/>
        <w:bidi w:val="0"/>
        <w:snapToGrid/>
        <w:spacing w:line="560" w:lineRule="exact"/>
        <w:ind w:firstLine="600" w:firstLineChars="200"/>
        <w:rPr>
          <w:rFonts w:hint="default"/>
          <w:lang w:val="en-US"/>
        </w:rPr>
      </w:pPr>
      <w:r>
        <w:rPr>
          <w:rFonts w:hint="eastAsia" w:ascii="仿宋" w:hAnsi="仿宋" w:eastAsia="仿宋" w:cs="仿宋"/>
          <w:color w:val="auto"/>
          <w:kern w:val="2"/>
          <w:sz w:val="30"/>
          <w:szCs w:val="30"/>
          <w:lang w:val="en-US" w:eastAsia="zh-CN" w:bidi="ar-SA"/>
        </w:rPr>
        <w:t>（五）完善并严格落实环境风险防范措施和应急预案，建立健全环境事故应急体系，加强污染防治设施的管理和维护，设置足够容积的事故应急池，加强与区域环境风险防范体系的联动，切实防范环境污染事故发生。</w:t>
      </w:r>
    </w:p>
    <w:p w14:paraId="7581D050">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三</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eastAsia" w:ascii="仿宋" w:hAnsi="仿宋" w:eastAsia="仿宋" w:cs="仿宋"/>
          <w:color w:val="000000"/>
          <w:sz w:val="30"/>
          <w:szCs w:val="30"/>
          <w:lang w:val="en-US" w:eastAsia="zh-CN"/>
        </w:rPr>
        <w:t>报告表</w:t>
      </w:r>
      <w:r>
        <w:rPr>
          <w:rFonts w:hint="eastAsia" w:ascii="仿宋" w:hAnsi="仿宋" w:eastAsia="仿宋" w:cs="仿宋"/>
          <w:color w:val="000000"/>
          <w:sz w:val="30"/>
          <w:szCs w:val="30"/>
        </w:rPr>
        <w:t>经批准后，建设项目的性质</w:t>
      </w:r>
      <w:r>
        <w:rPr>
          <w:rFonts w:ascii="Times New Roman" w:hAnsi="Times New Roman" w:eastAsia="仿宋" w:cs="Times New Roman"/>
          <w:color w:val="000000"/>
          <w:sz w:val="30"/>
          <w:szCs w:val="30"/>
        </w:rPr>
        <w:t>、规模、地点、采用的生产工艺或者防治污染、防止生态破坏的措施发生重大变动的，建设单位应当重新报批建设项目的环境影响评价文件</w:t>
      </w:r>
      <w:r>
        <w:rPr>
          <w:rFonts w:hint="default" w:ascii="Times New Roman" w:hAnsi="Times New Roman" w:eastAsia="仿宋" w:cs="Times New Roman"/>
          <w:color w:val="000000" w:themeColor="text1"/>
          <w:sz w:val="30"/>
          <w:szCs w:val="30"/>
          <w14:textFill>
            <w14:solidFill>
              <w14:schemeClr w14:val="tx1"/>
            </w14:solidFill>
          </w14:textFill>
        </w:rPr>
        <w:t>。</w:t>
      </w:r>
    </w:p>
    <w:p w14:paraId="607782DA">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四</w:t>
      </w:r>
      <w:r>
        <w:rPr>
          <w:rFonts w:hint="default" w:ascii="Times New Roman" w:hAnsi="Times New Roman" w:eastAsia="仿宋" w:cs="Times New Roman"/>
          <w:color w:val="000000" w:themeColor="text1"/>
          <w:sz w:val="30"/>
          <w:szCs w:val="30"/>
          <w14:textFill>
            <w14:solidFill>
              <w14:schemeClr w14:val="tx1"/>
            </w14:solidFill>
          </w14:textFill>
        </w:rPr>
        <w:t>、项目建设</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应</w:t>
      </w:r>
      <w:r>
        <w:rPr>
          <w:rFonts w:hint="default" w:ascii="Times New Roman" w:hAnsi="Times New Roman" w:eastAsia="仿宋" w:cs="Times New Roman"/>
          <w:color w:val="000000" w:themeColor="text1"/>
          <w:sz w:val="30"/>
          <w:szCs w:val="30"/>
          <w14:textFill>
            <w14:solidFill>
              <w14:schemeClr w14:val="tx1"/>
            </w14:solidFill>
          </w14:textFill>
        </w:rPr>
        <w:t>严格执行配套建设的环境保护设施与主体工程同时设计、同时施工、同时投产使用的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环境保护</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三同时</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制度。</w:t>
      </w:r>
      <w:r>
        <w:rPr>
          <w:rFonts w:hint="eastAsia" w:ascii="Times New Roman" w:hAnsi="Times New Roman" w:eastAsia="仿宋" w:cs="Times New Roman"/>
          <w:color w:val="000000"/>
          <w:kern w:val="2"/>
          <w:sz w:val="30"/>
          <w:szCs w:val="30"/>
          <w:lang w:val="en-US" w:eastAsia="zh-CN" w:bidi="ar-SA"/>
        </w:rPr>
        <w:t>项目建成运行后，应按规定程序实施竣工环境保护验收</w:t>
      </w:r>
      <w:r>
        <w:rPr>
          <w:rFonts w:hint="default" w:ascii="Times New Roman" w:hAnsi="Times New Roman" w:eastAsia="仿宋" w:cs="Times New Roman"/>
          <w:color w:val="000000" w:themeColor="text1"/>
          <w:sz w:val="30"/>
          <w:szCs w:val="30"/>
          <w14:textFill>
            <w14:solidFill>
              <w14:schemeClr w14:val="tx1"/>
            </w14:solidFill>
          </w14:textFill>
        </w:rPr>
        <w:t>。</w:t>
      </w:r>
    </w:p>
    <w:p w14:paraId="458361D2">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五</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sz w:val="30"/>
          <w:szCs w:val="30"/>
          <w:lang w:eastAsia="zh-CN"/>
        </w:rPr>
        <w:t>该项目建设和运行过程中如涉及规划、土地利用、建设、水务、消防、安全等问题，应遵照相关法律法规要求到相应的行政主管部门办理有关手续</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p>
    <w:p w14:paraId="5FFF6B40">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cs="Times New Roman"/>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六</w:t>
      </w:r>
      <w:r>
        <w:rPr>
          <w:rFonts w:hint="default" w:ascii="Times New Roman" w:hAnsi="Times New Roman" w:eastAsia="仿宋" w:cs="Times New Roman"/>
          <w:color w:val="000000" w:themeColor="text1"/>
          <w:sz w:val="30"/>
          <w:szCs w:val="30"/>
          <w14:textFill>
            <w14:solidFill>
              <w14:schemeClr w14:val="tx1"/>
            </w14:solidFill>
          </w14:textFill>
        </w:rPr>
        <w:t xml:space="preserve">、以后国家或地方颁布新标准、行业新规定时，按新标准、新规定执行。  </w:t>
      </w:r>
    </w:p>
    <w:p w14:paraId="4B035C12">
      <w:pPr>
        <w:pStyle w:val="2"/>
        <w:keepNext w:val="0"/>
        <w:keepLines w:val="0"/>
        <w:pageBreakBefore w:val="0"/>
        <w:widowControl w:val="0"/>
        <w:kinsoku/>
        <w:wordWrap/>
        <w:overflowPunct/>
        <w:topLinePunct w:val="0"/>
        <w:bidi w:val="0"/>
        <w:snapToGrid/>
        <w:spacing w:line="560" w:lineRule="exact"/>
        <w:rPr>
          <w:rFonts w:hint="default" w:ascii="Times New Roman" w:hAnsi="Times New Roman" w:cs="Times New Roman"/>
        </w:rPr>
      </w:pPr>
    </w:p>
    <w:p w14:paraId="2D151C9F">
      <w:pPr>
        <w:keepNext w:val="0"/>
        <w:keepLines w:val="0"/>
        <w:pageBreakBefore w:val="0"/>
        <w:widowControl w:val="0"/>
        <w:kinsoku/>
        <w:wordWrap/>
        <w:overflowPunct/>
        <w:topLinePunct w:val="0"/>
        <w:bidi w:val="0"/>
        <w:snapToGrid/>
        <w:spacing w:line="560" w:lineRule="exact"/>
        <w:rPr>
          <w:rFonts w:hint="default" w:ascii="Times New Roman" w:hAnsi="Times New Roman" w:cs="Times New Roman"/>
        </w:rPr>
      </w:pPr>
    </w:p>
    <w:p w14:paraId="0F7842A4">
      <w:pPr>
        <w:pStyle w:val="2"/>
        <w:keepNext w:val="0"/>
        <w:keepLines w:val="0"/>
        <w:pageBreakBefore w:val="0"/>
        <w:widowControl w:val="0"/>
        <w:kinsoku/>
        <w:wordWrap/>
        <w:overflowPunct/>
        <w:topLinePunct w:val="0"/>
        <w:bidi w:val="0"/>
        <w:snapToGrid/>
        <w:spacing w:line="560" w:lineRule="exact"/>
        <w:rPr>
          <w:rFonts w:hint="default" w:ascii="Times New Roman" w:hAnsi="Times New Roman" w:cs="Times New Roman"/>
        </w:rPr>
      </w:pPr>
    </w:p>
    <w:p w14:paraId="4C8CFEB9">
      <w:pPr>
        <w:keepNext w:val="0"/>
        <w:keepLines w:val="0"/>
        <w:pageBreakBefore w:val="0"/>
        <w:widowControl w:val="0"/>
        <w:kinsoku/>
        <w:wordWrap/>
        <w:overflowPunct/>
        <w:topLinePunct w:val="0"/>
        <w:bidi w:val="0"/>
        <w:snapToGrid/>
        <w:spacing w:line="560" w:lineRule="exact"/>
        <w:ind w:firstLine="5100" w:firstLineChars="17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清远市生态环境局</w:t>
      </w:r>
    </w:p>
    <w:p w14:paraId="41C1A770">
      <w:pPr>
        <w:keepNext w:val="0"/>
        <w:keepLines w:val="0"/>
        <w:pageBreakBefore w:val="0"/>
        <w:widowControl w:val="0"/>
        <w:kinsoku/>
        <w:wordWrap/>
        <w:overflowPunct/>
        <w:topLinePunct w:val="0"/>
        <w:bidi w:val="0"/>
        <w:snapToGrid/>
        <w:spacing w:line="560" w:lineRule="exact"/>
        <w:ind w:firstLine="5100" w:firstLineChars="1700"/>
        <w:rPr>
          <w:rFonts w:hint="default" w:ascii="Times New Roman" w:hAnsi="Times New Roman" w:eastAsia="仿宋"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C3FFF"/>
    <w:multiLevelType w:val="singleLevel"/>
    <w:tmpl w:val="E82C3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39E71ED4"/>
    <w:rsid w:val="00217B48"/>
    <w:rsid w:val="00273AE2"/>
    <w:rsid w:val="0041648C"/>
    <w:rsid w:val="007D4BD0"/>
    <w:rsid w:val="00C125C5"/>
    <w:rsid w:val="00C26505"/>
    <w:rsid w:val="00D2301F"/>
    <w:rsid w:val="00FB338E"/>
    <w:rsid w:val="027F1151"/>
    <w:rsid w:val="08B47228"/>
    <w:rsid w:val="095D3195"/>
    <w:rsid w:val="09662F61"/>
    <w:rsid w:val="0A2E46CB"/>
    <w:rsid w:val="0BD459E4"/>
    <w:rsid w:val="10854C7A"/>
    <w:rsid w:val="10C876CB"/>
    <w:rsid w:val="113C6E29"/>
    <w:rsid w:val="12617134"/>
    <w:rsid w:val="12D65254"/>
    <w:rsid w:val="12FD053E"/>
    <w:rsid w:val="13442964"/>
    <w:rsid w:val="13FB386F"/>
    <w:rsid w:val="16502191"/>
    <w:rsid w:val="165C3D37"/>
    <w:rsid w:val="17B64701"/>
    <w:rsid w:val="199D2342"/>
    <w:rsid w:val="19A74E14"/>
    <w:rsid w:val="19BC4D5C"/>
    <w:rsid w:val="1AC80F59"/>
    <w:rsid w:val="20197B9F"/>
    <w:rsid w:val="20A43B52"/>
    <w:rsid w:val="210469C1"/>
    <w:rsid w:val="21380498"/>
    <w:rsid w:val="21E303AC"/>
    <w:rsid w:val="234D4AD3"/>
    <w:rsid w:val="24F16755"/>
    <w:rsid w:val="25E854CC"/>
    <w:rsid w:val="28644BBC"/>
    <w:rsid w:val="29C674F4"/>
    <w:rsid w:val="2A291FFF"/>
    <w:rsid w:val="2C4F4DF8"/>
    <w:rsid w:val="32370065"/>
    <w:rsid w:val="347B4A7C"/>
    <w:rsid w:val="350D2FAB"/>
    <w:rsid w:val="353F5C64"/>
    <w:rsid w:val="36560203"/>
    <w:rsid w:val="37406543"/>
    <w:rsid w:val="37A72E92"/>
    <w:rsid w:val="38206066"/>
    <w:rsid w:val="3885576A"/>
    <w:rsid w:val="39E71ED4"/>
    <w:rsid w:val="41384420"/>
    <w:rsid w:val="43F3620C"/>
    <w:rsid w:val="48E9757C"/>
    <w:rsid w:val="492D082E"/>
    <w:rsid w:val="492E6B58"/>
    <w:rsid w:val="494A2E38"/>
    <w:rsid w:val="49CD4B84"/>
    <w:rsid w:val="4D674E20"/>
    <w:rsid w:val="4E3C2C47"/>
    <w:rsid w:val="4E9427D6"/>
    <w:rsid w:val="536B2899"/>
    <w:rsid w:val="5390366D"/>
    <w:rsid w:val="53CF487F"/>
    <w:rsid w:val="568D158F"/>
    <w:rsid w:val="57310BB0"/>
    <w:rsid w:val="59145CF2"/>
    <w:rsid w:val="591F0AFB"/>
    <w:rsid w:val="59EB2AB4"/>
    <w:rsid w:val="5F211A7C"/>
    <w:rsid w:val="60F415B4"/>
    <w:rsid w:val="65516FAF"/>
    <w:rsid w:val="66053241"/>
    <w:rsid w:val="67A80F02"/>
    <w:rsid w:val="692F1628"/>
    <w:rsid w:val="6AC00AE5"/>
    <w:rsid w:val="6CB83AF0"/>
    <w:rsid w:val="6D34343E"/>
    <w:rsid w:val="6DF7145C"/>
    <w:rsid w:val="6E203D8D"/>
    <w:rsid w:val="7004677D"/>
    <w:rsid w:val="701D1918"/>
    <w:rsid w:val="726D11DF"/>
    <w:rsid w:val="73D54963"/>
    <w:rsid w:val="76057B87"/>
    <w:rsid w:val="76F10667"/>
    <w:rsid w:val="7A14126A"/>
    <w:rsid w:val="7F722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tabs>
        <w:tab w:val="left" w:pos="58"/>
      </w:tabs>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3">
    <w:name w:val="纯文本1"/>
    <w:basedOn w:val="1"/>
    <w:qFormat/>
    <w:uiPriority w:val="0"/>
    <w:pPr>
      <w:tabs>
        <w:tab w:val="left" w:pos="58"/>
      </w:tabs>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1158</Words>
  <Characters>1262</Characters>
  <Lines>9</Lines>
  <Paragraphs>2</Paragraphs>
  <TotalTime>0</TotalTime>
  <ScaleCrop>false</ScaleCrop>
  <LinksUpToDate>false</LinksUpToDate>
  <CharactersWithSpaces>1268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2021-10-09T01:31:00Z</dcterms:created>
  <dc:creator>Administrator</dc:creator>
  <cp:lastModifiedBy>小喇叭</cp:lastModifiedBy>
  <cp:lastPrinted>2021-12-10T07:30:00Z</cp:lastPrinted>
  <dcterms:modified xsi:type="dcterms:W3CDTF">2024-09-25T15:16:15Z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FEA0D234307849C0A86F3DC23ADE560A</vt:lpwstr>
  </property>
</Properties>
</file>