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关于《</w:t>
      </w:r>
      <w:r>
        <w:rPr>
          <w:rFonts w:hint="eastAsia" w:ascii="Times New Roman" w:hAnsi="Times New Roman" w:eastAsia="黑体" w:cs="Times New Roman"/>
          <w:sz w:val="36"/>
          <w:szCs w:val="36"/>
        </w:rPr>
        <w:t>清远市清新区浸潭镇40MW农光互补光伏发电项目（一期工程）</w:t>
      </w:r>
      <w:r>
        <w:rPr>
          <w:rFonts w:ascii="Times New Roman" w:hAnsi="Times New Roman" w:eastAsia="黑体" w:cs="Times New Roman"/>
          <w:sz w:val="36"/>
          <w:szCs w:val="36"/>
        </w:rPr>
        <w:t>环境影响报告表》的批复</w:t>
      </w: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清远国能绿动新能源开发有限公司</w:t>
      </w:r>
      <w:r>
        <w:rPr>
          <w:rFonts w:hint="eastAsia" w:ascii="Times New Roman" w:hAnsi="Times New Roman" w:eastAsia="仿宋" w:cs="Times New Roman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你公司报批的《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清远市清新区浸潭镇40MW农光互补光伏发电项目（一期工程）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环境影响报告表》（以下简称“报告表”）等材料收悉。根据《中华人民共和国环境影响评价法》《建设项目环境保护管理条例》及有关法律、法规规定，经研究，批复如下：</w:t>
      </w:r>
    </w:p>
    <w:p>
      <w:pPr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一、该项目位于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清远市清新区浸潭镇高华塘村、高车村、大树墩村、新围村、黄岐塘村、独石村、留良洞村等地及周边区域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采用农光互补的方式，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一期工程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装机容量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规模为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MW，升压站电压等级为110kV，拟设1台容量为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0MVA的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三相双绕组油浸式有载调压变压器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，户外布置，变压器电压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为115±8×1.25%/37kV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总用地面积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为333883.36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500.86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亩）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，其中升压站占地面积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约为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3344.42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（约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5.02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亩）。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根据报告表的评价结论，在全面落实报告表提出的各项污染防治和环境风险防范措施，并确保各类污染物稳定达标排放且符合总量控制要求的前提下，项目按照报告表中所列性质、规模、地点、采用的生产工艺和防治污染、防止生态破坏的措施进行建设，从生态环境保护角度可行。项目应按报告表内容组织实施，建设和运营中还应重点做好以下工作：</w:t>
      </w:r>
    </w:p>
    <w:p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（一）做好施工期和运营期水环境污染防治工作，施工期含油施工废水经隔油、沉淀处理后回用，生活污水经一体化生活污水处理</w:t>
      </w:r>
      <w:r>
        <w:rPr>
          <w:rFonts w:hint="eastAsia" w:ascii="Times New Roman" w:hAnsi="Times New Roman" w:eastAsia="仿宋" w:cs="Times New Roman"/>
          <w:sz w:val="30"/>
          <w:szCs w:val="30"/>
        </w:rPr>
        <w:t>设备</w:t>
      </w:r>
      <w:r>
        <w:rPr>
          <w:rFonts w:ascii="Times New Roman" w:hAnsi="Times New Roman" w:eastAsia="仿宋" w:cs="Times New Roman"/>
          <w:sz w:val="30"/>
          <w:szCs w:val="30"/>
        </w:rPr>
        <w:t>处理达到《农田灌溉水质标准》(GB5084-2021)旱作标准后用作项目周边农作物的浇灌。运营期员工生活污水经</w:t>
      </w:r>
      <w:r>
        <w:rPr>
          <w:rFonts w:hint="eastAsia" w:ascii="Times New Roman" w:hAnsi="Times New Roman" w:eastAsia="仿宋" w:cs="Times New Roman"/>
          <w:sz w:val="30"/>
          <w:szCs w:val="30"/>
        </w:rPr>
        <w:t>隔油池+</w:t>
      </w:r>
      <w:r>
        <w:rPr>
          <w:rFonts w:ascii="Times New Roman" w:hAnsi="Times New Roman" w:eastAsia="仿宋" w:cs="Times New Roman"/>
          <w:sz w:val="30"/>
          <w:szCs w:val="30"/>
        </w:rPr>
        <w:t>三级化粪池+一体化污水处理设备处理达到《农田灌溉水质标准》(GB5084-2021)旱作标准后全部回用于</w:t>
      </w:r>
      <w:r>
        <w:rPr>
          <w:rFonts w:hint="eastAsia" w:ascii="Times New Roman" w:hAnsi="Times New Roman" w:eastAsia="仿宋" w:cs="Times New Roman"/>
          <w:sz w:val="30"/>
          <w:szCs w:val="30"/>
        </w:rPr>
        <w:t>升压站所在</w:t>
      </w:r>
      <w:r>
        <w:rPr>
          <w:rFonts w:ascii="Times New Roman" w:hAnsi="Times New Roman" w:eastAsia="仿宋" w:cs="Times New Roman"/>
          <w:sz w:val="30"/>
          <w:szCs w:val="30"/>
        </w:rPr>
        <w:t>光伏区内</w:t>
      </w:r>
      <w:r>
        <w:rPr>
          <w:rFonts w:hint="eastAsia" w:ascii="Times New Roman" w:hAnsi="Times New Roman" w:eastAsia="仿宋" w:cs="Times New Roman"/>
          <w:sz w:val="30"/>
          <w:szCs w:val="30"/>
        </w:rPr>
        <w:t>农林灌溉</w:t>
      </w:r>
      <w:r>
        <w:rPr>
          <w:rFonts w:ascii="Times New Roman" w:hAnsi="Times New Roman" w:eastAsia="仿宋" w:cs="Times New Roman"/>
          <w:sz w:val="30"/>
          <w:szCs w:val="30"/>
        </w:rPr>
        <w:t>，不外排地表水体。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二）做好大气污染的防治工作，施工期施工机械燃油废气、施工运输车辆行驶尾气、施工扬尘、焊接烟尘执行广东省地方标准《大气污染物排放限值》(DB44/27-2001)中的无组织排放监控浓度限值标准，食堂油烟执行《饮食业油烟排放标准（试行）》(GB18483-2001)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（三）做好电磁辐射污染的防治工作，电磁辐射执行《电磁环境控制限值》（GB8702-2014）中频率为0.05kHz的公众暴露控制限值要求，即电场强度4000V/m、磁感应强度100μT。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（四）做好噪声污染的防治工作，施工期间噪声执行《建筑施工场界环境噪声排放标准》（GB12523-2011）的要求，营运期间噪声执行《工业企业厂界环境噪声排放标准》（GB12348-2008）的1类标准。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（五）固体废弃物要分类并及时规范处理，执行《一般工业固废贮存和填埋污染控制标准》(GB18599-2020)、《危险废物贮存污染控制标准》（GB18597-2001）及2013年修改单要求。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三、报告表经批准后，建设项目的性质、规模、地点、采用的生产工艺或者防治污染、防止生态破坏的措施发生重大变动的，建设单位应当重新报批建设项目的环境影响评价文件。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项目建设应严格执行配套建设的环境保护设施与主体工程同时设计、同时施工、同时投产使用的环境保护“三同时”制度。项目竣工后，建设单位必须按照规定程序办理环境保护竣工验收，验收合格后，项目方可正式投入生产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五、该项目建设和运行过程中如涉及规划、土地利用、建设、水务、消防、安全等问题，应遵照相关法律法规要求到相应的行政主管部门办理有关手续。</w:t>
      </w:r>
    </w:p>
    <w:p>
      <w:pPr>
        <w:spacing w:line="560" w:lineRule="exact"/>
        <w:ind w:firstLine="60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六、以后国家或地方颁布新标准、行业新规定时，按新标准、新规定执行。  </w:t>
      </w:r>
    </w:p>
    <w:p>
      <w:pPr>
        <w:pStyle w:val="2"/>
        <w:spacing w:line="560" w:lineRule="exact"/>
        <w:rPr>
          <w:rFonts w:hint="default" w:ascii="Times New Roman" w:hAnsi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pStyle w:val="2"/>
        <w:spacing w:line="560" w:lineRule="exact"/>
        <w:rPr>
          <w:rFonts w:hint="default" w:ascii="Times New Roman" w:hAnsi="Times New Roman"/>
        </w:rPr>
      </w:pPr>
    </w:p>
    <w:p>
      <w:pPr>
        <w:spacing w:line="560" w:lineRule="exact"/>
        <w:ind w:firstLine="5100" w:firstLineChars="17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清远市生态环境局</w:t>
      </w:r>
    </w:p>
    <w:p>
      <w:pPr>
        <w:spacing w:line="560" w:lineRule="exact"/>
        <w:ind w:firstLine="5100" w:firstLineChars="17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2022年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" w:cs="Times New Roman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zkxMmJlYTgyZjE3ZjY0NTQ1NzY0MjAzOWNjMjEifQ=="/>
  </w:docVars>
  <w:rsids>
    <w:rsidRoot w:val="611E0DD8"/>
    <w:rsid w:val="202B4E25"/>
    <w:rsid w:val="3E834C59"/>
    <w:rsid w:val="472C4F7A"/>
    <w:rsid w:val="573633BE"/>
    <w:rsid w:val="57ED0501"/>
    <w:rsid w:val="5D596CA1"/>
    <w:rsid w:val="611E0DD8"/>
    <w:rsid w:val="61C50A3D"/>
    <w:rsid w:val="63585E05"/>
    <w:rsid w:val="693E79D1"/>
    <w:rsid w:val="782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tabs>
        <w:tab w:val="left" w:pos="58"/>
      </w:tabs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</w:rPr>
  </w:style>
  <w:style w:type="paragraph" w:customStyle="1" w:styleId="3">
    <w:name w:val="纯文本1"/>
    <w:basedOn w:val="1"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1454</Characters>
  <Lines>0</Lines>
  <Paragraphs>0</Paragraphs>
  <TotalTime>0</TotalTime>
  <ScaleCrop>false</ScaleCrop>
  <LinksUpToDate>false</LinksUpToDate>
  <CharactersWithSpaces>1460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2022-10-11T08:25:00Z</dcterms:created>
  <dc:creator>84363</dc:creator>
  <cp:lastModifiedBy>84363</cp:lastModifiedBy>
  <cp:lastPrinted>2022-10-11T08:50:00Z</cp:lastPrinted>
  <dcterms:modified xsi:type="dcterms:W3CDTF">2022-10-11T09:23:14Z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393827D316E745E4BC17CE1E0077400E</vt:lpwstr>
  </property>
</Properties>
</file>