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text" w:horzAnchor="page" w:tblpX="1319" w:tblpY="124"/>
        <w:tblOverlap w:val="never"/>
        <w:tblW w:w="0" w:type="auto"/>
        <w:tblInd w:w="0" w:type="dxa"/>
        <w:tblLayout w:type="fixed"/>
        <w:tblCellMar>
          <w:top w:w="0" w:type="dxa"/>
          <w:left w:w="0" w:type="dxa"/>
          <w:bottom w:w="0" w:type="dxa"/>
          <w:right w:w="0" w:type="dxa"/>
        </w:tblCellMar>
      </w:tblPr>
      <w:tblGrid>
        <w:gridCol w:w="9100"/>
      </w:tblGrid>
      <w:tr>
        <w:trPr>
          <w:trHeight w:val="245" w:hRule="atLeast"/>
        </w:trPr>
        <w:tc>
          <w:tcPr>
            <w:tcW w:w="9100" w:type="dxa"/>
            <w:noWrap w:val="0"/>
            <w:vAlign w:val="top"/>
          </w:tcPr>
          <w:p>
            <w:pPr>
              <w:spacing w:line="1240" w:lineRule="exact"/>
              <w:jc w:val="center"/>
              <w:rPr>
                <w:rFonts w:hint="eastAsia" w:ascii="华文中宋" w:hAnsi="华文中宋" w:eastAsia="华文中宋"/>
                <w:color w:val="FF0000"/>
                <w:spacing w:val="-30"/>
                <w:w w:val="66"/>
                <w:kern w:val="0"/>
                <w:position w:val="-2"/>
                <w:sz w:val="114"/>
              </w:rPr>
            </w:pPr>
            <w:r>
              <w:rPr>
                <w:rFonts w:hint="eastAsia" w:ascii="方正小标宋简体" w:hAnsi="方正小标宋简体" w:eastAsia="方正小标宋简体" w:cs="方正小标宋简体"/>
                <w:color w:val="FF0000"/>
                <w:kern w:val="0"/>
                <w:position w:val="-2"/>
                <w:sz w:val="80"/>
                <w:szCs w:val="80"/>
              </w:rPr>
              <w:t>清远市清新区交通运输局</w:t>
            </w:r>
          </w:p>
        </w:tc>
      </w:tr>
    </w:tbl>
    <w:p>
      <w:pPr>
        <w:rPr>
          <w:vanish/>
        </w:rPr>
      </w:pPr>
    </w:p>
    <w:tbl>
      <w:tblPr>
        <w:tblStyle w:val="6"/>
        <w:tblW w:w="0" w:type="auto"/>
        <w:jc w:val="center"/>
        <w:tblBorders>
          <w:top w:val="none" w:color="auto" w:sz="0"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
      <w:tblGrid>
        <w:gridCol w:w="5792"/>
        <w:gridCol w:w="3028"/>
      </w:tblGrid>
      <w:tr>
        <w:tblPrEx>
          <w:tblBorders>
            <w:top w:val="none" w:color="auto" w:sz="0" w:space="0"/>
            <w:left w:val="none" w:color="auto" w:sz="0" w:space="0"/>
            <w:bottom w:val="none" w:color="auto" w:sz="0" w:space="0"/>
            <w:right w:val="none" w:color="auto" w:sz="0" w:space="0"/>
            <w:insideH w:val="single" w:color="auto" w:sz="8" w:space="0"/>
            <w:insideV w:val="none" w:color="auto" w:sz="0" w:space="0"/>
          </w:tblBorders>
        </w:tblPrEx>
        <w:trPr>
          <w:trHeight w:val="154" w:hRule="atLeast"/>
          <w:jc w:val="center"/>
        </w:trPr>
        <w:tc>
          <w:tcPr>
            <w:tcW w:w="5792" w:type="dxa"/>
            <w:tcBorders>
              <w:top w:val="nil"/>
              <w:bottom w:val="single" w:color="FF0000" w:sz="18" w:space="0"/>
            </w:tcBorders>
            <w:noWrap w:val="0"/>
            <w:vAlign w:val="top"/>
          </w:tcPr>
          <w:p>
            <w:pPr>
              <w:spacing w:line="100" w:lineRule="exact"/>
              <w:rPr>
                <w:rFonts w:hint="eastAsia" w:eastAsia="仿宋_GB2312"/>
                <w:sz w:val="10"/>
                <w:szCs w:val="10"/>
              </w:rPr>
            </w:pPr>
          </w:p>
        </w:tc>
        <w:tc>
          <w:tcPr>
            <w:tcW w:w="3028" w:type="dxa"/>
            <w:tcBorders>
              <w:top w:val="nil"/>
              <w:bottom w:val="single" w:color="FF0000" w:sz="18" w:space="0"/>
            </w:tcBorders>
            <w:noWrap w:val="0"/>
            <w:vAlign w:val="top"/>
          </w:tcPr>
          <w:p>
            <w:pPr>
              <w:spacing w:line="100" w:lineRule="exact"/>
              <w:jc w:val="center"/>
              <w:rPr>
                <w:rFonts w:hint="eastAsia" w:eastAsia="仿宋_GB2312"/>
                <w:sz w:val="10"/>
                <w:szCs w:val="10"/>
              </w:rPr>
            </w:pPr>
          </w:p>
        </w:tc>
      </w:tr>
    </w:tbl>
    <w:p>
      <w:pPr>
        <w:numPr>
          <w:ilvl w:val="0"/>
          <w:numId w:val="0"/>
        </w:numPr>
        <w:spacing w:line="360" w:lineRule="auto"/>
        <w:jc w:val="both"/>
        <w:rPr>
          <w:rFonts w:hint="eastAsia"/>
          <w:b/>
          <w:bCs/>
          <w:sz w:val="44"/>
          <w:szCs w:val="44"/>
        </w:rPr>
      </w:pPr>
    </w:p>
    <w:p>
      <w:pPr>
        <w:numPr>
          <w:ilvl w:val="0"/>
          <w:numId w:val="0"/>
        </w:numPr>
        <w:spacing w:line="360" w:lineRule="auto"/>
        <w:jc w:val="center"/>
        <w:rPr>
          <w:rFonts w:hint="eastAsia" w:ascii="黑体" w:hAnsi="黑体" w:eastAsia="黑体" w:cs="黑体"/>
          <w:b w:val="0"/>
          <w:bCs w:val="0"/>
          <w:sz w:val="44"/>
          <w:szCs w:val="44"/>
        </w:rPr>
      </w:pPr>
      <w:r>
        <w:rPr>
          <w:rFonts w:hint="eastAsia" w:ascii="黑体" w:hAnsi="黑体" w:eastAsia="黑体" w:cs="黑体"/>
          <w:b w:val="0"/>
          <w:bCs w:val="0"/>
          <w:sz w:val="44"/>
          <w:szCs w:val="44"/>
        </w:rPr>
        <w:t>省道S354 线清新太和至三坑段改建工程（清四公路复线）社会稳定风险分析公众参与公告</w:t>
      </w:r>
    </w:p>
    <w:p>
      <w:pPr>
        <w:numPr>
          <w:ilvl w:val="0"/>
          <w:numId w:val="0"/>
        </w:numPr>
        <w:spacing w:line="360" w:lineRule="auto"/>
        <w:jc w:val="center"/>
        <w:rPr>
          <w:rFonts w:hint="eastAsia"/>
          <w:b/>
          <w:bCs/>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根据国家发展和改革委员会《关于印发国家发展改革重大固定资产投资项目社会稳定风险评估暂行办法的通知》（发改投资〔2012〕2492号）、《广东省发展和改革委关于重大项目社会稳定风险评估暂行办法的通知》（发改投资〔2012〕1095号）、《广东省发展改革委重大项目社会稳定风险评估暂行办法》的相关规定，现对省道S354 线清新太和至三坑段改建工程进行社会稳定风险分析评估工作信息公示，征求公众意见。</w:t>
      </w:r>
    </w:p>
    <w:p>
      <w:pPr>
        <w:numPr>
          <w:ilvl w:val="0"/>
          <w:numId w:val="1"/>
        </w:numPr>
        <w:spacing w:line="360" w:lineRule="auto"/>
        <w:ind w:firstLine="643" w:firstLineChars="2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项目基本信息</w:t>
      </w:r>
    </w:p>
    <w:p>
      <w:p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省道S354线清四公路是清新西片连接飞水、山塘、太平、三坑片区发展的纽带，是我市通往肇庆四会的干线公路，同时也是我区连接广州及珠三角地区的重要交通要道，现状为双向六车道一级公路。随着“广清一体化”和“入珠融湾”步伐加快，以及工业化和城镇化进程的不断发展，现在公路交通和公共服务等基础设施建设的现时规模和经济发展不相适应，大量厂矿企业过境车辆与城镇居民生活、自驾旅游出行混合交织，平交路口多，部分交通节点较为拥堵，严重影响了交通出行安全，也制约了当地经济社会发展。项目的建设，将有效推进公路和城市道路协调发展，把</w:t>
      </w:r>
      <w:r>
        <w:rPr>
          <w:rFonts w:hint="eastAsia" w:ascii="仿宋" w:hAnsi="仿宋" w:eastAsia="仿宋" w:cs="仿宋"/>
          <w:sz w:val="32"/>
          <w:szCs w:val="32"/>
        </w:rPr>
        <w:t>清西</w:t>
      </w:r>
      <w:r>
        <w:rPr>
          <w:rFonts w:hint="eastAsia" w:ascii="仿宋" w:hAnsi="仿宋" w:eastAsia="仿宋" w:cs="仿宋"/>
          <w:sz w:val="32"/>
          <w:szCs w:val="32"/>
          <w:lang w:eastAsia="zh-CN"/>
        </w:rPr>
        <w:t>园区</w:t>
      </w:r>
      <w:r>
        <w:rPr>
          <w:rFonts w:hint="eastAsia" w:ascii="仿宋" w:hAnsi="仿宋" w:eastAsia="仿宋" w:cs="仿宋"/>
          <w:sz w:val="32"/>
          <w:szCs w:val="32"/>
        </w:rPr>
        <w:t>产业</w:t>
      </w:r>
      <w:r>
        <w:rPr>
          <w:rFonts w:hint="eastAsia" w:ascii="仿宋" w:hAnsi="仿宋" w:eastAsia="仿宋" w:cs="仿宋"/>
          <w:sz w:val="32"/>
          <w:szCs w:val="32"/>
          <w:lang w:eastAsia="zh-CN"/>
        </w:rPr>
        <w:t>串联起来共促</w:t>
      </w:r>
      <w:r>
        <w:rPr>
          <w:rFonts w:hint="eastAsia" w:ascii="仿宋" w:hAnsi="仿宋" w:eastAsia="仿宋" w:cs="仿宋"/>
          <w:sz w:val="32"/>
          <w:szCs w:val="32"/>
        </w:rPr>
        <w:t>发展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促进区域旅游经济的快速</w:t>
      </w:r>
      <w:r>
        <w:rPr>
          <w:rFonts w:hint="eastAsia" w:ascii="仿宋" w:hAnsi="仿宋" w:eastAsia="仿宋" w:cs="仿宋"/>
          <w:sz w:val="32"/>
          <w:szCs w:val="32"/>
          <w:highlight w:val="none"/>
          <w:lang w:val="en-US" w:eastAsia="zh-CN"/>
        </w:rPr>
        <w:t>发展，</w:t>
      </w:r>
      <w:r>
        <w:rPr>
          <w:rFonts w:hint="eastAsia" w:ascii="仿宋" w:hAnsi="仿宋" w:eastAsia="仿宋" w:cs="仿宋"/>
          <w:sz w:val="32"/>
          <w:szCs w:val="32"/>
          <w:highlight w:val="none"/>
          <w:lang w:eastAsia="zh-CN"/>
        </w:rPr>
        <w:t>从而实现</w:t>
      </w:r>
      <w:r>
        <w:rPr>
          <w:rFonts w:hint="eastAsia" w:ascii="仿宋" w:hAnsi="仿宋" w:eastAsia="仿宋" w:cs="仿宋"/>
          <w:sz w:val="32"/>
          <w:szCs w:val="32"/>
          <w:highlight w:val="none"/>
        </w:rPr>
        <w:t>“百县千镇万村高质量发展”</w:t>
      </w:r>
      <w:r>
        <w:rPr>
          <w:rFonts w:hint="eastAsia" w:ascii="仿宋" w:hAnsi="仿宋" w:eastAsia="仿宋" w:cs="仿宋"/>
          <w:sz w:val="32"/>
          <w:szCs w:val="32"/>
          <w:highlight w:val="none"/>
          <w:lang w:eastAsia="zh-CN"/>
        </w:rPr>
        <w:t>。为此，</w:t>
      </w:r>
      <w:r>
        <w:rPr>
          <w:rFonts w:hint="eastAsia" w:ascii="仿宋_GB2312" w:hAnsi="仿宋_GB2312" w:eastAsia="仿宋_GB2312" w:cs="仿宋_GB2312"/>
          <w:sz w:val="32"/>
          <w:szCs w:val="32"/>
          <w:highlight w:val="none"/>
          <w:lang w:val="en-US" w:eastAsia="zh-CN"/>
        </w:rPr>
        <w:t>对省道S354线清新太和至三坑段进行改建是必要的。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（一）项目名称：省道S354 线清新太和至三坑段改建工程</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（二）建设单位：清远市清新区公路事务中心</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三）建设概况：本项目位于清远市清新区，路线起点位于G107线与S354线相交处（K40+581），经过太和镇、山塘镇、太平镇和三坑镇，下穿环城高速和汕湛高速太平出入口，终点接回S354与Y197相交处（K65+829.719）。改建工程里程全长25.25km，其中利用现状路2.02km，改造路段0.3km，改造桥梁0.2km；新建路段22.73km（其中路基段19.15km，桥梁段3.58km），采用一级公路技术标准，双向六车道，设计速度80km/h，路基宽度33.5m。全线共设特大桥2930米/2座，大桥760米/2座，中桥90米/1座，汽车荷载等级为公路-Ⅰ级，沥青混凝土路面，本工程新建路段需要新增用地约1363亩。</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（四）投资估算与资金筹措：</w:t>
      </w:r>
      <w:r>
        <w:rPr>
          <w:rFonts w:hint="eastAsia" w:ascii="仿宋" w:hAnsi="仿宋" w:eastAsia="仿宋" w:cs="仿宋"/>
          <w:sz w:val="32"/>
          <w:szCs w:val="32"/>
          <w:highlight w:val="none"/>
        </w:rPr>
        <w:t>项目路线总长25.25km，推荐方案总金额</w:t>
      </w:r>
      <w:r>
        <w:rPr>
          <w:rFonts w:hint="eastAsia" w:ascii="仿宋" w:hAnsi="仿宋" w:eastAsia="仿宋" w:cs="仿宋"/>
          <w:sz w:val="32"/>
          <w:szCs w:val="32"/>
          <w:highlight w:val="none"/>
          <w:lang w:val="en-US" w:eastAsia="zh-CN"/>
        </w:rPr>
        <w:t>256748.0588</w:t>
      </w:r>
      <w:r>
        <w:rPr>
          <w:rFonts w:hint="eastAsia" w:ascii="仿宋" w:hAnsi="仿宋" w:eastAsia="仿宋" w:cs="仿宋"/>
          <w:sz w:val="32"/>
          <w:szCs w:val="32"/>
          <w:highlight w:val="none"/>
        </w:rPr>
        <w:t>万元，平均每公里造价</w:t>
      </w:r>
      <w:r>
        <w:rPr>
          <w:rFonts w:hint="eastAsia" w:ascii="仿宋" w:hAnsi="仿宋" w:eastAsia="仿宋" w:cs="仿宋"/>
          <w:sz w:val="32"/>
          <w:szCs w:val="32"/>
          <w:highlight w:val="none"/>
          <w:lang w:val="en-US" w:eastAsia="zh-CN"/>
        </w:rPr>
        <w:t>10168.24</w:t>
      </w:r>
      <w:r>
        <w:rPr>
          <w:rFonts w:hint="eastAsia" w:ascii="仿宋" w:hAnsi="仿宋" w:eastAsia="仿宋" w:cs="仿宋"/>
          <w:sz w:val="32"/>
          <w:szCs w:val="32"/>
          <w:highlight w:val="none"/>
        </w:rPr>
        <w:t>万元，建安费</w:t>
      </w:r>
      <w:r>
        <w:rPr>
          <w:rFonts w:hint="eastAsia" w:ascii="仿宋" w:hAnsi="仿宋" w:eastAsia="仿宋" w:cs="仿宋"/>
          <w:sz w:val="32"/>
          <w:szCs w:val="32"/>
          <w:highlight w:val="none"/>
          <w:lang w:val="en-US" w:eastAsia="zh-CN"/>
        </w:rPr>
        <w:t>195149.25</w:t>
      </w:r>
      <w:r>
        <w:rPr>
          <w:rFonts w:hint="eastAsia" w:ascii="仿宋" w:hAnsi="仿宋" w:eastAsia="仿宋" w:cs="仿宋"/>
          <w:sz w:val="32"/>
          <w:szCs w:val="32"/>
          <w:highlight w:val="none"/>
        </w:rPr>
        <w:t>万元，征地拆迁费用</w:t>
      </w:r>
      <w:r>
        <w:rPr>
          <w:rFonts w:hint="eastAsia" w:ascii="仿宋" w:hAnsi="仿宋" w:eastAsia="仿宋" w:cs="仿宋"/>
          <w:sz w:val="32"/>
          <w:szCs w:val="32"/>
          <w:highlight w:val="none"/>
          <w:lang w:val="en-US" w:eastAsia="zh-CN"/>
        </w:rPr>
        <w:t>18328.0133</w:t>
      </w:r>
      <w:r>
        <w:rPr>
          <w:rFonts w:hint="eastAsia" w:ascii="仿宋" w:hAnsi="仿宋" w:eastAsia="仿宋" w:cs="仿宋"/>
          <w:sz w:val="32"/>
          <w:szCs w:val="32"/>
          <w:highlight w:val="none"/>
        </w:rPr>
        <w:t>万元，预备费用</w:t>
      </w:r>
      <w:r>
        <w:rPr>
          <w:rFonts w:hint="eastAsia" w:ascii="仿宋" w:hAnsi="仿宋" w:eastAsia="仿宋" w:cs="仿宋"/>
          <w:sz w:val="32"/>
          <w:szCs w:val="32"/>
          <w:highlight w:val="none"/>
          <w:lang w:val="en-US" w:eastAsia="zh-CN"/>
        </w:rPr>
        <w:t>21199.001</w:t>
      </w:r>
      <w:r>
        <w:rPr>
          <w:rFonts w:hint="eastAsia" w:ascii="仿宋" w:hAnsi="仿宋" w:eastAsia="仿宋" w:cs="仿宋"/>
          <w:sz w:val="32"/>
          <w:szCs w:val="32"/>
          <w:highlight w:val="none"/>
        </w:rPr>
        <w:t>万元，建设期贷款利息0万元。</w:t>
      </w:r>
      <w:r>
        <w:rPr>
          <w:rFonts w:hint="eastAsia" w:ascii="仿宋" w:hAnsi="仿宋" w:eastAsia="仿宋" w:cs="仿宋"/>
          <w:b w:val="0"/>
          <w:bCs w:val="0"/>
          <w:color w:val="auto"/>
          <w:sz w:val="32"/>
          <w:szCs w:val="32"/>
          <w:highlight w:val="none"/>
          <w:lang w:val="en-US" w:eastAsia="zh-CN"/>
        </w:rPr>
        <w:t>项目资金筹措争取上级政策补助，其余由地方自筹解决。</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bCs/>
          <w:color w:val="000000" w:themeColor="text1"/>
          <w:sz w:val="32"/>
          <w:szCs w:val="32"/>
          <w:highlight w:val="none"/>
          <w:vertAlign w:val="baseline"/>
          <w:lang w:val="en-US" w:eastAsia="zh-CN"/>
          <w14:textFill>
            <w14:solidFill>
              <w14:schemeClr w14:val="tx1"/>
            </w14:solidFill>
          </w14:textFill>
        </w:rPr>
      </w:pPr>
      <w:r>
        <w:rPr>
          <w:rFonts w:hint="eastAsia" w:ascii="仿宋" w:hAnsi="仿宋" w:eastAsia="仿宋" w:cs="仿宋"/>
          <w:b w:val="0"/>
          <w:bCs w:val="0"/>
          <w:color w:val="auto"/>
          <w:sz w:val="32"/>
          <w:szCs w:val="32"/>
          <w:highlight w:val="none"/>
          <w:lang w:val="en-US" w:eastAsia="zh-CN"/>
        </w:rPr>
        <w:t>（五）建设进度：</w:t>
      </w:r>
      <w:r>
        <w:rPr>
          <w:rFonts w:hint="eastAsia" w:ascii="仿宋" w:hAnsi="仿宋" w:eastAsia="仿宋" w:cs="仿宋"/>
          <w:sz w:val="32"/>
          <w:szCs w:val="32"/>
          <w:highlight w:val="none"/>
        </w:rPr>
        <w:t>根据项目建设条件及建设规模等，本项目从2022年9月开始前期准备，计划2024年</w:t>
      </w: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月开工，至202</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年4月底建设完成</w:t>
      </w:r>
      <w:r>
        <w:rPr>
          <w:rFonts w:hint="eastAsia" w:ascii="仿宋" w:hAnsi="仿宋" w:eastAsia="仿宋" w:cs="仿宋"/>
          <w:sz w:val="32"/>
          <w:szCs w:val="32"/>
          <w:highlight w:val="none"/>
          <w:lang w:val="en-US" w:eastAsia="zh-CN"/>
        </w:rPr>
        <w:t>。</w:t>
      </w:r>
    </w:p>
    <w:p>
      <w:pPr>
        <w:numPr>
          <w:ilvl w:val="0"/>
          <w:numId w:val="1"/>
        </w:numPr>
        <w:spacing w:line="360" w:lineRule="auto"/>
        <w:ind w:left="0" w:leftChars="0" w:firstLine="643" w:firstLineChars="200"/>
        <w:jc w:val="left"/>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社会稳定风险分析的工作程序和主要内容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（一）项目建设单位委托咨询单位进行社会稳定风险分析工作。</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（二）咨询单位根据国家、省、市等各级部门的相关文件精神，对项目的风险源进行初步分析，确定风险分析的主要工作内容，并公示项目社会稳定风险分析相关信息，便于公众参与调查。</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（三）咨询单位对工程进行详细分析，对社会稳定风险源进行调查和分析，征求项目建设区域内及周边可能受项目建设影响的居民、企事业单位、项目所在地政府职能部门等各方面对项目建设的意见和建议。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（四）咨询单位完成社会稳定风险评估报告。</w:t>
      </w:r>
    </w:p>
    <w:p>
      <w:pPr>
        <w:numPr>
          <w:ilvl w:val="0"/>
          <w:numId w:val="1"/>
        </w:numPr>
        <w:spacing w:line="360" w:lineRule="auto"/>
        <w:ind w:left="0" w:leftChars="0" w:firstLine="643" w:firstLineChars="200"/>
        <w:jc w:val="left"/>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征求公众意见内容</w:t>
      </w:r>
    </w:p>
    <w:p>
      <w:pPr>
        <w:numPr>
          <w:ilvl w:val="0"/>
          <w:numId w:val="0"/>
        </w:numPr>
        <w:spacing w:line="360" w:lineRule="auto"/>
        <w:ind w:firstLine="640" w:firstLineChars="20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根据《国家发展改革委重大固定资产投资项目社会稳定风险评估暂行办法》（发改投资〔2012〕2492号）和《广东省发展改革委关于印发重大项目社会稳定风险评估暂行办法的通知》（粤发改重点〔2012〕1095号）要求，现对该项目社会稳定风险分析进行公示，主要就以下几个方面征求公众对本项目的意见：</w:t>
      </w:r>
    </w:p>
    <w:p>
      <w:pPr>
        <w:numPr>
          <w:ilvl w:val="0"/>
          <w:numId w:val="0"/>
        </w:numPr>
        <w:spacing w:line="360" w:lineRule="auto"/>
        <w:ind w:firstLine="640" w:firstLineChars="20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（一）本项目征地拆迁及补偿。</w:t>
      </w:r>
    </w:p>
    <w:p>
      <w:pPr>
        <w:numPr>
          <w:ilvl w:val="0"/>
          <w:numId w:val="0"/>
        </w:numPr>
        <w:spacing w:line="360" w:lineRule="auto"/>
        <w:ind w:firstLine="640" w:firstLineChars="20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（二）本项目对生态环境影响。</w:t>
      </w:r>
    </w:p>
    <w:p>
      <w:pPr>
        <w:numPr>
          <w:ilvl w:val="0"/>
          <w:numId w:val="0"/>
        </w:numPr>
        <w:spacing w:line="360" w:lineRule="auto"/>
        <w:ind w:firstLine="640" w:firstLineChars="20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（三）本项目对当地社会经济影响。</w:t>
      </w:r>
    </w:p>
    <w:p>
      <w:pPr>
        <w:numPr>
          <w:ilvl w:val="0"/>
          <w:numId w:val="0"/>
        </w:numPr>
        <w:spacing w:line="360" w:lineRule="auto"/>
        <w:ind w:firstLine="640" w:firstLineChars="20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（四）本项目施工、安全和卫生管理。</w:t>
      </w:r>
    </w:p>
    <w:p>
      <w:pPr>
        <w:numPr>
          <w:ilvl w:val="0"/>
          <w:numId w:val="0"/>
        </w:numPr>
        <w:spacing w:line="360" w:lineRule="auto"/>
        <w:ind w:firstLine="640" w:firstLineChars="20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（五）本项目涉及民众的利益诉求。</w:t>
      </w:r>
    </w:p>
    <w:p>
      <w:pPr>
        <w:numPr>
          <w:ilvl w:val="0"/>
          <w:numId w:val="0"/>
        </w:numPr>
        <w:spacing w:line="360" w:lineRule="auto"/>
        <w:ind w:firstLine="640" w:firstLineChars="20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（六）对本项目建设支持态度。</w:t>
      </w:r>
    </w:p>
    <w:p>
      <w:pPr>
        <w:numPr>
          <w:ilvl w:val="0"/>
          <w:numId w:val="0"/>
        </w:numPr>
        <w:spacing w:line="360" w:lineRule="auto"/>
        <w:ind w:firstLine="640" w:firstLineChars="20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（七）其他意见和建议。</w:t>
      </w:r>
    </w:p>
    <w:p>
      <w:pPr>
        <w:numPr>
          <w:ilvl w:val="0"/>
          <w:numId w:val="0"/>
        </w:numPr>
        <w:spacing w:line="360" w:lineRule="auto"/>
        <w:ind w:firstLine="480"/>
        <w:jc w:val="left"/>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四、公示说明</w:t>
      </w:r>
    </w:p>
    <w:p>
      <w:pPr>
        <w:numPr>
          <w:ilvl w:val="0"/>
          <w:numId w:val="0"/>
        </w:numPr>
        <w:spacing w:line="360" w:lineRule="auto"/>
        <w:ind w:firstLine="48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（一）自公示之日起7日内，公众意见可通过信函、电话、电子邮件等形式与公示单位联系。</w:t>
      </w:r>
    </w:p>
    <w:p>
      <w:pPr>
        <w:numPr>
          <w:ilvl w:val="0"/>
          <w:numId w:val="0"/>
        </w:numPr>
        <w:spacing w:line="360" w:lineRule="auto"/>
        <w:ind w:firstLine="480"/>
        <w:jc w:val="left"/>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（二）公众对本项目有社会稳定风险方面的建议或意见，可向公示单位提出。</w:t>
      </w:r>
    </w:p>
    <w:p>
      <w:pPr>
        <w:numPr>
          <w:ilvl w:val="0"/>
          <w:numId w:val="0"/>
        </w:numPr>
        <w:spacing w:line="360" w:lineRule="auto"/>
        <w:ind w:firstLine="480"/>
        <w:jc w:val="left"/>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建设单位:清远市清新区公路事务中心</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 xml:space="preserve">咨询机构：中国华西工程设计建设有限公司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通讯地址：四川省成都市金牛区沙湾东路世纪加州一幢1单元5楼</w:t>
      </w:r>
      <w:bookmarkStart w:id="0" w:name="_GoBack"/>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邮箱：</w:t>
      </w:r>
      <w:r>
        <w:rPr>
          <w:rFonts w:hint="eastAsia" w:ascii="仿宋" w:hAnsi="仿宋" w:eastAsia="仿宋" w:cs="仿宋"/>
          <w:b w:val="0"/>
          <w:bCs w:val="0"/>
          <w:color w:val="auto"/>
          <w:sz w:val="32"/>
          <w:szCs w:val="32"/>
          <w:lang w:val="en-US" w:eastAsia="zh-CN"/>
        </w:rPr>
        <w:fldChar w:fldCharType="begin"/>
      </w:r>
      <w:r>
        <w:rPr>
          <w:rFonts w:hint="eastAsia" w:ascii="仿宋" w:hAnsi="仿宋" w:eastAsia="仿宋" w:cs="仿宋"/>
          <w:b w:val="0"/>
          <w:bCs w:val="0"/>
          <w:color w:val="auto"/>
          <w:sz w:val="32"/>
          <w:szCs w:val="32"/>
          <w:lang w:val="en-US" w:eastAsia="zh-CN"/>
        </w:rPr>
        <w:instrText xml:space="preserve"> HYPERLINK "mailto:chedcc@chinahxdesign.com" </w:instrText>
      </w:r>
      <w:r>
        <w:rPr>
          <w:rFonts w:hint="eastAsia" w:ascii="仿宋" w:hAnsi="仿宋" w:eastAsia="仿宋" w:cs="仿宋"/>
          <w:b w:val="0"/>
          <w:bCs w:val="0"/>
          <w:color w:val="auto"/>
          <w:sz w:val="32"/>
          <w:szCs w:val="32"/>
          <w:lang w:val="en-US" w:eastAsia="zh-CN"/>
        </w:rPr>
        <w:fldChar w:fldCharType="separate"/>
      </w:r>
      <w:r>
        <w:rPr>
          <w:rStyle w:val="10"/>
          <w:rFonts w:hint="eastAsia" w:ascii="仿宋" w:hAnsi="仿宋" w:eastAsia="仿宋" w:cs="仿宋"/>
          <w:b w:val="0"/>
          <w:bCs w:val="0"/>
          <w:color w:val="auto"/>
          <w:sz w:val="32"/>
          <w:szCs w:val="32"/>
          <w:lang w:val="en-US" w:eastAsia="zh-CN"/>
        </w:rPr>
        <w:t>chedcc@chinahxdesign.com</w:t>
      </w:r>
      <w:r>
        <w:rPr>
          <w:rFonts w:hint="eastAsia" w:ascii="仿宋" w:hAnsi="仿宋" w:eastAsia="仿宋" w:cs="仿宋"/>
          <w:b w:val="0"/>
          <w:bCs w:val="0"/>
          <w:color w:val="auto"/>
          <w:sz w:val="32"/>
          <w:szCs w:val="32"/>
          <w:lang w:val="en-US" w:eastAsia="zh-CN"/>
        </w:rPr>
        <w:fldChar w:fldCharType="end"/>
      </w:r>
    </w:p>
    <w:bookmarkEnd w:id="0"/>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联系人：</w:t>
      </w:r>
      <w:r>
        <w:rPr>
          <w:rFonts w:hint="eastAsia" w:ascii="仿宋" w:hAnsi="仿宋" w:eastAsia="仿宋" w:cs="仿宋"/>
          <w:b w:val="0"/>
          <w:bCs w:val="0"/>
          <w:color w:val="auto"/>
          <w:sz w:val="32"/>
          <w:szCs w:val="32"/>
          <w:lang w:val="en-US" w:eastAsia="zh-CN"/>
        </w:rPr>
        <w:t>赵敏</w:t>
      </w:r>
      <w:r>
        <w:rPr>
          <w:rFonts w:hint="eastAsia" w:ascii="仿宋" w:hAnsi="仿宋" w:eastAsia="仿宋" w:cs="仿宋"/>
          <w:b w:val="0"/>
          <w:bCs w:val="0"/>
          <w:color w:val="auto"/>
          <w:sz w:val="32"/>
          <w:szCs w:val="32"/>
        </w:rPr>
        <w:t xml:space="preserve">  电话：</w:t>
      </w:r>
      <w:r>
        <w:rPr>
          <w:rFonts w:hint="eastAsia" w:ascii="仿宋" w:hAnsi="仿宋" w:eastAsia="仿宋" w:cs="仿宋"/>
          <w:b w:val="0"/>
          <w:bCs w:val="0"/>
          <w:color w:val="auto"/>
          <w:sz w:val="32"/>
          <w:szCs w:val="32"/>
          <w:lang w:val="en-US" w:eastAsia="zh-CN"/>
        </w:rPr>
        <w:t xml:space="preserve">18629346316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公示时间：</w:t>
      </w:r>
      <w:r>
        <w:rPr>
          <w:rFonts w:hint="eastAsia" w:ascii="仿宋" w:hAnsi="仿宋" w:eastAsia="仿宋" w:cs="仿宋"/>
          <w:b w:val="0"/>
          <w:bCs w:val="0"/>
          <w:color w:val="auto"/>
          <w:sz w:val="32"/>
          <w:szCs w:val="32"/>
          <w:lang w:eastAsia="zh-CN"/>
        </w:rPr>
        <w:t>自公示之日起</w:t>
      </w:r>
      <w:r>
        <w:rPr>
          <w:rFonts w:hint="eastAsia" w:ascii="仿宋" w:hAnsi="仿宋" w:eastAsia="仿宋" w:cs="仿宋"/>
          <w:b w:val="0"/>
          <w:bCs w:val="0"/>
          <w:color w:val="auto"/>
          <w:sz w:val="32"/>
          <w:szCs w:val="32"/>
          <w:lang w:val="en-US" w:eastAsia="zh-CN"/>
        </w:rPr>
        <w:t xml:space="preserve">5个工作日内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righ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清远市清新区交通运输局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 xml:space="preserve">                                2023年2月17日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center"/>
        <w:textAlignment w:val="auto"/>
        <w:rPr>
          <w:rFonts w:hint="eastAsia" w:ascii="仿宋" w:hAnsi="仿宋" w:eastAsia="仿宋" w:cs="仿宋"/>
          <w:b w:val="0"/>
          <w:bCs w:val="0"/>
          <w:color w:val="auto"/>
          <w:sz w:val="32"/>
          <w:szCs w:val="32"/>
          <w:lang w:val="en-US" w:eastAsia="zh-CN"/>
        </w:rPr>
        <w:sectPr>
          <w:pgSz w:w="11906" w:h="16838"/>
          <w:pgMar w:top="1080" w:right="1440" w:bottom="1080" w:left="1440" w:header="851" w:footer="992" w:gutter="0"/>
          <w:cols w:space="425" w:num="1"/>
          <w:rtlGutter w:val="0"/>
          <w:docGrid w:type="lines" w:linePitch="314"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left"/>
        <w:textAlignment w:val="auto"/>
        <w:rPr>
          <w:rFonts w:hint="eastAsia" w:ascii="仿宋" w:hAnsi="仿宋" w:eastAsia="仿宋" w:cs="仿宋"/>
          <w:b w:val="0"/>
          <w:bCs w:val="0"/>
          <w:color w:val="auto"/>
          <w:sz w:val="28"/>
          <w:szCs w:val="28"/>
          <w:lang w:val="en-US" w:eastAsia="zh-CN"/>
        </w:rPr>
      </w:pPr>
      <w:r>
        <w:rPr>
          <w:sz w:val="28"/>
          <w:szCs w:val="28"/>
        </w:rPr>
        <w:drawing>
          <wp:anchor distT="0" distB="0" distL="114300" distR="114300" simplePos="0" relativeHeight="251659264" behindDoc="0" locked="0" layoutInCell="1" allowOverlap="1">
            <wp:simplePos x="0" y="0"/>
            <wp:positionH relativeFrom="column">
              <wp:posOffset>-187960</wp:posOffset>
            </wp:positionH>
            <wp:positionV relativeFrom="paragraph">
              <wp:posOffset>-178435</wp:posOffset>
            </wp:positionV>
            <wp:extent cx="10014585" cy="5636895"/>
            <wp:effectExtent l="0" t="0" r="5715"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0014585" cy="5636895"/>
                    </a:xfrm>
                    <a:prstGeom prst="rect">
                      <a:avLst/>
                    </a:prstGeom>
                    <a:noFill/>
                    <a:ln>
                      <a:noFill/>
                    </a:ln>
                  </pic:spPr>
                </pic:pic>
              </a:graphicData>
            </a:graphic>
          </wp:anchor>
        </w:drawing>
      </w:r>
      <w:r>
        <w:rPr>
          <w:rFonts w:hint="eastAsia" w:ascii="仿宋" w:hAnsi="仿宋" w:eastAsia="仿宋" w:cs="仿宋"/>
          <w:b w:val="0"/>
          <w:bCs w:val="0"/>
          <w:color w:val="auto"/>
          <w:sz w:val="28"/>
          <w:szCs w:val="28"/>
          <w:lang w:val="en-US" w:eastAsia="zh-CN"/>
        </w:rPr>
        <w:t>说明：本项目推荐路线为红色线。</w:t>
      </w:r>
    </w:p>
    <w:sectPr>
      <w:pgSz w:w="16838" w:h="11906" w:orient="landscape"/>
      <w:pgMar w:top="1440" w:right="1080" w:bottom="1440" w:left="1080" w:header="851" w:footer="992" w:gutter="0"/>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7A"/>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BC8F06"/>
    <w:multiLevelType w:val="singleLevel"/>
    <w:tmpl w:val="B9BC8F0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4NmY4OWFkZGZkNWY4ZDY2YWYzOTA2NDFiNTQ2NmIifQ=="/>
  </w:docVars>
  <w:rsids>
    <w:rsidRoot w:val="73C20C87"/>
    <w:rsid w:val="013F4B98"/>
    <w:rsid w:val="06445B6D"/>
    <w:rsid w:val="085B6C8A"/>
    <w:rsid w:val="0E312E98"/>
    <w:rsid w:val="0EB91C62"/>
    <w:rsid w:val="1788142F"/>
    <w:rsid w:val="185B0D95"/>
    <w:rsid w:val="1A26583D"/>
    <w:rsid w:val="1D4013C3"/>
    <w:rsid w:val="1EE957EB"/>
    <w:rsid w:val="1F1E6F7B"/>
    <w:rsid w:val="1F845FE7"/>
    <w:rsid w:val="23DF588D"/>
    <w:rsid w:val="262E21CC"/>
    <w:rsid w:val="2A7274B1"/>
    <w:rsid w:val="2EAA1D74"/>
    <w:rsid w:val="309612FC"/>
    <w:rsid w:val="33AB59E5"/>
    <w:rsid w:val="35495AFB"/>
    <w:rsid w:val="36171DE3"/>
    <w:rsid w:val="39A143F2"/>
    <w:rsid w:val="39B72181"/>
    <w:rsid w:val="3AA81D8A"/>
    <w:rsid w:val="3D0A38E0"/>
    <w:rsid w:val="3D326F03"/>
    <w:rsid w:val="43701609"/>
    <w:rsid w:val="44EF7225"/>
    <w:rsid w:val="45D44237"/>
    <w:rsid w:val="45F8604B"/>
    <w:rsid w:val="49373574"/>
    <w:rsid w:val="4A776508"/>
    <w:rsid w:val="4C783025"/>
    <w:rsid w:val="4D01387A"/>
    <w:rsid w:val="4FFD48E7"/>
    <w:rsid w:val="56427332"/>
    <w:rsid w:val="58D53793"/>
    <w:rsid w:val="5A6D0B73"/>
    <w:rsid w:val="616E3B38"/>
    <w:rsid w:val="64F10E2E"/>
    <w:rsid w:val="65FB6B0C"/>
    <w:rsid w:val="665F2808"/>
    <w:rsid w:val="67671663"/>
    <w:rsid w:val="67F40DA3"/>
    <w:rsid w:val="69CF3E37"/>
    <w:rsid w:val="6B8B647C"/>
    <w:rsid w:val="6C622CC4"/>
    <w:rsid w:val="6C6A4153"/>
    <w:rsid w:val="6C6C48CB"/>
    <w:rsid w:val="6D535020"/>
    <w:rsid w:val="6D633DFE"/>
    <w:rsid w:val="6E04516C"/>
    <w:rsid w:val="6F380239"/>
    <w:rsid w:val="70383A76"/>
    <w:rsid w:val="70667919"/>
    <w:rsid w:val="71EE290E"/>
    <w:rsid w:val="725C779E"/>
    <w:rsid w:val="73C20C87"/>
    <w:rsid w:val="76064DDC"/>
    <w:rsid w:val="765738C5"/>
    <w:rsid w:val="769B705F"/>
    <w:rsid w:val="79F0693F"/>
    <w:rsid w:val="7CA95125"/>
    <w:rsid w:val="7E60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1"/>
    <w:pPr>
      <w:spacing w:before="133" w:beforeLines="0" w:afterLines="0"/>
      <w:ind w:left="620"/>
    </w:pPr>
    <w:rPr>
      <w:rFonts w:hint="eastAsia" w:ascii="宋体" w:hAnsi="宋体" w:eastAsia="宋体"/>
      <w:sz w:val="2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Table Paragraph"/>
    <w:basedOn w:val="1"/>
    <w:unhideWhenUsed/>
    <w:qFormat/>
    <w:uiPriority w:val="1"/>
    <w:pPr>
      <w:spacing w:beforeLines="0" w:afterLines="0"/>
    </w:pPr>
    <w:rPr>
      <w:rFonts w:hint="default"/>
      <w:sz w:val="24"/>
    </w:rPr>
  </w:style>
  <w:style w:type="paragraph" w:customStyle="1" w:styleId="12">
    <w:name w:val="正文缩进1"/>
    <w:basedOn w:val="1"/>
    <w:qFormat/>
    <w:uiPriority w:val="0"/>
    <w:pPr>
      <w:spacing w:line="440" w:lineRule="exact"/>
      <w:ind w:firstLine="420" w:firstLineChars="200"/>
    </w:pPr>
    <w:rPr>
      <w:rFonts w:eastAsia="宋体"/>
      <w:sz w:val="24"/>
      <w:szCs w:val="24"/>
    </w:rPr>
  </w:style>
  <w:style w:type="character" w:customStyle="1" w:styleId="13">
    <w:name w:val="font21"/>
    <w:basedOn w:val="8"/>
    <w:qFormat/>
    <w:uiPriority w:val="0"/>
    <w:rPr>
      <w:rFonts w:hint="eastAsia" w:ascii="宋体" w:hAnsi="宋体" w:eastAsia="宋体" w:cs="宋体"/>
      <w:b/>
      <w:color w:val="000000"/>
      <w:sz w:val="22"/>
      <w:szCs w:val="22"/>
      <w:u w:val="none"/>
      <w:vertAlign w:val="superscript"/>
    </w:rPr>
  </w:style>
  <w:style w:type="character" w:customStyle="1" w:styleId="14">
    <w:name w:val="font11"/>
    <w:basedOn w:val="8"/>
    <w:qFormat/>
    <w:uiPriority w:val="0"/>
    <w:rPr>
      <w:rFonts w:hint="eastAsia" w:ascii="宋体" w:hAnsi="宋体" w:eastAsia="宋体" w:cs="宋体"/>
      <w:b/>
      <w:color w:val="000000"/>
      <w:sz w:val="22"/>
      <w:szCs w:val="22"/>
      <w:u w:val="none"/>
    </w:rPr>
  </w:style>
  <w:style w:type="paragraph" w:customStyle="1" w:styleId="15">
    <w:name w:val="图表标题"/>
    <w:basedOn w:val="1"/>
    <w:next w:val="1"/>
    <w:qFormat/>
    <w:uiPriority w:val="0"/>
    <w:pPr>
      <w:widowControl/>
      <w:adjustRightInd w:val="0"/>
      <w:snapToGrid w:val="0"/>
      <w:ind w:firstLine="0" w:firstLineChars="0"/>
      <w:jc w:val="center"/>
    </w:pPr>
    <w:rPr>
      <w:rFonts w:cs="Times New Roman"/>
      <w:b/>
      <w:kern w:val="0"/>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Pages>5</Pages>
  <Words>1686</Words>
  <Characters>1905</Characters>
  <Lines>0</Lines>
  <Paragraphs>0</Paragraphs>
  <TotalTime>7</TotalTime>
  <ScaleCrop>false</ScaleCrop>
  <LinksUpToDate>false</LinksUpToDate>
  <CharactersWithSpaces>1949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2019-01-07T01:39:00Z</dcterms:created>
  <dc:creator>。</dc:creator>
  <cp:lastModifiedBy>黄永锋</cp:lastModifiedBy>
  <cp:lastPrinted>2019-01-09T01:40:00Z</cp:lastPrinted>
  <dcterms:modified xsi:type="dcterms:W3CDTF">2023-02-17T02:20:49Z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03A260B9B9B34D73BE1B011216508C75</vt:lpwstr>
  </property>
</Properties>
</file>