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清远市清新区市场监督管理局2023年度双随机抽查工作计划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83" w:tblpY="306"/>
        <w:tblOverlap w:val="never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64"/>
        <w:gridCol w:w="1013"/>
        <w:gridCol w:w="2244"/>
        <w:gridCol w:w="1782"/>
        <w:gridCol w:w="2869"/>
        <w:gridCol w:w="1427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抽查计划名称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抽查任务名称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型</w:t>
            </w: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抽查事项</w:t>
            </w:r>
          </w:p>
        </w:tc>
        <w:tc>
          <w:tcPr>
            <w:tcW w:w="1782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抽查数量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抽查对象范围</w:t>
            </w:r>
          </w:p>
        </w:tc>
        <w:tc>
          <w:tcPr>
            <w:tcW w:w="14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抽取日期</w:t>
            </w:r>
          </w:p>
        </w:tc>
        <w:tc>
          <w:tcPr>
            <w:tcW w:w="17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对区局登记管辖信用风险等级为A级的企业进行随机抽查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登记事项、公示信息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不少于30家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对区局登记管辖信用风险等级为A级的企业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2023年7月至12月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信用监管股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，各镇市场监管所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对区局登记管辖信用风险等级为B级的企业进行随机抽查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登记事项、公示信息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不少于30家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对区局登记管辖信用风险等级为B级的企业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2023年7月至12月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信用监管股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，各镇市场监管所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对区局登记管辖信用风险等级为C级的企业进行随机抽查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登记事项、公示信息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不少于30家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对区局登记管辖信用风险等级为C级的企业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2023年7月至12月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信用监管股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，各镇市场监管所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对区局登记管辖信用风险等级为D级的企业进行随机抽查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登记事项、公示信息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不少于30家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对区局登记管辖信用风险等级为D级的企业业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2023年7月至12月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信用监管股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，各镇市场监管所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抽查计划名称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抽查任务名称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型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抽查事项</w:t>
            </w:r>
          </w:p>
        </w:tc>
        <w:tc>
          <w:tcPr>
            <w:tcW w:w="1782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抽查数量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抽查对象范围</w:t>
            </w:r>
          </w:p>
        </w:tc>
        <w:tc>
          <w:tcPr>
            <w:tcW w:w="14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抽取日期</w:t>
            </w:r>
          </w:p>
        </w:tc>
        <w:tc>
          <w:tcPr>
            <w:tcW w:w="17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清新区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拍卖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领域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企业双随机定向抽查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参照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市场监督管理局随机抽查事项清单中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开展对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拍卖活动经营资格的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检查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3%以上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清新区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拍卖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领域的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企业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前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知识产权股（网监）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商标代理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双随机抽查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参照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清远市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市场监督管理局随机抽查事项清单中登记事项、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商标代理行为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抽查类别检查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登记事项、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商标代理行为。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2.商标印制行为是否符合《商标印制管理办法》（国家市场监督管理总局令第31号）规定。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3%以上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1.全区登记的商标代理的企业；2.全区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登记经营商标印制业务的企业和个体工商户。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月至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知识产权股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广告行为检查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3%以上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pacing w:val="-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本级监管的有关主体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月至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知识产权股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抽查计划名称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抽查任务名称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型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抽查事项</w:t>
            </w:r>
          </w:p>
        </w:tc>
        <w:tc>
          <w:tcPr>
            <w:tcW w:w="1782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抽查数量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抽查对象范围</w:t>
            </w:r>
          </w:p>
        </w:tc>
        <w:tc>
          <w:tcPr>
            <w:tcW w:w="14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抽取日期</w:t>
            </w:r>
          </w:p>
        </w:tc>
        <w:tc>
          <w:tcPr>
            <w:tcW w:w="17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重点专业市场知识产权保护状况检查（或对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2022年知识产权保护方面被处罚企业、违规企业抽查）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 w:bidi="ar"/>
              </w:rPr>
              <w:t>检查重点市场知识产权保护工作机制、专业市场内知识产权纠纷处理情况。检查企业专利标识的真实性、规范性和商标侵权、假冒专利、地理标志侵权假冒行为，检查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商标使用行为（含集体商标、证明商标以及地理标志）、商标印制行为等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3%以上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知识产权保护重点市场（或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2022年知识产权保护方面被处罚企业、违规企业）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前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知识产权股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地理标志专用标志合法使用人检查（或对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2022年地理标志保护方面被处罚企业、违规企业抽查）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检查地理标志专用标志使用情况。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3%以上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地理标志专用标志合法使用单位（或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2022年地理标志保护方面被处罚企业、违规企业）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前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知识产权股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抽查计划名称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抽查任务名称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抽查类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型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抽查事项</w:t>
            </w:r>
          </w:p>
        </w:tc>
        <w:tc>
          <w:tcPr>
            <w:tcW w:w="1782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抽查数量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抽查对象范围</w:t>
            </w:r>
          </w:p>
        </w:tc>
        <w:tc>
          <w:tcPr>
            <w:tcW w:w="14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抽取日期</w:t>
            </w:r>
          </w:p>
        </w:tc>
        <w:tc>
          <w:tcPr>
            <w:tcW w:w="17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（跨部门）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跨部门联合抽查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学校落实食品安全主体责任情况</w:t>
            </w:r>
          </w:p>
        </w:tc>
        <w:tc>
          <w:tcPr>
            <w:tcW w:w="178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5家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对全区学校（含托幼机构）食堂，开展不少于1次跨部门联合抽查。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</w:rPr>
              <w:t>年1月至1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0"/>
                <w:kern w:val="0"/>
                <w:sz w:val="21"/>
                <w:szCs w:val="21"/>
                <w:highlight w:val="none"/>
              </w:rPr>
              <w:t>餐饮股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Merge w:val="continue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餐饮行业食品安全日常监管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餐饮服务单位执行食品安全操作规范情况。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不少于15家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1、大、中、小型餐饮服务单位（含网络经营单位）；2、集体用餐配送单位。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</w:rPr>
              <w:t>年1月至1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741" w:type="dxa"/>
            <w:vMerge w:val="continue"/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（跨部门）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检验检测机构检查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检验检测机构检查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不少于5家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辖区内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检验检测机构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2023年12月底前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质量股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工业产品生产许可证产品生产企业检查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工业产品生产许可获证条件检查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4家生产许可证获证企业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辖区内工业产品生产许可获证企业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ind w:right="-981" w:rightChars="-467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2023年12月底前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质量股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产品质量监督抽查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重点工业产品质量监督抽查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wordWrap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不少于10批次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纳入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2023年清远市清新区工业产品质量监督抽查计划的产品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ind w:right="-981" w:rightChars="-467"/>
              <w:jc w:val="both"/>
              <w:rPr>
                <w:rFonts w:hint="eastAsia" w:ascii="宋体" w:hAnsi="宋体" w:eastAsia="宋体" w:cs="宋体"/>
                <w:b w:val="0"/>
                <w:bCs w:val="0"/>
                <w:color w:val="C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2023年12月底前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质量股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抽查计划名称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抽查任务名称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抽查类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型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抽查事项</w:t>
            </w:r>
          </w:p>
        </w:tc>
        <w:tc>
          <w:tcPr>
            <w:tcW w:w="1782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抽查数量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抽查对象范围</w:t>
            </w:r>
          </w:p>
        </w:tc>
        <w:tc>
          <w:tcPr>
            <w:tcW w:w="14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抽取日期</w:t>
            </w:r>
          </w:p>
        </w:tc>
        <w:tc>
          <w:tcPr>
            <w:tcW w:w="17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打传规直专项抽查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直销企业及关联主体是否存在违规直销、传销、虚假宣传等行为。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30%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辖区直销企业及其关联主体（包括直销企业的分支机构、服务网点、经销商等）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2022年3月至12月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执法股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互联网平台企业不正当竞争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互联网平台企业是否存在不正当竞争行为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30%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pacing w:val="-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辖区互联网平台企业及平台内经营者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2022年3月至12月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执法股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食品生产监督检查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食品生产监督检查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12家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辖区内获证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食品生产企业（C级）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2023年12月底前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食品市场股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清新区市场监管局2023年度双随机抽查工作计划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特殊食品销售监督检查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特殊食品销售监督检查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10家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辖区内获证或备案特殊食品经营单位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ind w:right="-981" w:rightChars="-467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2023年12月底前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食品市场股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清新区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市场监督管理局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年度双随机抽查工作计划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全区特种设备日常监督检查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对特种设备检验机构、使用单位开展日常监督检查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不少于60家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1"/>
                <w:szCs w:val="21"/>
                <w:lang w:eastAsia="zh-CN"/>
              </w:rPr>
              <w:t>全区</w:t>
            </w: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1"/>
                <w:szCs w:val="21"/>
                <w:lang w:val="en-US" w:eastAsia="zh-CN"/>
              </w:rPr>
              <w:t>特种设备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检验机构、</w:t>
            </w: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1"/>
                <w:szCs w:val="21"/>
                <w:lang w:val="en-US" w:eastAsia="zh-CN"/>
              </w:rPr>
              <w:t>使用单位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12月31日前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特设股，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各镇市场监管所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清新区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市场监督管理局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年度双随机抽查工作计划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（跨部门）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气瓶充装单位日常监督检查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定向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对气瓶充装单位开展日常监督检查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不少于2家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气瓶（移动式压力容器）充装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  <w:t>领域的企业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12月31日前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特设股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1CAD"/>
    <w:rsid w:val="1B095E5F"/>
    <w:rsid w:val="22E47074"/>
    <w:rsid w:val="29991CAD"/>
    <w:rsid w:val="2AA93A7E"/>
    <w:rsid w:val="2FEA2CEE"/>
    <w:rsid w:val="3539193D"/>
    <w:rsid w:val="43F02951"/>
    <w:rsid w:val="4C996BAD"/>
    <w:rsid w:val="4DCB5A8A"/>
    <w:rsid w:val="54242521"/>
    <w:rsid w:val="56D610BE"/>
    <w:rsid w:val="570672F1"/>
    <w:rsid w:val="5F6B722B"/>
    <w:rsid w:val="6CB02145"/>
    <w:rsid w:val="79363AAF"/>
    <w:rsid w:val="7DE124B0"/>
    <w:rsid w:val="7E050B9D"/>
    <w:rsid w:val="7F5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2023-03-02T06:49:00Z</dcterms:created>
  <dc:creator>唐桦</dc:creator>
  <cp:lastModifiedBy>李树坤</cp:lastModifiedBy>
  <dcterms:modified xsi:type="dcterms:W3CDTF">2023-03-15T02:28:34Z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