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default" w:ascii="黑体" w:hAnsi="黑体" w:eastAsia="黑体" w:cs="Times New Roman"/>
          <w:b w:val="0"/>
          <w:bCs w:val="0"/>
          <w:color w:val="auto"/>
          <w:kern w:val="2"/>
          <w:sz w:val="32"/>
          <w:szCs w:val="24"/>
          <w:lang w:val="en-US" w:eastAsia="zh-CN" w:bidi="ar-SA"/>
        </w:rPr>
      </w:pPr>
      <w:r>
        <w:rPr>
          <w:rFonts w:hint="eastAsia" w:ascii="黑体" w:hAnsi="黑体" w:eastAsia="黑体" w:cs="Times New Roman"/>
          <w:b w:val="0"/>
          <w:bCs w:val="0"/>
          <w:color w:val="auto"/>
          <w:kern w:val="2"/>
          <w:sz w:val="32"/>
          <w:szCs w:val="24"/>
          <w:lang w:eastAsia="zh-CN" w:bidi="ar-SA"/>
        </w:rPr>
        <w:t>附件</w:t>
      </w:r>
      <w:r>
        <w:rPr>
          <w:rFonts w:hint="eastAsia" w:ascii="黑体" w:hAnsi="黑体" w:eastAsia="黑体" w:cs="Times New Roman"/>
          <w:b w:val="0"/>
          <w:bCs w:val="0"/>
          <w:color w:val="auto"/>
          <w:kern w:val="2"/>
          <w:sz w:val="32"/>
          <w:szCs w:val="24"/>
          <w:lang w:val="en-US" w:eastAsia="zh-CN" w:bidi="ar-SA"/>
        </w:rPr>
        <w:t>3</w:t>
      </w:r>
    </w:p>
    <w:p>
      <w:pPr>
        <w:pStyle w:val="8"/>
        <w:rPr>
          <w:color w:val="auto"/>
          <w:lang w:eastAsia="zh-CN"/>
        </w:rPr>
      </w:pPr>
    </w:p>
    <w:p>
      <w:pPr>
        <w:pStyle w:val="8"/>
        <w:rPr>
          <w:color w:val="auto"/>
          <w:lang w:eastAsia="zh-CN"/>
        </w:rPr>
      </w:pPr>
    </w:p>
    <w:p>
      <w:pPr>
        <w:pStyle w:val="8"/>
        <w:rPr>
          <w:color w:val="auto"/>
          <w:lang w:eastAsia="zh-CN"/>
        </w:rPr>
      </w:pPr>
    </w:p>
    <w:p>
      <w:pPr>
        <w:pStyle w:val="8"/>
        <w:rPr>
          <w:color w:val="auto"/>
          <w:lang w:eastAsia="zh-CN"/>
        </w:rPr>
      </w:pPr>
    </w:p>
    <w:p>
      <w:pPr>
        <w:pStyle w:val="8"/>
        <w:rPr>
          <w:color w:val="auto"/>
          <w:lang w:eastAsia="zh-CN"/>
        </w:rPr>
      </w:pPr>
    </w:p>
    <w:p>
      <w:pPr>
        <w:spacing w:line="360" w:lineRule="auto"/>
        <w:ind w:firstLine="716" w:firstLineChars="100"/>
        <w:jc w:val="both"/>
        <w:rPr>
          <w:rFonts w:hint="eastAsia" w:ascii="方正小标宋_GBK" w:hAnsi="方正小标宋_GBK" w:eastAsia="方正小标宋_GBK" w:cs="方正小标宋_GBK"/>
          <w:b w:val="0"/>
          <w:bCs w:val="0"/>
          <w:color w:val="auto"/>
          <w:sz w:val="72"/>
          <w:szCs w:val="72"/>
          <w:lang w:eastAsia="zh-CN"/>
        </w:rPr>
      </w:pPr>
      <w:r>
        <w:rPr>
          <w:rFonts w:hint="eastAsia" w:ascii="方正小标宋_GBK" w:hAnsi="方正小标宋_GBK" w:eastAsia="方正小标宋_GBK" w:cs="方正小标宋_GBK"/>
          <w:b w:val="0"/>
          <w:bCs w:val="0"/>
          <w:color w:val="auto"/>
          <w:sz w:val="72"/>
          <w:szCs w:val="72"/>
          <w:lang w:eastAsia="zh-CN"/>
        </w:rPr>
        <w:t>清远市清新区突发地质</w:t>
      </w:r>
    </w:p>
    <w:p>
      <w:pPr>
        <w:spacing w:line="360" w:lineRule="auto"/>
        <w:jc w:val="center"/>
        <w:rPr>
          <w:rFonts w:hint="eastAsia" w:ascii="方正小标宋_GBK" w:hAnsi="方正小标宋_GBK" w:eastAsia="方正小标宋_GBK" w:cs="方正小标宋_GBK"/>
          <w:b w:val="0"/>
          <w:bCs w:val="0"/>
          <w:color w:val="auto"/>
          <w:sz w:val="72"/>
          <w:szCs w:val="72"/>
          <w:lang w:eastAsia="zh-CN"/>
        </w:rPr>
      </w:pPr>
      <w:r>
        <w:rPr>
          <w:rFonts w:hint="eastAsia" w:ascii="方正小标宋_GBK" w:hAnsi="方正小标宋_GBK" w:eastAsia="方正小标宋_GBK" w:cs="方正小标宋_GBK"/>
          <w:b w:val="0"/>
          <w:bCs w:val="0"/>
          <w:color w:val="auto"/>
          <w:sz w:val="72"/>
          <w:szCs w:val="72"/>
          <w:lang w:eastAsia="zh-CN"/>
        </w:rPr>
        <w:t>灾害应急预案</w:t>
      </w:r>
    </w:p>
    <w:p>
      <w:pPr>
        <w:pStyle w:val="8"/>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auto"/>
          <w:lang w:val="en-US" w:eastAsia="zh-CN"/>
        </w:rPr>
      </w:pPr>
    </w:p>
    <w:p>
      <w:pPr>
        <w:spacing w:line="360" w:lineRule="auto"/>
        <w:jc w:val="center"/>
        <w:rPr>
          <w:rFonts w:hint="eastAsia" w:ascii="Times New Roman" w:hAnsi="Times New Roman" w:eastAsia="宋体" w:cs="Times New Roman"/>
          <w:b/>
          <w:bCs/>
          <w:color w:val="auto"/>
          <w:sz w:val="72"/>
          <w:szCs w:val="72"/>
          <w:lang w:val="en-US" w:eastAsia="zh-CN"/>
        </w:rPr>
      </w:pPr>
    </w:p>
    <w:p>
      <w:pPr>
        <w:pStyle w:val="8"/>
        <w:rPr>
          <w:rFonts w:hint="eastAsia" w:ascii="Times New Roman" w:hAnsi="Times New Roman" w:eastAsia="宋体" w:cs="Times New Roman"/>
          <w:b/>
          <w:bCs/>
          <w:color w:val="auto"/>
          <w:sz w:val="72"/>
          <w:szCs w:val="72"/>
          <w:lang w:val="en-US" w:eastAsia="zh-CN"/>
        </w:rPr>
      </w:pPr>
    </w:p>
    <w:p>
      <w:pPr>
        <w:pStyle w:val="8"/>
        <w:rPr>
          <w:rFonts w:hint="eastAsia" w:ascii="Times New Roman" w:hAnsi="Times New Roman" w:eastAsia="宋体" w:cs="Times New Roman"/>
          <w:b/>
          <w:bCs/>
          <w:color w:val="auto"/>
          <w:sz w:val="72"/>
          <w:szCs w:val="72"/>
          <w:lang w:val="en-US" w:eastAsia="zh-CN"/>
        </w:rPr>
      </w:pPr>
    </w:p>
    <w:p>
      <w:pPr>
        <w:pStyle w:val="8"/>
        <w:rPr>
          <w:rFonts w:hint="eastAsia" w:ascii="Times New Roman" w:hAnsi="Times New Roman" w:eastAsia="宋体" w:cs="Times New Roman"/>
          <w:b/>
          <w:bCs/>
          <w:color w:val="auto"/>
          <w:sz w:val="72"/>
          <w:szCs w:val="72"/>
          <w:lang w:val="en-US" w:eastAsia="zh-CN"/>
        </w:rPr>
      </w:pPr>
    </w:p>
    <w:p>
      <w:pPr>
        <w:pStyle w:val="8"/>
        <w:rPr>
          <w:rFonts w:hint="eastAsia" w:ascii="Times New Roman" w:hAnsi="Times New Roman" w:eastAsia="宋体" w:cs="Times New Roman"/>
          <w:b/>
          <w:bCs/>
          <w:color w:val="auto"/>
          <w:sz w:val="72"/>
          <w:szCs w:val="72"/>
          <w:lang w:val="en-US" w:eastAsia="zh-CN"/>
        </w:rPr>
      </w:pPr>
    </w:p>
    <w:p>
      <w:pPr>
        <w:pStyle w:val="8"/>
        <w:rPr>
          <w:rFonts w:hint="eastAsia" w:ascii="Times New Roman" w:hAnsi="Times New Roman" w:eastAsia="宋体" w:cs="Times New Roman"/>
          <w:b/>
          <w:bCs/>
          <w:color w:val="auto"/>
          <w:sz w:val="36"/>
          <w:szCs w:val="36"/>
          <w:lang w:val="en-US" w:eastAsia="zh-CN"/>
        </w:rPr>
      </w:pPr>
    </w:p>
    <w:p>
      <w:pPr>
        <w:keepNext w:val="0"/>
        <w:keepLines w:val="0"/>
        <w:pageBreakBefore w:val="0"/>
        <w:widowControl w:val="0"/>
        <w:tabs>
          <w:tab w:val="left" w:pos="1188"/>
        </w:tabs>
        <w:kinsoku/>
        <w:wordWrap/>
        <w:overflowPunct/>
        <w:topLinePunct w:val="0"/>
        <w:autoSpaceDE/>
        <w:autoSpaceDN/>
        <w:bidi w:val="0"/>
        <w:adjustRightInd w:val="0"/>
        <w:snapToGrid/>
        <w:spacing w:line="539" w:lineRule="exact"/>
        <w:ind w:firstLine="0" w:firstLineChars="0"/>
        <w:jc w:val="center"/>
        <w:textAlignment w:val="auto"/>
        <w:rPr>
          <w:rFonts w:hint="eastAsia"/>
          <w:lang w:eastAsia="zh-CN"/>
        </w:rPr>
      </w:pPr>
      <w:r>
        <w:rPr>
          <w:rFonts w:hint="eastAsia" w:ascii="黑体" w:hAnsi="黑体" w:eastAsia="黑体" w:cs="Times New Roman"/>
          <w:b w:val="0"/>
          <w:bCs w:val="0"/>
          <w:color w:val="auto"/>
          <w:kern w:val="2"/>
          <w:sz w:val="44"/>
          <w:szCs w:val="44"/>
          <w:lang w:val="en-US" w:eastAsia="zh-CN" w:bidi="ar-SA"/>
        </w:rPr>
        <w:t>目 录</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TOC \o "1-3" \h \u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
          <w:bCs/>
          <w:color w:val="auto"/>
          <w:sz w:val="28"/>
          <w:szCs w:val="28"/>
          <w:lang w:eastAsia="zh-CN"/>
        </w:rPr>
        <w:fldChar w:fldCharType="begin"/>
      </w:r>
      <w:r>
        <w:rPr>
          <w:rFonts w:hint="eastAsia" w:ascii="CESI楷体-GB2312" w:hAnsi="CESI楷体-GB2312" w:eastAsia="CESI楷体-GB2312" w:cs="CESI楷体-GB2312"/>
          <w:b/>
          <w:bCs/>
          <w:color w:val="auto"/>
          <w:sz w:val="28"/>
          <w:szCs w:val="28"/>
          <w:lang w:eastAsia="zh-CN"/>
        </w:rPr>
        <w:instrText xml:space="preserve"> HYPERLINK \l _Toc4899 </w:instrText>
      </w:r>
      <w:r>
        <w:rPr>
          <w:rFonts w:hint="eastAsia" w:ascii="CESI楷体-GB2312" w:hAnsi="CESI楷体-GB2312" w:eastAsia="CESI楷体-GB2312" w:cs="CESI楷体-GB2312"/>
          <w:b/>
          <w:bCs/>
          <w:color w:val="auto"/>
          <w:sz w:val="28"/>
          <w:szCs w:val="28"/>
          <w:lang w:eastAsia="zh-CN"/>
        </w:rPr>
        <w:fldChar w:fldCharType="separate"/>
      </w:r>
      <w:r>
        <w:rPr>
          <w:rFonts w:hint="eastAsia" w:ascii="CESI楷体-GB2312" w:hAnsi="CESI楷体-GB2312" w:eastAsia="CESI楷体-GB2312" w:cs="CESI楷体-GB2312"/>
          <w:b/>
          <w:bCs/>
          <w:color w:val="auto"/>
          <w:sz w:val="28"/>
          <w:szCs w:val="28"/>
          <w:lang w:eastAsia="zh-CN"/>
        </w:rPr>
        <w:t>1</w:t>
      </w:r>
      <w:r>
        <w:rPr>
          <w:rFonts w:hint="eastAsia" w:ascii="CESI黑体-GB2312" w:hAnsi="CESI黑体-GB2312" w:eastAsia="CESI黑体-GB2312" w:cs="CESI黑体-GB2312"/>
          <w:b w:val="0"/>
          <w:bCs w:val="0"/>
          <w:color w:val="auto"/>
          <w:sz w:val="28"/>
          <w:szCs w:val="28"/>
          <w:lang w:val="en-US" w:eastAsia="zh-CN"/>
        </w:rPr>
        <w:t xml:space="preserve"> </w:t>
      </w:r>
      <w:r>
        <w:rPr>
          <w:rFonts w:hint="eastAsia" w:ascii="CESI黑体-GB2312" w:hAnsi="CESI黑体-GB2312" w:eastAsia="CESI黑体-GB2312" w:cs="CESI黑体-GB2312"/>
          <w:b w:val="0"/>
          <w:bCs w:val="0"/>
          <w:color w:val="auto"/>
          <w:sz w:val="28"/>
          <w:szCs w:val="28"/>
          <w:lang w:eastAsia="zh-CN"/>
        </w:rPr>
        <w:t>总则</w:t>
      </w:r>
      <w:r>
        <w:rPr>
          <w:rFonts w:hint="eastAsia" w:ascii="CESI楷体-GB2312" w:hAnsi="CESI楷体-GB2312" w:eastAsia="CESI楷体-GB2312" w:cs="CESI楷体-GB2312"/>
          <w:b w:val="0"/>
          <w:bCs w:val="0"/>
          <w:color w:val="auto"/>
          <w:sz w:val="28"/>
          <w:szCs w:val="28"/>
        </w:rPr>
        <w:tab/>
      </w:r>
      <w:r>
        <w:rPr>
          <w:rFonts w:hint="eastAsia" w:ascii="CESI楷体-GB2312" w:hAnsi="CESI楷体-GB2312" w:eastAsia="CESI楷体-GB2312" w:cs="CESI楷体-GB2312"/>
          <w:b w:val="0"/>
          <w:bCs w:val="0"/>
          <w:color w:val="auto"/>
          <w:sz w:val="28"/>
          <w:szCs w:val="28"/>
        </w:rPr>
        <w:fldChar w:fldCharType="begin"/>
      </w:r>
      <w:r>
        <w:rPr>
          <w:rFonts w:hint="eastAsia" w:ascii="CESI楷体-GB2312" w:hAnsi="CESI楷体-GB2312" w:eastAsia="CESI楷体-GB2312" w:cs="CESI楷体-GB2312"/>
          <w:b w:val="0"/>
          <w:bCs w:val="0"/>
          <w:color w:val="auto"/>
          <w:sz w:val="28"/>
          <w:szCs w:val="28"/>
        </w:rPr>
        <w:instrText xml:space="preserve"> PAGEREF _Toc4899 </w:instrText>
      </w:r>
      <w:r>
        <w:rPr>
          <w:rFonts w:hint="eastAsia" w:ascii="CESI楷体-GB2312" w:hAnsi="CESI楷体-GB2312" w:eastAsia="CESI楷体-GB2312" w:cs="CESI楷体-GB2312"/>
          <w:b w:val="0"/>
          <w:bCs w:val="0"/>
          <w:color w:val="auto"/>
          <w:sz w:val="28"/>
          <w:szCs w:val="28"/>
        </w:rPr>
        <w:fldChar w:fldCharType="separate"/>
      </w:r>
      <w:r>
        <w:rPr>
          <w:rFonts w:hint="eastAsia" w:ascii="CESI楷体-GB2312" w:hAnsi="CESI楷体-GB2312" w:eastAsia="CESI楷体-GB2312" w:cs="CESI楷体-GB2312"/>
          <w:b w:val="0"/>
          <w:bCs w:val="0"/>
          <w:color w:val="auto"/>
          <w:sz w:val="28"/>
          <w:szCs w:val="28"/>
        </w:rPr>
        <w:t>- 4 -</w:t>
      </w:r>
      <w:r>
        <w:rPr>
          <w:rFonts w:hint="eastAsia" w:ascii="CESI楷体-GB2312" w:hAnsi="CESI楷体-GB2312" w:eastAsia="CESI楷体-GB2312" w:cs="CESI楷体-GB2312"/>
          <w:b w:val="0"/>
          <w:bCs w:val="0"/>
          <w:color w:val="auto"/>
          <w:sz w:val="28"/>
          <w:szCs w:val="28"/>
        </w:rPr>
        <w:fldChar w:fldCharType="end"/>
      </w:r>
      <w:r>
        <w:rPr>
          <w:rFonts w:hint="eastAsia" w:ascii="CESI楷体-GB2312" w:hAnsi="CESI楷体-GB2312" w:eastAsia="CESI楷体-GB2312" w:cs="CESI楷体-GB2312"/>
          <w:b/>
          <w:bCs/>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_Toc3805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1.1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指导思想</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_Toc3805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_Toc15964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1.2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编制依据</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_Toc15964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_Toc7947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1.3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适用范围</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_Toc7947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_Toc27113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1.4</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工作原则</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_Toc27113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- 5 -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_Toc21307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eastAsia="zh-CN"/>
        </w:rPr>
        <w:t>2</w:t>
      </w:r>
      <w:r>
        <w:rPr>
          <w:rFonts w:hint="eastAsia" w:ascii="CESI黑体-GB2312" w:hAnsi="CESI黑体-GB2312" w:eastAsia="CESI黑体-GB2312" w:cs="CESI黑体-GB2312"/>
          <w:b w:val="0"/>
          <w:bCs w:val="0"/>
          <w:color w:val="auto"/>
          <w:sz w:val="28"/>
          <w:szCs w:val="28"/>
          <w:lang w:val="en-US" w:eastAsia="zh-CN"/>
        </w:rPr>
        <w:t xml:space="preserve"> </w:t>
      </w:r>
      <w:r>
        <w:rPr>
          <w:rFonts w:hint="eastAsia" w:ascii="CESI黑体-GB2312" w:hAnsi="CESI黑体-GB2312" w:eastAsia="CESI黑体-GB2312" w:cs="CESI黑体-GB2312"/>
          <w:b w:val="0"/>
          <w:bCs w:val="0"/>
          <w:color w:val="auto"/>
          <w:sz w:val="28"/>
          <w:szCs w:val="28"/>
          <w:lang w:eastAsia="zh-CN"/>
        </w:rPr>
        <w:t>组织体系</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_Toc21307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- 5 -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_Toc18293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2.1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区突发地质灾害应急指挥机构</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_Toc18293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- 6 -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_Toc28775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2.2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区突发地质灾害应急指挥部办公室</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_Toc28775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- 7 -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_Toc25120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2.3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镇地质灾害应急指挥机构</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_Toc25120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- 8 -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_Toc3833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eastAsia="zh-CN"/>
        </w:rPr>
        <w:t>3</w:t>
      </w:r>
      <w:r>
        <w:rPr>
          <w:rFonts w:hint="eastAsia" w:ascii="CESI黑体-GB2312" w:hAnsi="CESI黑体-GB2312" w:eastAsia="CESI黑体-GB2312" w:cs="CESI黑体-GB2312"/>
          <w:b w:val="0"/>
          <w:bCs w:val="0"/>
          <w:color w:val="auto"/>
          <w:sz w:val="28"/>
          <w:szCs w:val="28"/>
          <w:lang w:val="en-US" w:eastAsia="zh-CN"/>
        </w:rPr>
        <w:t xml:space="preserve"> </w:t>
      </w:r>
      <w:r>
        <w:rPr>
          <w:rFonts w:hint="eastAsia" w:ascii="CESI黑体-GB2312" w:hAnsi="CESI黑体-GB2312" w:eastAsia="CESI黑体-GB2312" w:cs="CESI黑体-GB2312"/>
          <w:b w:val="0"/>
          <w:bCs w:val="0"/>
          <w:color w:val="auto"/>
          <w:sz w:val="28"/>
          <w:szCs w:val="28"/>
          <w:lang w:eastAsia="zh-CN"/>
        </w:rPr>
        <w:t>运行机制</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_Toc3833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- 8 -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_Toc27469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val="en-US" w:eastAsia="zh-CN"/>
        </w:rPr>
        <w:t>3.</w:t>
      </w:r>
      <w:r>
        <w:rPr>
          <w:rFonts w:hint="eastAsia" w:ascii="CESI楷体-GB2312" w:hAnsi="CESI楷体-GB2312" w:eastAsia="CESI楷体-GB2312" w:cs="CESI楷体-GB2312"/>
          <w:bCs/>
          <w:color w:val="auto"/>
          <w:sz w:val="28"/>
          <w:szCs w:val="28"/>
          <w:lang w:eastAsia="zh-CN"/>
        </w:rPr>
        <w:t>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预防</w:t>
      </w:r>
      <w:r>
        <w:rPr>
          <w:rFonts w:hint="eastAsia" w:ascii="CESI楷体-GB2312" w:hAnsi="CESI楷体-GB2312" w:eastAsia="CESI楷体-GB2312" w:cs="CESI楷体-GB2312"/>
          <w:bCs/>
          <w:color w:val="auto"/>
          <w:sz w:val="28"/>
          <w:szCs w:val="28"/>
          <w:lang w:val="en-US" w:eastAsia="zh-CN"/>
        </w:rPr>
        <w:t>监测评估</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_Toc27469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- 8 -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_Toc13027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3.1.1</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预防</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_Toc13027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- 8 -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_Toc30430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3.1.2</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监测</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_Toc30430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- 9 -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_Toc2410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3.1.3</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评估</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_Toc2410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_Toc27200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3.2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预报预警</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_Toc27200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_Toc8828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3.3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应急处置</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_Toc8828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_Toc15614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3.3.1</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信息报告</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_Toc15614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_Toc27016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3.3.2</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先期处置</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_Toc27016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- 12 -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_Toc24235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3.3.3</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灾区监测</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_Toc24235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- 12 -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_Toc554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3.3.4</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响应启动</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_Toc554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- 13 -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_Toc30055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3.3.5</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现场处置</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_Toc30055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- 16 -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_Toc3886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3.3.6</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社会动员</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_Toc3886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- 19 -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_Toc336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3.3.7</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响应终止</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_Toc336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_Toc24246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3.4</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信息发布</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_Toc24246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_Toc5266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3.5</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恢复重建</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_Toc5266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_Toc3208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3.5.1</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制订规划</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_Toc3208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_Toc3324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3.5.2</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征用补偿</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_Toc3324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_Toc29644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val="0"/>
          <w:color w:val="auto"/>
          <w:sz w:val="28"/>
          <w:szCs w:val="28"/>
          <w:lang w:eastAsia="zh-CN"/>
        </w:rPr>
        <w:t>3.5.3</w:t>
      </w:r>
      <w:r>
        <w:rPr>
          <w:rFonts w:hint="eastAsia" w:ascii="CESI楷体-GB2312" w:hAnsi="CESI楷体-GB2312" w:eastAsia="CESI楷体-GB2312" w:cs="CESI楷体-GB2312"/>
          <w:bCs w:val="0"/>
          <w:color w:val="auto"/>
          <w:sz w:val="28"/>
          <w:szCs w:val="28"/>
          <w:lang w:val="en-US" w:eastAsia="zh-CN"/>
        </w:rPr>
        <w:t xml:space="preserve"> </w:t>
      </w:r>
      <w:r>
        <w:rPr>
          <w:rFonts w:hint="eastAsia" w:ascii="CESI楷体-GB2312" w:hAnsi="CESI楷体-GB2312" w:eastAsia="CESI楷体-GB2312" w:cs="CESI楷体-GB2312"/>
          <w:bCs w:val="0"/>
          <w:color w:val="auto"/>
          <w:sz w:val="28"/>
          <w:szCs w:val="28"/>
          <w:lang w:eastAsia="zh-CN"/>
        </w:rPr>
        <w:t>灾害保险</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_Toc29644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- 20 -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_Toc25414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eastAsia="zh-CN"/>
        </w:rPr>
        <w:t>4</w:t>
      </w:r>
      <w:r>
        <w:rPr>
          <w:rFonts w:hint="eastAsia" w:ascii="CESI黑体-GB2312" w:hAnsi="CESI黑体-GB2312" w:eastAsia="CESI黑体-GB2312" w:cs="CESI黑体-GB2312"/>
          <w:b w:val="0"/>
          <w:bCs w:val="0"/>
          <w:color w:val="auto"/>
          <w:sz w:val="28"/>
          <w:szCs w:val="28"/>
          <w:lang w:val="en-US" w:eastAsia="zh-CN"/>
        </w:rPr>
        <w:t xml:space="preserve"> </w:t>
      </w:r>
      <w:r>
        <w:rPr>
          <w:rFonts w:hint="eastAsia" w:ascii="CESI黑体-GB2312" w:hAnsi="CESI黑体-GB2312" w:eastAsia="CESI黑体-GB2312" w:cs="CESI黑体-GB2312"/>
          <w:b w:val="0"/>
          <w:bCs w:val="0"/>
          <w:color w:val="auto"/>
          <w:sz w:val="28"/>
          <w:szCs w:val="28"/>
          <w:lang w:eastAsia="zh-CN"/>
        </w:rPr>
        <w:t>应急保障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_Toc25414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_Toc21447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队伍保障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_Toc21447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_Toc1383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资金保障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_Toc1383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- 21 -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_Toc26449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物资保障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_Toc26449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- 22 -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_Toc7334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4.4</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避难场所保障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_Toc7334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- 22 -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_Toc27929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4.5</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基础设施保障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_Toc27929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- 22 -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_Toc25947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4.6</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平台保障</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_Toc25947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- 23 -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_Toc20214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eastAsia="zh-CN"/>
        </w:rPr>
        <w:t>5</w:t>
      </w:r>
      <w:r>
        <w:rPr>
          <w:rFonts w:hint="eastAsia" w:ascii="CESI黑体-GB2312" w:hAnsi="CESI黑体-GB2312" w:eastAsia="CESI黑体-GB2312" w:cs="CESI黑体-GB2312"/>
          <w:b w:val="0"/>
          <w:bCs w:val="0"/>
          <w:color w:val="auto"/>
          <w:sz w:val="28"/>
          <w:szCs w:val="28"/>
          <w:lang w:val="en-US" w:eastAsia="zh-CN"/>
        </w:rPr>
        <w:t xml:space="preserve"> </w:t>
      </w:r>
      <w:r>
        <w:rPr>
          <w:rFonts w:hint="eastAsia" w:ascii="CESI黑体-GB2312" w:hAnsi="CESI黑体-GB2312" w:eastAsia="CESI黑体-GB2312" w:cs="CESI黑体-GB2312"/>
          <w:b w:val="0"/>
          <w:bCs w:val="0"/>
          <w:color w:val="auto"/>
          <w:sz w:val="28"/>
          <w:szCs w:val="28"/>
          <w:lang w:eastAsia="zh-CN"/>
        </w:rPr>
        <w:t>监督管理</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_Toc20214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- 23 -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_Toc11630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5.1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预案演练</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_Toc11630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- 23 -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_Toc18648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5.2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宣教培训</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_Toc18648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_Toc30744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5.3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责任与奖惩</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_Toc30744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_Toc13326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val="en-US" w:eastAsia="zh-CN"/>
        </w:rPr>
        <w:t xml:space="preserve">6 </w:t>
      </w:r>
      <w:r>
        <w:rPr>
          <w:rFonts w:hint="eastAsia" w:ascii="CESI黑体-GB2312" w:hAnsi="CESI黑体-GB2312" w:eastAsia="CESI黑体-GB2312" w:cs="CESI黑体-GB2312"/>
          <w:b w:val="0"/>
          <w:bCs w:val="0"/>
          <w:color w:val="auto"/>
          <w:sz w:val="28"/>
          <w:szCs w:val="28"/>
          <w:lang w:eastAsia="zh-CN"/>
        </w:rPr>
        <w:t>附则</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_Toc13326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_Toc30842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6.1</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名词术语</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_Toc30842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- 24 -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_Toc513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6.2</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预案管理</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_Toc513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- 25 -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_Toc25080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6.3</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预案衔接</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_Toc25080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- 25 -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_Toc2461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6.4</w:t>
      </w:r>
      <w:r>
        <w:rPr>
          <w:rFonts w:hint="eastAsia" w:ascii="CESI楷体-GB2312" w:hAnsi="CESI楷体-GB2312" w:eastAsia="CESI楷体-GB2312" w:cs="CESI楷体-GB2312"/>
          <w:bCs/>
          <w:color w:val="auto"/>
          <w:sz w:val="28"/>
          <w:szCs w:val="28"/>
          <w:lang w:val="en-US" w:eastAsia="zh-CN"/>
        </w:rPr>
        <w:t xml:space="preserve"> </w:t>
      </w:r>
      <w:r>
        <w:rPr>
          <w:rFonts w:hint="eastAsia" w:ascii="CESI楷体-GB2312" w:hAnsi="CESI楷体-GB2312" w:eastAsia="CESI楷体-GB2312" w:cs="CESI楷体-GB2312"/>
          <w:bCs/>
          <w:color w:val="auto"/>
          <w:sz w:val="28"/>
          <w:szCs w:val="28"/>
          <w:lang w:eastAsia="zh-CN"/>
        </w:rPr>
        <w:t>预案实施时间</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_Toc2461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- 26 -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_Toc17544 </w:instrText>
      </w:r>
      <w:r>
        <w:rPr>
          <w:rFonts w:hint="eastAsia" w:ascii="CESI楷体-GB2312" w:hAnsi="CESI楷体-GB2312" w:eastAsia="CESI楷体-GB2312" w:cs="CESI楷体-GB2312"/>
          <w:color w:val="auto"/>
          <w:sz w:val="28"/>
          <w:szCs w:val="28"/>
          <w:lang w:eastAsia="zh-CN"/>
        </w:rPr>
        <w:fldChar w:fldCharType="separate"/>
      </w:r>
      <w:r>
        <w:rPr>
          <w:rFonts w:hint="eastAsia" w:ascii="CESI黑体-GB2312" w:hAnsi="CESI黑体-GB2312" w:eastAsia="CESI黑体-GB2312" w:cs="CESI黑体-GB2312"/>
          <w:b w:val="0"/>
          <w:bCs w:val="0"/>
          <w:color w:val="auto"/>
          <w:sz w:val="28"/>
          <w:szCs w:val="28"/>
          <w:lang w:val="en-US" w:eastAsia="zh-CN"/>
        </w:rPr>
        <w:t>7 附件</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_Toc17544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- 26 -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_Toc9449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eastAsia="zh-CN"/>
        </w:rPr>
        <w:t>附件1</w:t>
      </w:r>
      <w:r>
        <w:rPr>
          <w:rFonts w:hint="eastAsia" w:ascii="CESI楷体-GB2312" w:hAnsi="CESI楷体-GB2312" w:eastAsia="CESI楷体-GB2312" w:cs="CESI楷体-GB2312"/>
          <w:bCs/>
          <w:color w:val="auto"/>
          <w:sz w:val="28"/>
          <w:szCs w:val="28"/>
          <w:lang w:val="en-US" w:eastAsia="zh-CN"/>
        </w:rPr>
        <w:t xml:space="preserve"> 清新区突发地质灾害应急指挥部成员单位职责</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_Toc9449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- 27 -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_Toc7247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val="en-US" w:eastAsia="zh-CN"/>
        </w:rPr>
        <w:t>附件2 清新区突发地质灾害应急指挥部工作组及职责</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_Toc7247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- 33 -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_Toc18609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val="en-US" w:eastAsia="zh-CN" w:bidi="ar-SA"/>
        </w:rPr>
        <w:t>附件3 地质灾害分级标准</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_Toc18609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- 37 -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pStyle w:val="14"/>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rPr>
          <w:rFonts w:hint="eastAsia" w:ascii="CESI楷体-GB2312" w:hAnsi="CESI楷体-GB2312" w:eastAsia="CESI楷体-GB2312" w:cs="CESI楷体-GB2312"/>
          <w:color w:val="auto"/>
          <w:sz w:val="28"/>
          <w:szCs w:val="28"/>
        </w:rPr>
      </w:pPr>
      <w:r>
        <w:rPr>
          <w:rFonts w:hint="eastAsia" w:ascii="CESI楷体-GB2312" w:hAnsi="CESI楷体-GB2312" w:eastAsia="CESI楷体-GB2312" w:cs="CESI楷体-GB2312"/>
          <w:color w:val="auto"/>
          <w:sz w:val="28"/>
          <w:szCs w:val="28"/>
          <w:lang w:eastAsia="zh-CN"/>
        </w:rPr>
        <w:fldChar w:fldCharType="begin"/>
      </w:r>
      <w:r>
        <w:rPr>
          <w:rFonts w:hint="eastAsia" w:ascii="CESI楷体-GB2312" w:hAnsi="CESI楷体-GB2312" w:eastAsia="CESI楷体-GB2312" w:cs="CESI楷体-GB2312"/>
          <w:color w:val="auto"/>
          <w:sz w:val="28"/>
          <w:szCs w:val="28"/>
          <w:lang w:eastAsia="zh-CN"/>
        </w:rPr>
        <w:instrText xml:space="preserve"> HYPERLINK \l _Toc14142 </w:instrText>
      </w:r>
      <w:r>
        <w:rPr>
          <w:rFonts w:hint="eastAsia" w:ascii="CESI楷体-GB2312" w:hAnsi="CESI楷体-GB2312" w:eastAsia="CESI楷体-GB2312" w:cs="CESI楷体-GB2312"/>
          <w:color w:val="auto"/>
          <w:sz w:val="28"/>
          <w:szCs w:val="28"/>
          <w:lang w:eastAsia="zh-CN"/>
        </w:rPr>
        <w:fldChar w:fldCharType="separate"/>
      </w:r>
      <w:r>
        <w:rPr>
          <w:rFonts w:hint="eastAsia" w:ascii="CESI楷体-GB2312" w:hAnsi="CESI楷体-GB2312" w:eastAsia="CESI楷体-GB2312" w:cs="CESI楷体-GB2312"/>
          <w:bCs/>
          <w:color w:val="auto"/>
          <w:sz w:val="28"/>
          <w:szCs w:val="28"/>
          <w:lang w:val="en-US" w:eastAsia="zh-CN"/>
        </w:rPr>
        <w:t>附件4 清远市地质灾害分布图</w:t>
      </w:r>
      <w:r>
        <w:rPr>
          <w:rFonts w:hint="eastAsia" w:ascii="CESI楷体-GB2312" w:hAnsi="CESI楷体-GB2312" w:eastAsia="CESI楷体-GB2312" w:cs="CESI楷体-GB2312"/>
          <w:color w:val="auto"/>
          <w:sz w:val="28"/>
          <w:szCs w:val="28"/>
        </w:rPr>
        <w:tab/>
      </w:r>
      <w:r>
        <w:rPr>
          <w:rFonts w:hint="eastAsia" w:ascii="CESI楷体-GB2312" w:hAnsi="CESI楷体-GB2312" w:eastAsia="CESI楷体-GB2312" w:cs="CESI楷体-GB2312"/>
          <w:color w:val="auto"/>
          <w:sz w:val="28"/>
          <w:szCs w:val="28"/>
        </w:rPr>
        <w:fldChar w:fldCharType="begin"/>
      </w:r>
      <w:r>
        <w:rPr>
          <w:rFonts w:hint="eastAsia" w:ascii="CESI楷体-GB2312" w:hAnsi="CESI楷体-GB2312" w:eastAsia="CESI楷体-GB2312" w:cs="CESI楷体-GB2312"/>
          <w:color w:val="auto"/>
          <w:sz w:val="28"/>
          <w:szCs w:val="28"/>
        </w:rPr>
        <w:instrText xml:space="preserve"> PAGEREF _Toc14142 </w:instrText>
      </w:r>
      <w:r>
        <w:rPr>
          <w:rFonts w:hint="eastAsia" w:ascii="CESI楷体-GB2312" w:hAnsi="CESI楷体-GB2312" w:eastAsia="CESI楷体-GB2312" w:cs="CESI楷体-GB2312"/>
          <w:color w:val="auto"/>
          <w:sz w:val="28"/>
          <w:szCs w:val="28"/>
        </w:rPr>
        <w:fldChar w:fldCharType="separate"/>
      </w:r>
      <w:r>
        <w:rPr>
          <w:rFonts w:hint="eastAsia" w:ascii="CESI楷体-GB2312" w:hAnsi="CESI楷体-GB2312" w:eastAsia="CESI楷体-GB2312" w:cs="CESI楷体-GB2312"/>
          <w:color w:val="auto"/>
          <w:sz w:val="28"/>
          <w:szCs w:val="28"/>
        </w:rPr>
        <w:t>- 39 -</w:t>
      </w:r>
      <w:r>
        <w:rPr>
          <w:rFonts w:hint="eastAsia" w:ascii="CESI楷体-GB2312" w:hAnsi="CESI楷体-GB2312" w:eastAsia="CESI楷体-GB2312" w:cs="CESI楷体-GB2312"/>
          <w:color w:val="auto"/>
          <w:sz w:val="28"/>
          <w:szCs w:val="28"/>
        </w:rPr>
        <w:fldChar w:fldCharType="end"/>
      </w:r>
      <w:r>
        <w:rPr>
          <w:rFonts w:hint="eastAsia" w:ascii="CESI楷体-GB2312" w:hAnsi="CESI楷体-GB2312" w:eastAsia="CESI楷体-GB2312" w:cs="CESI楷体-GB2312"/>
          <w:color w:val="auto"/>
          <w:sz w:val="28"/>
          <w:szCs w:val="28"/>
          <w:lang w:eastAsia="zh-CN"/>
        </w:rPr>
        <w:fldChar w:fldCharType="end"/>
      </w:r>
    </w:p>
    <w:p>
      <w:pPr>
        <w:keepNext w:val="0"/>
        <w:keepLines w:val="0"/>
        <w:pageBreakBefore w:val="0"/>
        <w:widowControl w:val="0"/>
        <w:kinsoku/>
        <w:wordWrap/>
        <w:overflowPunct/>
        <w:topLinePunct w:val="0"/>
        <w:autoSpaceDE/>
        <w:autoSpaceDN/>
        <w:bidi w:val="0"/>
        <w:adjustRightInd/>
        <w:snapToGrid/>
        <w:spacing w:line="520" w:lineRule="exact"/>
        <w:ind w:firstLine="552" w:firstLineChars="200"/>
        <w:jc w:val="both"/>
        <w:textAlignment w:val="auto"/>
        <w:rPr>
          <w:rFonts w:hint="eastAsia" w:ascii="黑体" w:hAnsi="黑体" w:eastAsia="黑体" w:cs="Times New Roman"/>
          <w:b w:val="0"/>
          <w:bCs w:val="0"/>
          <w:color w:val="auto"/>
          <w:kern w:val="2"/>
          <w:sz w:val="32"/>
          <w:szCs w:val="32"/>
          <w:lang w:eastAsia="zh-CN" w:bidi="ar-SA"/>
        </w:rPr>
      </w:pPr>
      <w:r>
        <w:rPr>
          <w:rFonts w:hint="eastAsia" w:ascii="CESI楷体-GB2312" w:hAnsi="CESI楷体-GB2312" w:eastAsia="CESI楷体-GB2312" w:cs="CESI楷体-GB2312"/>
          <w:color w:val="auto"/>
          <w:sz w:val="28"/>
          <w:szCs w:val="28"/>
          <w:lang w:eastAsia="zh-CN"/>
        </w:rPr>
        <w:fldChar w:fldCharType="end"/>
      </w:r>
      <w:bookmarkStart w:id="0" w:name="_Toc4899"/>
      <w:bookmarkStart w:id="1" w:name="_Toc19700"/>
      <w:r>
        <w:rPr>
          <w:rFonts w:hint="eastAsia" w:ascii="黑体" w:hAnsi="黑体" w:eastAsia="黑体" w:cs="Times New Roman"/>
          <w:b w:val="0"/>
          <w:bCs w:val="0"/>
          <w:color w:val="auto"/>
          <w:kern w:val="2"/>
          <w:sz w:val="32"/>
          <w:szCs w:val="32"/>
          <w:lang w:eastAsia="zh-CN" w:bidi="ar-SA"/>
        </w:rPr>
        <w:t>1</w:t>
      </w:r>
      <w:r>
        <w:rPr>
          <w:rFonts w:hint="eastAsia" w:ascii="黑体" w:hAnsi="黑体" w:eastAsia="黑体" w:cs="Times New Roman"/>
          <w:b w:val="0"/>
          <w:bCs w:val="0"/>
          <w:color w:val="auto"/>
          <w:kern w:val="2"/>
          <w:sz w:val="32"/>
          <w:szCs w:val="32"/>
          <w:lang w:val="en-US" w:eastAsia="zh-CN" w:bidi="ar-SA"/>
        </w:rPr>
        <w:t xml:space="preserve"> </w:t>
      </w:r>
      <w:r>
        <w:rPr>
          <w:rFonts w:hint="eastAsia" w:ascii="黑体" w:hAnsi="黑体" w:eastAsia="黑体" w:cs="Times New Roman"/>
          <w:b w:val="0"/>
          <w:bCs w:val="0"/>
          <w:color w:val="auto"/>
          <w:kern w:val="2"/>
          <w:sz w:val="32"/>
          <w:szCs w:val="32"/>
          <w:lang w:eastAsia="zh-CN" w:bidi="ar-SA"/>
        </w:rPr>
        <w:t>总则</w:t>
      </w:r>
      <w:bookmarkEnd w:id="0"/>
      <w:bookmarkEnd w:id="1"/>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2" w:name="_Toc23436"/>
      <w:bookmarkStart w:id="3" w:name="_Toc26207"/>
      <w:bookmarkStart w:id="4" w:name="_Toc15163"/>
      <w:bookmarkStart w:id="5" w:name="_Toc8573"/>
      <w:bookmarkStart w:id="6" w:name="_Toc28557"/>
      <w:bookmarkStart w:id="7" w:name="_Toc727"/>
      <w:bookmarkStart w:id="8" w:name="_Toc19819"/>
      <w:bookmarkStart w:id="9" w:name="_Toc4731"/>
      <w:bookmarkStart w:id="10" w:name="_Toc3805"/>
      <w:bookmarkStart w:id="11" w:name="_Toc31253"/>
      <w:bookmarkStart w:id="12" w:name="_Toc21550"/>
      <w:r>
        <w:rPr>
          <w:rFonts w:hint="eastAsia" w:ascii="楷体_GB2312" w:hAnsi="楷体_GB2312" w:eastAsia="楷体_GB2312" w:cs="楷体_GB2312"/>
          <w:b w:val="0"/>
          <w:bCs w:val="0"/>
          <w:color w:val="auto"/>
          <w:spacing w:val="0"/>
          <w:sz w:val="32"/>
          <w:szCs w:val="32"/>
          <w:lang w:eastAsia="zh-CN"/>
        </w:rPr>
        <w:t>1.1</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指导思想</w:t>
      </w:r>
      <w:bookmarkEnd w:id="2"/>
      <w:bookmarkEnd w:id="3"/>
      <w:bookmarkEnd w:id="4"/>
      <w:bookmarkEnd w:id="5"/>
      <w:bookmarkEnd w:id="6"/>
      <w:bookmarkEnd w:id="7"/>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以习近平新时代中国特色社会主义思想为指导，认真贯彻落实习近平总书记关于防灾减灾救灾的重要论述和指示批示精神。坚持以防为主、防抗救相结合，坚持常态救灾、非常态救灾相统一，努力实现从注重灾后救助向灾前预防转变，为进一步加强我区地质灾害防治工作，建立高效科学的地质灾害防治体系，全面推进地质灾害治理体系和治理能力现代化建设提供有力保障。</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13" w:name="_Toc24923"/>
      <w:bookmarkStart w:id="14" w:name="_Toc27486"/>
      <w:bookmarkStart w:id="15" w:name="_Toc20257"/>
      <w:bookmarkStart w:id="16" w:name="_Toc19618"/>
      <w:bookmarkStart w:id="17" w:name="_Toc15964"/>
      <w:bookmarkStart w:id="18" w:name="_Toc3720"/>
      <w:bookmarkStart w:id="19" w:name="_Toc32188"/>
      <w:bookmarkStart w:id="20" w:name="_Toc26132"/>
      <w:bookmarkStart w:id="21" w:name="_Toc24266"/>
      <w:bookmarkStart w:id="22" w:name="_Toc2525"/>
      <w:bookmarkStart w:id="23" w:name="_Toc32130"/>
      <w:r>
        <w:rPr>
          <w:rFonts w:hint="eastAsia" w:ascii="楷体_GB2312" w:hAnsi="楷体_GB2312" w:eastAsia="楷体_GB2312" w:cs="楷体_GB2312"/>
          <w:b w:val="0"/>
          <w:bCs w:val="0"/>
          <w:color w:val="auto"/>
          <w:spacing w:val="0"/>
          <w:sz w:val="32"/>
          <w:szCs w:val="32"/>
          <w:lang w:eastAsia="zh-CN"/>
        </w:rPr>
        <w:t>1.2</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编制依据</w:t>
      </w:r>
      <w:bookmarkEnd w:id="13"/>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依据《中华人民共和国突发事件应对法》《国家突发地质灾害应急预案》《地质灾害防治条例》《广东省地质环境管理条例》《广东省突发事件应对条例》《广东省突发地质灾害应急预案》、《清远市突发地质灾害应急预案》等法律法规及有关规定，制定本预案。</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24" w:name="_Toc30203"/>
      <w:bookmarkStart w:id="25" w:name="_Toc7226"/>
      <w:bookmarkStart w:id="26" w:name="_Toc305"/>
      <w:bookmarkStart w:id="27" w:name="_Toc17183"/>
      <w:bookmarkStart w:id="28" w:name="_Toc22575"/>
      <w:bookmarkStart w:id="29" w:name="_Toc15157"/>
      <w:bookmarkStart w:id="30" w:name="_Toc18048"/>
      <w:bookmarkStart w:id="31" w:name="_Toc7947"/>
      <w:bookmarkStart w:id="32" w:name="_Toc3337"/>
      <w:bookmarkStart w:id="33" w:name="_Toc12201"/>
      <w:bookmarkStart w:id="34" w:name="_Toc27610"/>
      <w:r>
        <w:rPr>
          <w:rFonts w:hint="eastAsia" w:ascii="楷体_GB2312" w:hAnsi="楷体_GB2312" w:eastAsia="楷体_GB2312" w:cs="楷体_GB2312"/>
          <w:b w:val="0"/>
          <w:bCs w:val="0"/>
          <w:color w:val="auto"/>
          <w:spacing w:val="0"/>
          <w:sz w:val="32"/>
          <w:szCs w:val="32"/>
          <w:lang w:eastAsia="zh-CN"/>
        </w:rPr>
        <w:t>1.3</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适用范围</w:t>
      </w:r>
      <w:bookmarkEnd w:id="24"/>
      <w:bookmarkEnd w:id="25"/>
      <w:bookmarkEnd w:id="26"/>
      <w:bookmarkEnd w:id="27"/>
      <w:bookmarkEnd w:id="28"/>
      <w:bookmarkEnd w:id="29"/>
      <w:bookmarkEnd w:id="30"/>
      <w:bookmarkEnd w:id="31"/>
      <w:bookmarkEnd w:id="32"/>
      <w:bookmarkEnd w:id="33"/>
      <w:bookmarkEnd w:id="34"/>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本预案适用于清新区行政区域内处置自然因素或者人为活动引发的危害人民生命和财产安全的突发性山体崩塌、滑坡、泥石流、地面塌陷、地裂缝、地面沉降等与地质作用有关的地质灾害。</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地震、山洪等灾害引发次生地质灾害的处置，适用有关应急预案的规定。</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35" w:name="_Toc19234"/>
      <w:bookmarkStart w:id="36" w:name="_Toc27113"/>
      <w:bookmarkStart w:id="37" w:name="_Toc7167"/>
      <w:bookmarkStart w:id="38" w:name="_Toc5105"/>
      <w:bookmarkStart w:id="39" w:name="_Toc17383"/>
      <w:bookmarkStart w:id="40" w:name="_Toc31917"/>
      <w:bookmarkStart w:id="41" w:name="_Toc2539"/>
      <w:bookmarkStart w:id="42" w:name="_Toc6187"/>
      <w:bookmarkStart w:id="43" w:name="_Toc328"/>
      <w:bookmarkStart w:id="44" w:name="_Toc1211"/>
      <w:bookmarkStart w:id="45" w:name="_Toc10993"/>
      <w:r>
        <w:rPr>
          <w:rFonts w:hint="eastAsia" w:ascii="楷体_GB2312" w:hAnsi="楷体_GB2312" w:eastAsia="楷体_GB2312" w:cs="楷体_GB2312"/>
          <w:b w:val="0"/>
          <w:bCs w:val="0"/>
          <w:color w:val="auto"/>
          <w:spacing w:val="0"/>
          <w:sz w:val="32"/>
          <w:szCs w:val="32"/>
          <w:lang w:eastAsia="zh-CN"/>
        </w:rPr>
        <w:t>1.4</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工作原则</w:t>
      </w:r>
      <w:bookmarkEnd w:id="35"/>
      <w:bookmarkEnd w:id="36"/>
      <w:bookmarkEnd w:id="37"/>
      <w:bookmarkEnd w:id="38"/>
      <w:bookmarkEnd w:id="39"/>
      <w:bookmarkEnd w:id="40"/>
      <w:bookmarkEnd w:id="41"/>
      <w:bookmarkEnd w:id="42"/>
      <w:bookmarkEnd w:id="43"/>
      <w:bookmarkEnd w:id="44"/>
      <w:bookmarkEnd w:id="45"/>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）以人为本，预防为主。牢固树立底线思维，立足防大灾、抗大险，做到关口前移，注重平时防范和减轻灾害风险，建立健全群测群防机制，最大限度减少人员伤亡和财产损失。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）统一领导，统分结合。在各级党委、政府统一领导下，有关单位各司其职，密切配合，共同做好突发地质灾害防御和应急处置工作。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）属地为主，分级负责。区人民政府是应对本区内较大及以上突发地质灾害的主体，镇人民政府分别是应对本行政区域一般突发地质灾害的主体。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eastAsia="zh-CN"/>
        </w:rPr>
        <w:t>）依法规范，分工明确。按照法定职责，细化部门分工，全面落实防灾、减灾、救灾工作任务，确保应急处置工作规范有序、落实到位。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）整合资源，协同运作。</w:t>
      </w:r>
      <w:r>
        <w:rPr>
          <w:rFonts w:hint="eastAsia" w:ascii="仿宋" w:hAnsi="仿宋" w:eastAsia="仿宋" w:cs="仿宋"/>
          <w:color w:val="auto"/>
          <w:sz w:val="32"/>
          <w:szCs w:val="32"/>
          <w:lang w:val="en-US" w:eastAsia="zh-CN"/>
        </w:rPr>
        <w:t>各镇</w:t>
      </w:r>
      <w:r>
        <w:rPr>
          <w:rFonts w:hint="eastAsia" w:ascii="仿宋" w:hAnsi="仿宋" w:eastAsia="仿宋" w:cs="仿宋"/>
          <w:color w:val="auto"/>
          <w:sz w:val="32"/>
          <w:szCs w:val="32"/>
          <w:lang w:eastAsia="zh-CN"/>
        </w:rPr>
        <w:t>人民政府及有关单位按照职责分工密切</w:t>
      </w:r>
      <w:r>
        <w:rPr>
          <w:rFonts w:hint="eastAsia" w:ascii="仿宋" w:hAnsi="仿宋" w:eastAsia="仿宋" w:cs="仿宋"/>
          <w:color w:val="auto"/>
          <w:sz w:val="32"/>
          <w:szCs w:val="32"/>
          <w:highlight w:val="none"/>
          <w:lang w:eastAsia="zh-CN"/>
        </w:rPr>
        <w:t>配合、信息互通、资源共享、协同行动，充分发挥当地部队、武警部队和消防</w:t>
      </w:r>
      <w:r>
        <w:rPr>
          <w:rFonts w:hint="eastAsia" w:ascii="仿宋" w:hAnsi="仿宋" w:eastAsia="仿宋" w:cs="仿宋"/>
          <w:color w:val="auto"/>
          <w:sz w:val="32"/>
          <w:szCs w:val="32"/>
          <w:lang w:eastAsia="zh-CN"/>
        </w:rPr>
        <w:t>救援、地方综合应急救援及民间救援队伍等在地质灾害应急处置中的作用，建立广泛的社会动员机制。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lang w:eastAsia="zh-CN"/>
        </w:rPr>
        <w:t>）快速反应，科学处置。善于抓住时机，依靠科技手段和专业力量，精准研判，科学决策，提高地质灾害应急处置的科技水平。</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jc w:val="both"/>
        <w:textAlignment w:val="auto"/>
        <w:rPr>
          <w:rFonts w:hint="eastAsia" w:ascii="黑体" w:hAnsi="黑体" w:eastAsia="黑体" w:cs="Times New Roman"/>
          <w:b w:val="0"/>
          <w:bCs w:val="0"/>
          <w:color w:val="auto"/>
          <w:kern w:val="2"/>
          <w:sz w:val="32"/>
          <w:szCs w:val="32"/>
          <w:lang w:eastAsia="zh-CN" w:bidi="ar-SA"/>
        </w:rPr>
      </w:pPr>
      <w:bookmarkStart w:id="46" w:name="_Toc4433"/>
      <w:bookmarkStart w:id="47" w:name="_Toc31623"/>
      <w:bookmarkStart w:id="48" w:name="_Toc14187"/>
      <w:bookmarkStart w:id="49" w:name="_Toc21307"/>
      <w:bookmarkStart w:id="50" w:name="_Toc25579"/>
      <w:bookmarkStart w:id="51" w:name="_Toc32615"/>
      <w:bookmarkStart w:id="52" w:name="_Toc28223"/>
      <w:bookmarkStart w:id="53" w:name="_Toc21031"/>
      <w:bookmarkStart w:id="54" w:name="_Toc10921"/>
      <w:bookmarkStart w:id="55" w:name="_Toc20248"/>
      <w:bookmarkStart w:id="56" w:name="_Toc13730"/>
      <w:bookmarkStart w:id="57" w:name="_Toc16927"/>
      <w:bookmarkStart w:id="58" w:name="_Toc18863"/>
      <w:bookmarkStart w:id="59" w:name="_Toc13886"/>
      <w:bookmarkStart w:id="60" w:name="_Toc19070"/>
      <w:r>
        <w:rPr>
          <w:rFonts w:hint="eastAsia" w:ascii="黑体" w:hAnsi="黑体" w:eastAsia="黑体" w:cs="Times New Roman"/>
          <w:b w:val="0"/>
          <w:bCs w:val="0"/>
          <w:color w:val="auto"/>
          <w:kern w:val="2"/>
          <w:sz w:val="32"/>
          <w:szCs w:val="32"/>
          <w:lang w:eastAsia="zh-CN" w:bidi="ar-SA"/>
        </w:rPr>
        <w:t>2</w:t>
      </w:r>
      <w:r>
        <w:rPr>
          <w:rFonts w:hint="eastAsia" w:ascii="黑体" w:hAnsi="黑体" w:eastAsia="黑体" w:cs="Times New Roman"/>
          <w:b w:val="0"/>
          <w:bCs w:val="0"/>
          <w:color w:val="auto"/>
          <w:kern w:val="2"/>
          <w:sz w:val="32"/>
          <w:szCs w:val="32"/>
          <w:lang w:val="en-US" w:eastAsia="zh-CN" w:bidi="ar-SA"/>
        </w:rPr>
        <w:t xml:space="preserve"> </w:t>
      </w:r>
      <w:r>
        <w:rPr>
          <w:rFonts w:hint="eastAsia" w:ascii="黑体" w:hAnsi="黑体" w:eastAsia="黑体" w:cs="Times New Roman"/>
          <w:b w:val="0"/>
          <w:bCs w:val="0"/>
          <w:color w:val="auto"/>
          <w:kern w:val="2"/>
          <w:sz w:val="32"/>
          <w:szCs w:val="32"/>
          <w:lang w:eastAsia="zh-CN" w:bidi="ar-SA"/>
        </w:rPr>
        <w:t>组织体系</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61" w:name="_Toc8084"/>
      <w:bookmarkStart w:id="62" w:name="_Toc30956"/>
      <w:bookmarkStart w:id="63" w:name="_Toc28689"/>
      <w:bookmarkStart w:id="64" w:name="_Toc14525"/>
      <w:bookmarkStart w:id="65" w:name="_Toc17563"/>
      <w:bookmarkStart w:id="66" w:name="_Toc17998"/>
      <w:bookmarkStart w:id="67" w:name="_Toc17473"/>
      <w:bookmarkStart w:id="68" w:name="_Toc5138"/>
      <w:bookmarkStart w:id="69" w:name="_Toc18293"/>
      <w:bookmarkStart w:id="70" w:name="_Toc32318"/>
      <w:bookmarkStart w:id="71" w:name="_Toc1834"/>
      <w:bookmarkStart w:id="72" w:name="_Toc12411"/>
      <w:bookmarkStart w:id="73" w:name="_Toc10097"/>
      <w:bookmarkStart w:id="74" w:name="_Toc9544"/>
      <w:bookmarkStart w:id="75" w:name="_Toc16232"/>
      <w:bookmarkStart w:id="76" w:name="_Toc22938"/>
      <w:r>
        <w:rPr>
          <w:rFonts w:hint="eastAsia" w:ascii="楷体_GB2312" w:hAnsi="楷体_GB2312" w:eastAsia="楷体_GB2312" w:cs="楷体_GB2312"/>
          <w:b w:val="0"/>
          <w:bCs w:val="0"/>
          <w:color w:val="auto"/>
          <w:spacing w:val="0"/>
          <w:sz w:val="32"/>
          <w:szCs w:val="32"/>
          <w:lang w:eastAsia="zh-CN"/>
        </w:rPr>
        <w:t>2.1</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区突发地质灾害应急指挥</w:t>
      </w:r>
      <w:bookmarkEnd w:id="61"/>
      <w:bookmarkEnd w:id="62"/>
      <w:bookmarkEnd w:id="63"/>
      <w:bookmarkEnd w:id="64"/>
      <w:bookmarkEnd w:id="65"/>
      <w:r>
        <w:rPr>
          <w:rFonts w:hint="eastAsia" w:ascii="楷体_GB2312" w:hAnsi="楷体_GB2312" w:eastAsia="楷体_GB2312" w:cs="楷体_GB2312"/>
          <w:b w:val="0"/>
          <w:bCs w:val="0"/>
          <w:color w:val="auto"/>
          <w:spacing w:val="0"/>
          <w:sz w:val="32"/>
          <w:szCs w:val="32"/>
          <w:lang w:eastAsia="zh-CN"/>
        </w:rPr>
        <w:t>机构</w:t>
      </w:r>
      <w:bookmarkEnd w:id="66"/>
      <w:bookmarkEnd w:id="67"/>
      <w:bookmarkEnd w:id="68"/>
      <w:bookmarkEnd w:id="69"/>
      <w:bookmarkEnd w:id="70"/>
      <w:bookmarkEnd w:id="71"/>
      <w:bookmarkEnd w:id="72"/>
      <w:bookmarkEnd w:id="73"/>
      <w:bookmarkEnd w:id="74"/>
      <w:bookmarkEnd w:id="75"/>
      <w:bookmarkEnd w:id="7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发生较大及以上地质灾害后，在区应急委员会的统一领导下成立区突发地质灾害应急指挥部（以下简称区指挥部），负责组织、指挥、指导、协调、监督全区开展地质灾害应急管理工作，统一领导、指挥</w:t>
      </w:r>
      <w:r>
        <w:rPr>
          <w:rFonts w:hint="eastAsia" w:ascii="仿宋" w:hAnsi="仿宋" w:eastAsia="仿宋" w:cs="仿宋"/>
          <w:color w:val="auto"/>
          <w:sz w:val="32"/>
          <w:szCs w:val="32"/>
          <w:lang w:val="en-US" w:eastAsia="zh-CN"/>
        </w:rPr>
        <w:t>和协调</w:t>
      </w:r>
      <w:r>
        <w:rPr>
          <w:rFonts w:hint="eastAsia" w:ascii="仿宋" w:hAnsi="仿宋" w:eastAsia="仿宋" w:cs="仿宋"/>
          <w:color w:val="auto"/>
          <w:sz w:val="32"/>
          <w:szCs w:val="32"/>
          <w:lang w:eastAsia="zh-CN"/>
        </w:rPr>
        <w:t>全区突发地质灾害抢险救灾工作。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职责：贯彻落实市地质灾害应急指挥部和区委、区政府关于地质灾害防御和应急救援的有关工作部署，研究制定全区地质灾害应急救援的有关重要政策措施；指导开展地质灾害预报预警监测；组织险情、灾情会商研判，以及地质灾害调查评估工作；按要求报请市人民政府启动Ⅰ级应急响应，报请市指挥部启动Ⅱ级应急响应，报请区人民政府区启动Ⅲ级应急响应，决定启动Ⅳ级地质灾害应急响应；统一指挥区内突发地质灾害的应急救援工作，协调组织武警部队和消防救援、地方综合应急救援及民间救援队伍等队伍参与抢险救灾；组织开展地质灾害灾情和救援信息上报，以及地质灾害舆情应对工作；组织指导灾区开展生产自救和灾后恢复重建等工作；协调、指导、监督各成员单位、各镇及其应急救援指挥机构开展地质灾害应急救援工作；研究决定全区地质灾害防御和应急救援的其他重大事项。</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指挥长：区政府分管应急管理工作的副区长。</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副指挥长：区政府办公室协调联系应急管理工作的副主任、区应急管理局局长、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自然资源局清新分局局长。</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成员：区委宣传部、区委统战部（区委台港澳办），区人民武装部（军事科），区发展改革局、区教育局、市公安局清新分局、区工业和信息化局、区司法局、区财政局、区人力资源社会保障局、市自然资源局清新分局、市生态环境局清新分局、区住房城乡建设局、区交通运输局、区水利局、区农业农</w:t>
      </w:r>
      <w:bookmarkStart w:id="771" w:name="_GoBack"/>
      <w:bookmarkEnd w:id="771"/>
      <w:r>
        <w:rPr>
          <w:rFonts w:hint="eastAsia" w:ascii="仿宋" w:hAnsi="仿宋" w:eastAsia="仿宋" w:cs="仿宋"/>
          <w:color w:val="auto"/>
          <w:sz w:val="32"/>
          <w:szCs w:val="32"/>
          <w:lang w:eastAsia="zh-CN"/>
        </w:rPr>
        <w:t>村局、区文化广电旅游体育局、区卫生健康局、区应急管理局、区市场监管局、团区委、</w:t>
      </w:r>
      <w:r>
        <w:rPr>
          <w:rFonts w:hint="eastAsia" w:ascii="仿宋" w:hAnsi="仿宋" w:eastAsia="仿宋" w:cs="仿宋"/>
          <w:color w:val="auto"/>
          <w:sz w:val="32"/>
          <w:szCs w:val="32"/>
          <w:highlight w:val="none"/>
          <w:lang w:eastAsia="zh-CN"/>
        </w:rPr>
        <w:t>区新融媒体中心</w:t>
      </w:r>
      <w:r>
        <w:rPr>
          <w:rFonts w:hint="eastAsia" w:ascii="仿宋" w:hAnsi="仿宋" w:eastAsia="仿宋" w:cs="仿宋"/>
          <w:color w:val="auto"/>
          <w:sz w:val="32"/>
          <w:szCs w:val="32"/>
          <w:lang w:eastAsia="zh-CN"/>
        </w:rPr>
        <w:t>、清新供电</w:t>
      </w:r>
      <w:r>
        <w:rPr>
          <w:rFonts w:hint="eastAsia" w:ascii="仿宋" w:hAnsi="仿宋" w:eastAsia="仿宋" w:cs="仿宋"/>
          <w:color w:val="auto"/>
          <w:sz w:val="32"/>
          <w:szCs w:val="32"/>
          <w:highlight w:val="none"/>
          <w:lang w:eastAsia="zh-CN"/>
        </w:rPr>
        <w:t>局、区消防救援大队、武警清新中队等单位主要负责人或分管负责人</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各成员单位任务分工见附录。</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77" w:name="_Toc32387"/>
      <w:bookmarkStart w:id="78" w:name="_Toc20048"/>
      <w:bookmarkStart w:id="79" w:name="_Toc306"/>
      <w:bookmarkStart w:id="80" w:name="_Toc28831"/>
      <w:bookmarkStart w:id="81" w:name="_Toc32293"/>
      <w:bookmarkStart w:id="82" w:name="_Toc28775"/>
      <w:bookmarkStart w:id="83" w:name="_Toc25112"/>
      <w:bookmarkStart w:id="84" w:name="_Toc17993"/>
      <w:bookmarkStart w:id="85" w:name="_Toc27026"/>
      <w:bookmarkStart w:id="86" w:name="_Toc12640"/>
      <w:bookmarkStart w:id="87" w:name="_Toc9697"/>
      <w:r>
        <w:rPr>
          <w:rFonts w:hint="eastAsia" w:ascii="楷体_GB2312" w:hAnsi="楷体_GB2312" w:eastAsia="楷体_GB2312" w:cs="楷体_GB2312"/>
          <w:b w:val="0"/>
          <w:bCs w:val="0"/>
          <w:color w:val="auto"/>
          <w:spacing w:val="0"/>
          <w:sz w:val="32"/>
          <w:szCs w:val="32"/>
          <w:lang w:eastAsia="zh-CN"/>
        </w:rPr>
        <w:t>2.2</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区突发地质灾害应急指挥部办公室</w:t>
      </w:r>
      <w:bookmarkEnd w:id="77"/>
      <w:bookmarkEnd w:id="78"/>
      <w:bookmarkEnd w:id="79"/>
      <w:bookmarkEnd w:id="80"/>
      <w:bookmarkEnd w:id="81"/>
      <w:bookmarkEnd w:id="82"/>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区指挥部办公室设在区应急管理局，承担区指挥部日常工作。办公室主任由区应急管理局局长担任，副主任分别由市自然资源局清新分局、区消防救援大队有关负责人担任。区指挥部成员因工作变动等需要调整的，由所在单位向区指挥部办公室提出，报指挥长批准。</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职责：贯彻落实区指挥部各项工作部署；协调区指挥部各成员单位、各镇及其应急救援指挥机构开展应急救援工作；负责汇总、上报有关地质灾害灾情、险情和应急救援信息；组织相关单位参与险情、灾情会商研判，提出启动、终止地质灾害应急响应建议及应急处置方案；根据区指挥部要求，组织现场工作组赶赴灾区指导开展应急救援处置工作；负责起草区指挥部有关文电和领导讲话材料，编报险情灾情及救援信息简报；协调督促区指挥部各工作组开展应急救援抢险工作，根据区指挥部领导的部署要求协调相关单位参与应急处置工作；承担区指挥部领导交办的其他工作。</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88" w:name="_Toc28698"/>
      <w:bookmarkStart w:id="89" w:name="_Toc26451"/>
      <w:bookmarkStart w:id="90" w:name="_Toc13725"/>
      <w:bookmarkStart w:id="91" w:name="_Toc32259"/>
      <w:bookmarkStart w:id="92" w:name="_Toc28679"/>
      <w:bookmarkStart w:id="93" w:name="_Toc21187"/>
      <w:bookmarkStart w:id="94" w:name="_Toc19071"/>
      <w:bookmarkStart w:id="95" w:name="_Toc26509"/>
      <w:bookmarkStart w:id="96" w:name="_Toc25120"/>
      <w:bookmarkStart w:id="97" w:name="_Toc24819"/>
      <w:bookmarkStart w:id="98" w:name="_Toc6009"/>
      <w:r>
        <w:rPr>
          <w:rFonts w:hint="eastAsia" w:ascii="楷体_GB2312" w:hAnsi="楷体_GB2312" w:eastAsia="楷体_GB2312" w:cs="楷体_GB2312"/>
          <w:b w:val="0"/>
          <w:bCs w:val="0"/>
          <w:color w:val="auto"/>
          <w:spacing w:val="0"/>
          <w:sz w:val="32"/>
          <w:szCs w:val="32"/>
          <w:lang w:eastAsia="zh-CN"/>
        </w:rPr>
        <w:t>2.3</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镇地质灾害应急指挥机构</w:t>
      </w:r>
      <w:bookmarkEnd w:id="88"/>
      <w:bookmarkEnd w:id="89"/>
      <w:bookmarkEnd w:id="90"/>
      <w:bookmarkEnd w:id="91"/>
      <w:bookmarkEnd w:id="92"/>
      <w:bookmarkEnd w:id="93"/>
      <w:bookmarkEnd w:id="94"/>
      <w:bookmarkEnd w:id="95"/>
      <w:bookmarkEnd w:id="96"/>
      <w:bookmarkEnd w:id="97"/>
      <w:bookmarkEnd w:id="98"/>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地质灾害应急指挥机构负责统一领导、指挥和协调本行政区域的突发地质灾害应急救援工作。地方有关部门和单位、武警部队、民兵和消防救援队伍等，按照职责分工，各负其责，密切配合，共同做好突发地质灾害应急救援工作。</w:t>
      </w:r>
    </w:p>
    <w:p>
      <w:pPr>
        <w:keepNext w:val="0"/>
        <w:keepLines w:val="0"/>
        <w:pageBreakBefore w:val="0"/>
        <w:widowControl w:val="0"/>
        <w:kinsoku/>
        <w:wordWrap/>
        <w:overflowPunct/>
        <w:topLinePunct w:val="0"/>
        <w:autoSpaceDE/>
        <w:autoSpaceDN/>
        <w:bidi w:val="0"/>
        <w:adjustRightInd/>
        <w:snapToGrid/>
        <w:spacing w:line="520" w:lineRule="exact"/>
        <w:ind w:firstLine="632" w:firstLineChars="200"/>
        <w:jc w:val="both"/>
        <w:textAlignment w:val="auto"/>
        <w:rPr>
          <w:rFonts w:hint="eastAsia" w:ascii="黑体" w:hAnsi="黑体" w:eastAsia="黑体" w:cs="Times New Roman"/>
          <w:b w:val="0"/>
          <w:bCs w:val="0"/>
          <w:color w:val="auto"/>
          <w:kern w:val="2"/>
          <w:sz w:val="32"/>
          <w:szCs w:val="32"/>
          <w:lang w:eastAsia="zh-CN" w:bidi="ar-SA"/>
        </w:rPr>
      </w:pPr>
      <w:bookmarkStart w:id="99" w:name="_Toc6946"/>
      <w:bookmarkStart w:id="100" w:name="_Toc30677"/>
      <w:bookmarkStart w:id="101" w:name="_Toc15"/>
      <w:bookmarkStart w:id="102" w:name="_Toc27841"/>
      <w:bookmarkStart w:id="103" w:name="_Toc4834"/>
      <w:bookmarkStart w:id="104" w:name="_Toc18081"/>
      <w:bookmarkStart w:id="105" w:name="_Toc26562"/>
      <w:bookmarkStart w:id="106" w:name="_Toc3833"/>
      <w:bookmarkStart w:id="107" w:name="_Toc3961"/>
      <w:bookmarkStart w:id="108" w:name="_Toc16139"/>
      <w:bookmarkStart w:id="109" w:name="_Toc25100"/>
      <w:bookmarkStart w:id="110" w:name="_Toc12913"/>
      <w:bookmarkStart w:id="111" w:name="_Toc5565"/>
      <w:bookmarkStart w:id="112" w:name="_Toc21128"/>
      <w:bookmarkStart w:id="113" w:name="_Toc4146"/>
      <w:r>
        <w:rPr>
          <w:rFonts w:hint="eastAsia" w:ascii="黑体" w:hAnsi="黑体" w:eastAsia="黑体" w:cs="Times New Roman"/>
          <w:b w:val="0"/>
          <w:bCs w:val="0"/>
          <w:color w:val="auto"/>
          <w:kern w:val="2"/>
          <w:sz w:val="32"/>
          <w:szCs w:val="32"/>
          <w:lang w:eastAsia="zh-CN" w:bidi="ar-SA"/>
        </w:rPr>
        <w:t>3</w:t>
      </w:r>
      <w:r>
        <w:rPr>
          <w:rFonts w:hint="eastAsia" w:ascii="黑体" w:hAnsi="黑体" w:eastAsia="黑体" w:cs="Times New Roman"/>
          <w:b w:val="0"/>
          <w:bCs w:val="0"/>
          <w:color w:val="auto"/>
          <w:kern w:val="2"/>
          <w:sz w:val="32"/>
          <w:szCs w:val="32"/>
          <w:lang w:val="en-US" w:eastAsia="zh-CN" w:bidi="ar-SA"/>
        </w:rPr>
        <w:t xml:space="preserve"> </w:t>
      </w:r>
      <w:r>
        <w:rPr>
          <w:rFonts w:hint="eastAsia" w:ascii="黑体" w:hAnsi="黑体" w:eastAsia="黑体" w:cs="Times New Roman"/>
          <w:b w:val="0"/>
          <w:bCs w:val="0"/>
          <w:color w:val="auto"/>
          <w:kern w:val="2"/>
          <w:sz w:val="32"/>
          <w:szCs w:val="32"/>
          <w:lang w:eastAsia="zh-CN" w:bidi="ar-SA"/>
        </w:rPr>
        <w:t>运行机制</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114" w:name="_Toc17908"/>
      <w:bookmarkStart w:id="115" w:name="_Toc15553"/>
      <w:bookmarkStart w:id="116" w:name="_Toc22457"/>
      <w:bookmarkStart w:id="117" w:name="_Toc2837"/>
      <w:bookmarkStart w:id="118" w:name="_Toc26608"/>
      <w:bookmarkStart w:id="119" w:name="_Toc30583"/>
      <w:bookmarkStart w:id="120" w:name="_Toc8402"/>
      <w:bookmarkStart w:id="121" w:name="_Toc27078"/>
      <w:bookmarkStart w:id="122" w:name="_Toc30475"/>
      <w:bookmarkStart w:id="123" w:name="_Toc27469"/>
      <w:bookmarkStart w:id="124" w:name="_Toc12933"/>
      <w:bookmarkStart w:id="125" w:name="_Toc20343"/>
      <w:bookmarkStart w:id="126" w:name="_Toc29666"/>
      <w:bookmarkStart w:id="127" w:name="_Toc9120"/>
      <w:bookmarkStart w:id="128" w:name="_Toc28930"/>
      <w:bookmarkStart w:id="129" w:name="_Toc17348"/>
      <w:r>
        <w:rPr>
          <w:rFonts w:hint="eastAsia" w:ascii="楷体_GB2312" w:hAnsi="楷体_GB2312" w:eastAsia="楷体_GB2312" w:cs="楷体_GB2312"/>
          <w:b w:val="0"/>
          <w:bCs w:val="0"/>
          <w:color w:val="auto"/>
          <w:spacing w:val="0"/>
          <w:sz w:val="32"/>
          <w:szCs w:val="32"/>
          <w:lang w:val="en-US" w:eastAsia="zh-CN"/>
        </w:rPr>
        <w:t>3.</w:t>
      </w:r>
      <w:r>
        <w:rPr>
          <w:rFonts w:hint="eastAsia" w:ascii="楷体_GB2312" w:hAnsi="楷体_GB2312" w:eastAsia="楷体_GB2312" w:cs="楷体_GB2312"/>
          <w:b w:val="0"/>
          <w:bCs w:val="0"/>
          <w:color w:val="auto"/>
          <w:spacing w:val="0"/>
          <w:sz w:val="32"/>
          <w:szCs w:val="32"/>
          <w:lang w:eastAsia="zh-CN"/>
        </w:rPr>
        <w:t>1</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预防</w:t>
      </w:r>
      <w:bookmarkEnd w:id="114"/>
      <w:bookmarkEnd w:id="115"/>
      <w:bookmarkEnd w:id="116"/>
      <w:bookmarkEnd w:id="117"/>
      <w:bookmarkEnd w:id="118"/>
      <w:r>
        <w:rPr>
          <w:rFonts w:hint="eastAsia" w:ascii="楷体_GB2312" w:hAnsi="楷体_GB2312" w:eastAsia="楷体_GB2312" w:cs="楷体_GB2312"/>
          <w:b w:val="0"/>
          <w:bCs w:val="0"/>
          <w:color w:val="auto"/>
          <w:spacing w:val="0"/>
          <w:sz w:val="32"/>
          <w:szCs w:val="32"/>
          <w:lang w:val="en-US" w:eastAsia="zh-CN"/>
        </w:rPr>
        <w:t>监测评估</w:t>
      </w:r>
      <w:bookmarkEnd w:id="119"/>
      <w:bookmarkEnd w:id="120"/>
      <w:bookmarkEnd w:id="121"/>
      <w:bookmarkEnd w:id="122"/>
      <w:bookmarkEnd w:id="123"/>
      <w:bookmarkEnd w:id="124"/>
      <w:bookmarkEnd w:id="125"/>
      <w:bookmarkEnd w:id="126"/>
      <w:bookmarkEnd w:id="127"/>
      <w:bookmarkEnd w:id="128"/>
      <w:bookmarkEnd w:id="129"/>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eastAsia="zh-CN"/>
        </w:rPr>
      </w:pPr>
      <w:bookmarkStart w:id="130" w:name="_Toc13394"/>
      <w:bookmarkStart w:id="131" w:name="_Toc26641"/>
      <w:bookmarkStart w:id="132" w:name="_Toc680"/>
      <w:bookmarkStart w:id="133" w:name="_Toc22026"/>
      <w:bookmarkStart w:id="134" w:name="_Toc27187"/>
      <w:bookmarkStart w:id="135" w:name="_Toc27930"/>
      <w:bookmarkStart w:id="136" w:name="_Toc32613"/>
      <w:bookmarkStart w:id="137" w:name="_Toc7363"/>
      <w:bookmarkStart w:id="138" w:name="_Toc13027"/>
      <w:bookmarkStart w:id="139" w:name="_Toc19640"/>
      <w:bookmarkStart w:id="140" w:name="_Toc22090"/>
      <w:bookmarkStart w:id="141" w:name="_Toc293"/>
      <w:bookmarkStart w:id="142" w:name="_Toc14079"/>
      <w:bookmarkStart w:id="143" w:name="_Toc25246"/>
      <w:bookmarkStart w:id="144" w:name="_Toc2275"/>
      <w:bookmarkStart w:id="145" w:name="_Toc2045"/>
      <w:r>
        <w:rPr>
          <w:rFonts w:hint="eastAsia" w:ascii="楷体_GB2312" w:hAnsi="楷体_GB2312" w:eastAsia="楷体_GB2312" w:cs="楷体_GB2312"/>
          <w:b w:val="0"/>
          <w:bCs w:val="0"/>
          <w:color w:val="auto"/>
          <w:spacing w:val="0"/>
          <w:sz w:val="32"/>
          <w:szCs w:val="32"/>
          <w:lang w:eastAsia="zh-CN"/>
        </w:rPr>
        <w:t>3.1.1</w:t>
      </w:r>
      <w:r>
        <w:rPr>
          <w:rFonts w:hint="eastAsia" w:ascii="楷体_GB2312" w:hAnsi="楷体_GB2312" w:eastAsia="楷体_GB2312" w:cs="楷体_GB2312"/>
          <w:b w:val="0"/>
          <w:bCs w:val="0"/>
          <w:color w:val="auto"/>
          <w:spacing w:val="0"/>
          <w:sz w:val="32"/>
          <w:szCs w:val="32"/>
          <w:lang w:val="en-US" w:eastAsia="zh-CN"/>
        </w:rPr>
        <w:t xml:space="preserve"> </w:t>
      </w:r>
      <w:r>
        <w:rPr>
          <w:rFonts w:hint="eastAsia" w:ascii="楷体_GB2312" w:hAnsi="楷体_GB2312" w:eastAsia="楷体_GB2312" w:cs="楷体_GB2312"/>
          <w:b w:val="0"/>
          <w:bCs w:val="0"/>
          <w:color w:val="auto"/>
          <w:spacing w:val="0"/>
          <w:sz w:val="32"/>
          <w:szCs w:val="32"/>
          <w:lang w:eastAsia="zh-CN"/>
        </w:rPr>
        <w:t>预防</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（1）编制年度地质灾害防治方案。</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自然资源</w:t>
      </w:r>
      <w:r>
        <w:rPr>
          <w:rFonts w:hint="eastAsia" w:ascii="仿宋" w:hAnsi="仿宋" w:eastAsia="仿宋" w:cs="仿宋"/>
          <w:color w:val="auto"/>
          <w:sz w:val="32"/>
          <w:szCs w:val="32"/>
          <w:lang w:val="en-US" w:eastAsia="zh-CN"/>
        </w:rPr>
        <w:t>局清新分局</w:t>
      </w:r>
      <w:r>
        <w:rPr>
          <w:rFonts w:hint="eastAsia" w:ascii="仿宋" w:hAnsi="仿宋" w:eastAsia="仿宋" w:cs="仿宋"/>
          <w:color w:val="auto"/>
          <w:sz w:val="32"/>
          <w:szCs w:val="32"/>
          <w:lang w:eastAsia="zh-CN"/>
        </w:rPr>
        <w:t>在开展地质灾害调查的基础上，会同区突发地质灾害应急指挥机构有关成员单位，依据地质灾害防治规划，结合气象预测信息，每年年初拟订年度地质灾害防治方案，报经区人民政府批准后公布实施；也可依据区人民政府批准的跨年度防治方案（如地质灾害防治三年行动方案）组织实施。</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（2）建立地质灾害监测系统。</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自然资源</w:t>
      </w:r>
      <w:r>
        <w:rPr>
          <w:rFonts w:hint="eastAsia" w:ascii="仿宋" w:hAnsi="仿宋" w:eastAsia="仿宋" w:cs="仿宋"/>
          <w:color w:val="auto"/>
          <w:sz w:val="32"/>
          <w:szCs w:val="32"/>
          <w:lang w:val="en-US" w:eastAsia="zh-CN"/>
        </w:rPr>
        <w:t>局清新分局</w:t>
      </w:r>
      <w:r>
        <w:rPr>
          <w:rFonts w:hint="eastAsia" w:ascii="仿宋" w:hAnsi="仿宋" w:eastAsia="仿宋" w:cs="仿宋"/>
          <w:color w:val="auto"/>
          <w:sz w:val="32"/>
          <w:szCs w:val="32"/>
          <w:lang w:eastAsia="zh-CN"/>
        </w:rPr>
        <w:t>要会同住房城乡建设、交通运输、水利、教育、卫生健康、人力资源、文化旅游等部门，根据本地区地质灾害易发区、隐患点和风险点，建立健全地质灾害群测群防网络和专业监测网络，形成覆盖全区的地质灾害监测系统。</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（3）</w:t>
      </w:r>
      <w:r>
        <w:rPr>
          <w:rFonts w:hint="eastAsia" w:ascii="仿宋" w:hAnsi="仿宋" w:eastAsia="仿宋" w:cs="仿宋"/>
          <w:b w:val="0"/>
          <w:bCs w:val="0"/>
          <w:color w:val="auto"/>
          <w:sz w:val="32"/>
          <w:szCs w:val="32"/>
          <w:lang w:eastAsia="zh-CN"/>
        </w:rPr>
        <w:t>发放“防灾明白卡”。</w:t>
      </w:r>
      <w:r>
        <w:rPr>
          <w:rFonts w:hint="eastAsia" w:ascii="仿宋" w:hAnsi="仿宋" w:eastAsia="仿宋" w:cs="仿宋"/>
          <w:color w:val="auto"/>
          <w:sz w:val="32"/>
          <w:szCs w:val="32"/>
          <w:lang w:eastAsia="zh-CN"/>
        </w:rPr>
        <w:t>各镇要将当地地质灾害易发区、隐患点和风险点的群测群防工作落实到各村委以及农村集体经济组织（社区），并将涉及地质灾害防范措施的“防治工作明白卡”和“防灾避险明白卡”分别发放到受灾害隐患威胁的单位、居民以及防灾责任人。</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（4）鼓励报灾报险。鼓励、支持群众和单位通过</w:t>
      </w:r>
      <w:r>
        <w:rPr>
          <w:rFonts w:hint="eastAsia" w:ascii="仿宋" w:hAnsi="仿宋" w:eastAsia="仿宋" w:cs="仿宋"/>
          <w:color w:val="auto"/>
          <w:sz w:val="32"/>
          <w:szCs w:val="32"/>
          <w:lang w:val="en-US" w:eastAsia="zh-CN"/>
        </w:rPr>
        <w:t>邮件</w:t>
      </w:r>
      <w:r>
        <w:rPr>
          <w:rFonts w:hint="eastAsia" w:ascii="仿宋" w:hAnsi="仿宋" w:eastAsia="仿宋" w:cs="仿宋"/>
          <w:color w:val="auto"/>
          <w:sz w:val="32"/>
          <w:szCs w:val="32"/>
          <w:lang w:eastAsia="zh-CN"/>
        </w:rPr>
        <w:t>、电话、短信等各种形式向当地人民政府及其主管部门、有关地质灾害防治机构报告地质灾害信息。有关监测单位或监测人发现地质灾害灾情或险情时，要按照突发地质灾害分级标准报告相关自然资源部门和应急管理部门，自然资源和应急管理部门要及时共享灾情险情信息。</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146" w:name="_Toc27314"/>
      <w:bookmarkStart w:id="147" w:name="_Toc9888"/>
      <w:bookmarkStart w:id="148" w:name="_Toc30430"/>
      <w:bookmarkStart w:id="149" w:name="_Toc2581"/>
      <w:bookmarkStart w:id="150" w:name="_Toc12830"/>
      <w:bookmarkStart w:id="151" w:name="_Toc26840"/>
      <w:bookmarkStart w:id="152" w:name="_Toc9742"/>
      <w:bookmarkStart w:id="153" w:name="_Toc4157"/>
      <w:bookmarkStart w:id="154" w:name="_Toc5733"/>
      <w:bookmarkStart w:id="155" w:name="_Toc30816"/>
      <w:bookmarkStart w:id="156" w:name="_Toc7402"/>
      <w:bookmarkStart w:id="157" w:name="_Toc841"/>
      <w:bookmarkStart w:id="158" w:name="_Toc32564"/>
      <w:bookmarkStart w:id="159" w:name="_Toc30942"/>
      <w:bookmarkStart w:id="160" w:name="_Toc5994"/>
      <w:bookmarkStart w:id="161" w:name="_Toc23526"/>
      <w:r>
        <w:rPr>
          <w:rFonts w:hint="eastAsia" w:ascii="楷体_GB2312" w:hAnsi="楷体_GB2312" w:eastAsia="楷体_GB2312" w:cs="楷体_GB2312"/>
          <w:b w:val="0"/>
          <w:bCs w:val="0"/>
          <w:color w:val="auto"/>
          <w:spacing w:val="0"/>
          <w:sz w:val="32"/>
          <w:szCs w:val="32"/>
          <w:lang w:val="en-US" w:eastAsia="zh-CN"/>
        </w:rPr>
        <w:t>3.1.2 监测</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bookmarkStart w:id="162" w:name="_Toc16772"/>
      <w:bookmarkStart w:id="163" w:name="_Toc8145"/>
      <w:bookmarkStart w:id="164" w:name="_Toc32704"/>
      <w:bookmarkStart w:id="165" w:name="_Toc10476"/>
      <w:bookmarkStart w:id="166" w:name="_Toc11833"/>
      <w:r>
        <w:rPr>
          <w:rFonts w:hint="eastAsia" w:ascii="仿宋" w:hAnsi="仿宋" w:eastAsia="仿宋" w:cs="仿宋"/>
          <w:color w:val="auto"/>
          <w:sz w:val="32"/>
          <w:szCs w:val="32"/>
          <w:lang w:eastAsia="zh-CN"/>
        </w:rPr>
        <w:t>（1）各镇要充分发挥地质灾害群测群防和专业监测网络的作用，每年汛期前，</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自然资源</w:t>
      </w:r>
      <w:r>
        <w:rPr>
          <w:rFonts w:hint="eastAsia" w:ascii="仿宋" w:hAnsi="仿宋" w:eastAsia="仿宋" w:cs="仿宋"/>
          <w:color w:val="auto"/>
          <w:sz w:val="32"/>
          <w:szCs w:val="32"/>
          <w:lang w:val="en-US" w:eastAsia="zh-CN"/>
        </w:rPr>
        <w:t>局清新分局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住房城乡建设</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交通运输</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水利</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lang w:eastAsia="zh-CN"/>
        </w:rPr>
        <w:t>等单位根据职责开展地质灾害隐患巡查、排查，发现险情及时报告，落实监测单位和监测人；汛中、汛后定期或不定期开展检查，加强对地质灾害重点地区的监测和防范。</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2）区应急管理局应向社会公布报灾电话。接到特别重大、重大地质灾害灾情信息后，要迅速组织处理，并将情况报告区指挥部办公室和市自然资源局清新分局。区指挥部办公室接报后，要初步核实灾情，及时研判，并报告区人民政府。必要时，区应急管理局会同市自然资源局清新分局立即派员赶赴灾害现场，进一步查明情况，指导、协助当地人民政府妥善开展应急处置。</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167" w:name="_Toc3920"/>
      <w:bookmarkStart w:id="168" w:name="_Toc19149"/>
      <w:bookmarkStart w:id="169" w:name="_Toc22271"/>
      <w:bookmarkStart w:id="170" w:name="_Toc28121"/>
      <w:bookmarkStart w:id="171" w:name="_Toc2410"/>
      <w:bookmarkStart w:id="172" w:name="_Toc21257"/>
      <w:bookmarkStart w:id="173" w:name="_Toc1371"/>
      <w:bookmarkStart w:id="174" w:name="_Toc29838"/>
      <w:bookmarkStart w:id="175" w:name="_Toc7213"/>
      <w:bookmarkStart w:id="176" w:name="_Toc2675"/>
      <w:bookmarkStart w:id="177" w:name="_Toc12443"/>
      <w:r>
        <w:rPr>
          <w:rFonts w:hint="eastAsia" w:ascii="楷体_GB2312" w:hAnsi="楷体_GB2312" w:eastAsia="楷体_GB2312" w:cs="楷体_GB2312"/>
          <w:b w:val="0"/>
          <w:bCs w:val="0"/>
          <w:color w:val="auto"/>
          <w:spacing w:val="0"/>
          <w:sz w:val="32"/>
          <w:szCs w:val="32"/>
          <w:lang w:val="en-US" w:eastAsia="zh-CN"/>
        </w:rPr>
        <w:t>3.1.3 评估</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市自然资源局清新分局要会同有关单位建立健全地质灾害风险评估机制，定期或不定期组织对地质灾害风险进行评估，明确地质灾害防范和应对措施。</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地质灾害风险主要包括危害人民群众生命安全风险，破坏城镇、农村、企业、房屋等重要建筑设施及室内财产风险，破坏生命线工程风险，破坏水利工程风险，破坏森林、树木、农作物及土地资源风险等。</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178" w:name="_Toc5770"/>
      <w:bookmarkStart w:id="179" w:name="_Toc8596"/>
      <w:bookmarkStart w:id="180" w:name="_Toc28137"/>
      <w:bookmarkStart w:id="181" w:name="_Toc4125"/>
      <w:bookmarkStart w:id="182" w:name="_Toc11545"/>
      <w:bookmarkStart w:id="183" w:name="_Toc2428"/>
      <w:bookmarkStart w:id="184" w:name="_Toc4245"/>
      <w:bookmarkStart w:id="185" w:name="_Toc7279"/>
      <w:bookmarkStart w:id="186" w:name="_Toc3029"/>
      <w:bookmarkStart w:id="187" w:name="_Toc31957"/>
      <w:bookmarkStart w:id="188" w:name="_Toc15866"/>
      <w:bookmarkStart w:id="189" w:name="_Toc20100"/>
      <w:r>
        <w:rPr>
          <w:rFonts w:hint="eastAsia" w:ascii="楷体_GB2312" w:hAnsi="楷体_GB2312" w:eastAsia="楷体_GB2312" w:cs="楷体_GB2312"/>
          <w:b w:val="0"/>
          <w:bCs w:val="0"/>
          <w:color w:val="auto"/>
          <w:spacing w:val="0"/>
          <w:sz w:val="32"/>
          <w:szCs w:val="32"/>
          <w:lang w:val="en-US" w:eastAsia="zh-CN"/>
        </w:rPr>
        <w:t>（1）人民群众生命安全风险</w:t>
      </w:r>
      <w:bookmarkEnd w:id="178"/>
      <w:bookmarkEnd w:id="179"/>
      <w:bookmarkEnd w:id="180"/>
      <w:bookmarkEnd w:id="181"/>
      <w:bookmarkEnd w:id="182"/>
      <w:bookmarkEnd w:id="183"/>
      <w:bookmarkEnd w:id="184"/>
      <w:bookmarkEnd w:id="185"/>
      <w:bookmarkEnd w:id="186"/>
      <w:bookmarkEnd w:id="187"/>
      <w:bookmarkEnd w:id="188"/>
      <w:bookmarkEnd w:id="189"/>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主要包括城镇、农村居民等人民群众生命安全风险，要特别关注儿童、老人、残病、流动人口等特殊人群的生命安全风险情况。</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190" w:name="_Toc31803"/>
      <w:bookmarkStart w:id="191" w:name="_Toc3342"/>
      <w:bookmarkStart w:id="192" w:name="_Toc24481"/>
      <w:bookmarkStart w:id="193" w:name="_Toc27768"/>
      <w:bookmarkStart w:id="194" w:name="_Toc20091"/>
      <w:bookmarkStart w:id="195" w:name="_Toc16760"/>
      <w:bookmarkStart w:id="196" w:name="_Toc10668"/>
      <w:bookmarkStart w:id="197" w:name="_Toc13181"/>
      <w:bookmarkStart w:id="198" w:name="_Toc21877"/>
      <w:bookmarkStart w:id="199" w:name="_Toc1714"/>
      <w:bookmarkStart w:id="200" w:name="_Toc28075"/>
      <w:bookmarkStart w:id="201" w:name="_Toc16490"/>
      <w:r>
        <w:rPr>
          <w:rFonts w:hint="eastAsia" w:ascii="楷体_GB2312" w:hAnsi="楷体_GB2312" w:eastAsia="楷体_GB2312" w:cs="楷体_GB2312"/>
          <w:b w:val="0"/>
          <w:bCs w:val="0"/>
          <w:color w:val="auto"/>
          <w:spacing w:val="0"/>
          <w:sz w:val="32"/>
          <w:szCs w:val="32"/>
          <w:lang w:val="en-US" w:eastAsia="zh-CN"/>
        </w:rPr>
        <w:t>（2）建筑物、基础设施、公共设施、学校校舍风险</w:t>
      </w:r>
      <w:bookmarkEnd w:id="190"/>
      <w:bookmarkEnd w:id="191"/>
      <w:bookmarkEnd w:id="192"/>
      <w:bookmarkEnd w:id="193"/>
      <w:bookmarkEnd w:id="194"/>
      <w:bookmarkEnd w:id="195"/>
      <w:bookmarkEnd w:id="196"/>
      <w:bookmarkEnd w:id="197"/>
      <w:bookmarkEnd w:id="198"/>
      <w:bookmarkEnd w:id="199"/>
      <w:bookmarkEnd w:id="200"/>
      <w:bookmarkEnd w:id="201"/>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主要包括城镇居民住宅、农村住宅、宾馆、饭店、公寓、商店、学校、医院、机关、部队营房、工业厂房、仓库等各种重要建筑设施及附属设施风险，同时包括建筑设施内的物资风险。</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02" w:name="_Toc8678"/>
      <w:bookmarkStart w:id="203" w:name="_Toc17731"/>
      <w:bookmarkStart w:id="204" w:name="_Toc32000"/>
      <w:bookmarkStart w:id="205" w:name="_Toc3618"/>
      <w:bookmarkStart w:id="206" w:name="_Toc11749"/>
      <w:bookmarkStart w:id="207" w:name="_Toc30769"/>
      <w:bookmarkStart w:id="208" w:name="_Toc20928"/>
      <w:bookmarkStart w:id="209" w:name="_Toc20917"/>
      <w:bookmarkStart w:id="210" w:name="_Toc15339"/>
      <w:bookmarkStart w:id="211" w:name="_Toc24156"/>
      <w:bookmarkStart w:id="212" w:name="_Toc19248"/>
      <w:bookmarkStart w:id="213" w:name="_Toc19748"/>
      <w:r>
        <w:rPr>
          <w:rFonts w:hint="eastAsia" w:ascii="楷体_GB2312" w:hAnsi="楷体_GB2312" w:eastAsia="楷体_GB2312" w:cs="楷体_GB2312"/>
          <w:b w:val="0"/>
          <w:bCs w:val="0"/>
          <w:color w:val="auto"/>
          <w:spacing w:val="0"/>
          <w:sz w:val="32"/>
          <w:szCs w:val="32"/>
          <w:lang w:val="en-US" w:eastAsia="zh-CN"/>
        </w:rPr>
        <w:t>（3）生命线工程风险</w:t>
      </w:r>
      <w:bookmarkEnd w:id="202"/>
      <w:bookmarkEnd w:id="203"/>
      <w:bookmarkEnd w:id="204"/>
      <w:bookmarkEnd w:id="205"/>
      <w:bookmarkEnd w:id="206"/>
      <w:bookmarkEnd w:id="207"/>
      <w:bookmarkEnd w:id="208"/>
      <w:bookmarkEnd w:id="209"/>
      <w:bookmarkEnd w:id="210"/>
      <w:bookmarkEnd w:id="211"/>
      <w:bookmarkEnd w:id="212"/>
      <w:bookmarkEnd w:id="213"/>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主要包括公路、通信、供水、排水、供电、供气以及桥梁、</w:t>
      </w:r>
      <w:r>
        <w:rPr>
          <w:rFonts w:hint="eastAsia" w:ascii="仿宋" w:hAnsi="仿宋" w:eastAsia="仿宋" w:cs="仿宋"/>
          <w:color w:val="auto"/>
          <w:sz w:val="32"/>
          <w:szCs w:val="32"/>
          <w:highlight w:val="none"/>
          <w:lang w:eastAsia="zh-CN"/>
        </w:rPr>
        <w:t>涵洞</w:t>
      </w:r>
      <w:r>
        <w:rPr>
          <w:rFonts w:hint="eastAsia" w:ascii="仿宋" w:hAnsi="仿宋" w:eastAsia="仿宋" w:cs="仿宋"/>
          <w:color w:val="auto"/>
          <w:sz w:val="32"/>
          <w:szCs w:val="32"/>
          <w:lang w:eastAsia="zh-CN"/>
        </w:rPr>
        <w:t>、隧道等生命线工程风险。</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14" w:name="_Toc30164"/>
      <w:bookmarkStart w:id="215" w:name="_Toc25517"/>
      <w:bookmarkStart w:id="216" w:name="_Toc8730"/>
      <w:bookmarkStart w:id="217" w:name="_Toc19542"/>
      <w:bookmarkStart w:id="218" w:name="_Toc24553"/>
      <w:bookmarkStart w:id="219" w:name="_Toc6399"/>
      <w:bookmarkStart w:id="220" w:name="_Toc8803"/>
      <w:bookmarkStart w:id="221" w:name="_Toc15959"/>
      <w:bookmarkStart w:id="222" w:name="_Toc17409"/>
      <w:bookmarkStart w:id="223" w:name="_Toc23190"/>
      <w:bookmarkStart w:id="224" w:name="_Toc581"/>
      <w:bookmarkStart w:id="225" w:name="_Toc9389"/>
      <w:r>
        <w:rPr>
          <w:rFonts w:hint="eastAsia" w:ascii="楷体_GB2312" w:hAnsi="楷体_GB2312" w:eastAsia="楷体_GB2312" w:cs="楷体_GB2312"/>
          <w:b w:val="0"/>
          <w:bCs w:val="0"/>
          <w:color w:val="auto"/>
          <w:spacing w:val="0"/>
          <w:sz w:val="32"/>
          <w:szCs w:val="32"/>
          <w:lang w:val="en-US" w:eastAsia="zh-CN"/>
        </w:rPr>
        <w:t>（4）水利工程风险</w:t>
      </w:r>
      <w:bookmarkEnd w:id="214"/>
      <w:bookmarkEnd w:id="215"/>
      <w:bookmarkEnd w:id="216"/>
      <w:bookmarkEnd w:id="217"/>
      <w:bookmarkEnd w:id="218"/>
      <w:bookmarkEnd w:id="219"/>
      <w:bookmarkEnd w:id="220"/>
      <w:bookmarkEnd w:id="221"/>
      <w:bookmarkEnd w:id="222"/>
      <w:bookmarkEnd w:id="223"/>
      <w:bookmarkEnd w:id="224"/>
      <w:bookmarkEnd w:id="225"/>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主要包括水库（水电站）、堤防、水闸、泵站、农村供水设施等风险。</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26" w:name="_Toc14296"/>
      <w:bookmarkStart w:id="227" w:name="_Toc9165"/>
      <w:bookmarkStart w:id="228" w:name="_Toc32153"/>
      <w:bookmarkStart w:id="229" w:name="_Toc8174"/>
      <w:bookmarkStart w:id="230" w:name="_Toc4293"/>
      <w:bookmarkStart w:id="231" w:name="_Toc20505"/>
      <w:bookmarkStart w:id="232" w:name="_Toc11209"/>
      <w:bookmarkStart w:id="233" w:name="_Toc27200"/>
      <w:bookmarkStart w:id="234" w:name="_Toc31109"/>
      <w:bookmarkStart w:id="235" w:name="_Toc5361"/>
      <w:bookmarkStart w:id="236" w:name="_Toc20531"/>
      <w:bookmarkStart w:id="237" w:name="_Toc15628"/>
      <w:bookmarkStart w:id="238" w:name="_Toc2424"/>
      <w:bookmarkStart w:id="239" w:name="_Toc4933"/>
      <w:bookmarkStart w:id="240" w:name="_Toc31820"/>
      <w:bookmarkStart w:id="241" w:name="_Toc22189"/>
      <w:r>
        <w:rPr>
          <w:rFonts w:hint="eastAsia" w:ascii="楷体_GB2312" w:hAnsi="楷体_GB2312" w:eastAsia="楷体_GB2312" w:cs="楷体_GB2312"/>
          <w:b w:val="0"/>
          <w:bCs w:val="0"/>
          <w:color w:val="auto"/>
          <w:spacing w:val="0"/>
          <w:sz w:val="32"/>
          <w:szCs w:val="32"/>
          <w:lang w:val="en-US" w:eastAsia="zh-CN"/>
        </w:rPr>
        <w:t>3.2 预报预警</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（1）自然资</w:t>
      </w:r>
      <w:r>
        <w:rPr>
          <w:rFonts w:hint="eastAsia" w:ascii="仿宋" w:hAnsi="仿宋" w:eastAsia="仿宋" w:cs="仿宋"/>
          <w:color w:val="auto"/>
          <w:sz w:val="32"/>
          <w:szCs w:val="32"/>
          <w:highlight w:val="none"/>
          <w:lang w:eastAsia="zh-CN"/>
        </w:rPr>
        <w:t>源部门会同气象部门开展地质灾害气象风险预报预警。三级、四级预报预警信息由自然资源部门和气象部门联合发布，二级以上预报预警信息经同级应急管理部门审定后，由应急管理和自然资源、气象部门联合</w:t>
      </w:r>
      <w:r>
        <w:rPr>
          <w:rFonts w:hint="eastAsia" w:ascii="仿宋" w:hAnsi="仿宋" w:eastAsia="仿宋" w:cs="仿宋"/>
          <w:color w:val="auto"/>
          <w:sz w:val="32"/>
          <w:szCs w:val="32"/>
          <w:lang w:eastAsia="zh-CN"/>
        </w:rPr>
        <w:t>发布，由市突发事件预警信息发布中心代为实施。预报预警信息内容主要包括：地质灾害可能发生的时间、地点、成灾范围、危险程度和应采取的防范措施等。</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（2）预警信息发布后，预警区域内的镇人民政府应立即将有关预警信息告知地质灾害防灾责任人、监测人和受威胁人员；并根据预警信息等级，协调做好各项应急准备工作。</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42" w:name="_Toc14848"/>
      <w:bookmarkStart w:id="243" w:name="_Toc9028"/>
      <w:bookmarkStart w:id="244" w:name="_Toc26057"/>
      <w:bookmarkStart w:id="245" w:name="_Toc7214"/>
      <w:bookmarkStart w:id="246" w:name="_Toc18028"/>
      <w:bookmarkStart w:id="247" w:name="_Toc32195"/>
      <w:bookmarkStart w:id="248" w:name="_Toc13363"/>
      <w:bookmarkStart w:id="249" w:name="_Toc4491"/>
      <w:bookmarkStart w:id="250" w:name="_Toc8828"/>
      <w:bookmarkStart w:id="251" w:name="_Toc11780"/>
      <w:bookmarkStart w:id="252" w:name="_Toc4918"/>
      <w:bookmarkStart w:id="253" w:name="_Toc15735"/>
      <w:bookmarkStart w:id="254" w:name="_Toc20361"/>
      <w:bookmarkStart w:id="255" w:name="_Toc24510"/>
      <w:bookmarkStart w:id="256" w:name="_Toc18235"/>
      <w:bookmarkStart w:id="257" w:name="_Toc31330"/>
      <w:r>
        <w:rPr>
          <w:rFonts w:hint="eastAsia" w:ascii="楷体_GB2312" w:hAnsi="楷体_GB2312" w:eastAsia="楷体_GB2312" w:cs="楷体_GB2312"/>
          <w:b w:val="0"/>
          <w:bCs w:val="0"/>
          <w:color w:val="auto"/>
          <w:spacing w:val="0"/>
          <w:sz w:val="32"/>
          <w:szCs w:val="32"/>
          <w:lang w:val="en-US" w:eastAsia="zh-CN"/>
        </w:rPr>
        <w:t>3.3 应急处置</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58" w:name="_Toc27707"/>
      <w:bookmarkStart w:id="259" w:name="_Toc17351"/>
      <w:bookmarkStart w:id="260" w:name="_Toc8271"/>
      <w:bookmarkStart w:id="261" w:name="_Toc15614"/>
      <w:bookmarkStart w:id="262" w:name="_Toc15572"/>
      <w:bookmarkStart w:id="263" w:name="_Toc19460"/>
      <w:bookmarkStart w:id="264" w:name="_Toc32132"/>
      <w:bookmarkStart w:id="265" w:name="_Toc9167"/>
      <w:bookmarkStart w:id="266" w:name="_Toc24128"/>
      <w:bookmarkStart w:id="267" w:name="_Toc18302"/>
      <w:bookmarkStart w:id="268" w:name="_Toc22697"/>
      <w:r>
        <w:rPr>
          <w:rFonts w:hint="eastAsia" w:ascii="楷体_GB2312" w:hAnsi="楷体_GB2312" w:eastAsia="楷体_GB2312" w:cs="楷体_GB2312"/>
          <w:b w:val="0"/>
          <w:bCs w:val="0"/>
          <w:color w:val="auto"/>
          <w:spacing w:val="0"/>
          <w:sz w:val="32"/>
          <w:szCs w:val="32"/>
          <w:lang w:val="en-US" w:eastAsia="zh-CN"/>
        </w:rPr>
        <w:t>3.3.1 信息报告</w:t>
      </w:r>
      <w:bookmarkEnd w:id="258"/>
      <w:bookmarkEnd w:id="259"/>
      <w:bookmarkEnd w:id="260"/>
      <w:bookmarkEnd w:id="261"/>
      <w:bookmarkEnd w:id="262"/>
      <w:bookmarkEnd w:id="263"/>
      <w:bookmarkEnd w:id="264"/>
      <w:bookmarkEnd w:id="265"/>
      <w:bookmarkEnd w:id="266"/>
      <w:bookmarkEnd w:id="267"/>
      <w:bookmarkEnd w:id="268"/>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报告时限。事发地人民政府及其有关部门按照规定报告地质灾害灾情险情。其中，接到较大以上地质灾害报告后，应立即向上一级党委、政府报告，并同时抄报上级政府应急管理、自然资源主管部门，最迟不得超过</w:t>
      </w:r>
      <w:r>
        <w:rPr>
          <w:rFonts w:hint="eastAsia" w:ascii="仿宋" w:hAnsi="仿宋" w:eastAsia="仿宋" w:cs="仿宋"/>
          <w:color w:val="auto"/>
          <w:sz w:val="32"/>
          <w:szCs w:val="32"/>
          <w:lang w:val="en-US" w:eastAsia="zh-CN"/>
        </w:rPr>
        <w:t>1小时</w:t>
      </w:r>
      <w:r>
        <w:rPr>
          <w:rFonts w:hint="eastAsia" w:ascii="仿宋" w:hAnsi="仿宋" w:eastAsia="仿宋" w:cs="仿宋"/>
          <w:color w:val="auto"/>
          <w:sz w:val="32"/>
          <w:szCs w:val="32"/>
          <w:lang w:eastAsia="zh-CN"/>
        </w:rPr>
        <w:t>。紧急情况下，可直接速报</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应急管理局、</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自然资源局</w:t>
      </w:r>
      <w:r>
        <w:rPr>
          <w:rFonts w:hint="eastAsia" w:ascii="仿宋" w:hAnsi="仿宋" w:eastAsia="仿宋" w:cs="仿宋"/>
          <w:color w:val="auto"/>
          <w:sz w:val="32"/>
          <w:szCs w:val="32"/>
          <w:lang w:val="en-US" w:eastAsia="zh-CN"/>
        </w:rPr>
        <w:t>清新分局</w:t>
      </w:r>
      <w:r>
        <w:rPr>
          <w:rFonts w:hint="eastAsia" w:ascii="仿宋" w:hAnsi="仿宋" w:eastAsia="仿宋" w:cs="仿宋"/>
          <w:color w:val="auto"/>
          <w:sz w:val="32"/>
          <w:szCs w:val="32"/>
          <w:lang w:eastAsia="zh-CN"/>
        </w:rPr>
        <w:t>，并同时抄报上一级党委、政府及有关部门。</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应急管理局接到较大以上地质灾害报告后1小时内速报</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委、</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政府和</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指挥部办公室（</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应急管理</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lang w:eastAsia="zh-CN"/>
        </w:rPr>
        <w:t>），并随时续报灾害处置进展情况。</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报告内容。突发地质灾害以“突发事件信息专报”形式上报，内容主要包括：地质灾害险情或灾情发生时间、地点，地质灾害类型、灾害体规模，灾害造成死亡、失踪或受伤人数，受威胁人数、潜在的财产损失、影响范围、引发因素和发展趋势，已采取的对策措施等。</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69" w:name="_Toc598"/>
      <w:bookmarkStart w:id="270" w:name="_Toc8083"/>
      <w:bookmarkStart w:id="271" w:name="_Toc8941"/>
      <w:bookmarkStart w:id="272" w:name="_Toc7937"/>
      <w:bookmarkStart w:id="273" w:name="_Toc27303"/>
      <w:bookmarkStart w:id="274" w:name="_Toc21992"/>
      <w:bookmarkStart w:id="275" w:name="_Toc15080"/>
      <w:bookmarkStart w:id="276" w:name="_Toc1200"/>
      <w:bookmarkStart w:id="277" w:name="_Toc155"/>
      <w:bookmarkStart w:id="278" w:name="_Toc27016"/>
      <w:bookmarkStart w:id="279" w:name="_Toc7996"/>
      <w:r>
        <w:rPr>
          <w:rFonts w:hint="eastAsia" w:ascii="楷体_GB2312" w:hAnsi="楷体_GB2312" w:eastAsia="楷体_GB2312" w:cs="楷体_GB2312"/>
          <w:b w:val="0"/>
          <w:bCs w:val="0"/>
          <w:color w:val="auto"/>
          <w:spacing w:val="0"/>
          <w:sz w:val="32"/>
          <w:szCs w:val="32"/>
          <w:lang w:val="en-US" w:eastAsia="zh-CN"/>
        </w:rPr>
        <w:t>3.3.2 先期处置</w:t>
      </w:r>
      <w:bookmarkEnd w:id="269"/>
      <w:bookmarkEnd w:id="270"/>
      <w:bookmarkEnd w:id="271"/>
      <w:bookmarkEnd w:id="272"/>
      <w:bookmarkEnd w:id="273"/>
      <w:bookmarkEnd w:id="274"/>
      <w:bookmarkEnd w:id="275"/>
      <w:bookmarkEnd w:id="276"/>
      <w:bookmarkEnd w:id="277"/>
      <w:bookmarkEnd w:id="278"/>
      <w:bookmarkEnd w:id="279"/>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灾区各镇应急（救援）指挥机构要按照地质灾害应急预案和上级有关部署，组织实施本行政区域应急救援工作；立即发动基层干部群众开展自救互救，组织基层抢险救援队伍开展人员搜救和医疗救护；开放应急避难场所，及时转移、安置受灾群众；防范次生灾害，维护社会治安。必要时，向上级提出援助请求。</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80" w:name="_Toc24426"/>
      <w:bookmarkStart w:id="281" w:name="_Toc22757"/>
      <w:bookmarkStart w:id="282" w:name="_Toc16116"/>
      <w:bookmarkStart w:id="283" w:name="_Toc18783"/>
      <w:bookmarkStart w:id="284" w:name="_Toc9090"/>
      <w:bookmarkStart w:id="285" w:name="_Toc16547"/>
      <w:bookmarkStart w:id="286" w:name="_Toc13083"/>
      <w:bookmarkStart w:id="287" w:name="_Toc714"/>
      <w:bookmarkStart w:id="288" w:name="_Toc1618"/>
      <w:bookmarkStart w:id="289" w:name="_Toc24235"/>
      <w:bookmarkStart w:id="290" w:name="_Toc26740"/>
      <w:r>
        <w:rPr>
          <w:rFonts w:hint="eastAsia" w:ascii="楷体_GB2312" w:hAnsi="楷体_GB2312" w:eastAsia="楷体_GB2312" w:cs="楷体_GB2312"/>
          <w:b w:val="0"/>
          <w:bCs w:val="0"/>
          <w:color w:val="auto"/>
          <w:spacing w:val="0"/>
          <w:sz w:val="32"/>
          <w:szCs w:val="32"/>
          <w:lang w:val="en-US" w:eastAsia="zh-CN"/>
        </w:rPr>
        <w:t>3.3.3 灾区监测</w:t>
      </w:r>
      <w:bookmarkEnd w:id="280"/>
      <w:bookmarkEnd w:id="281"/>
      <w:bookmarkEnd w:id="282"/>
      <w:bookmarkEnd w:id="283"/>
      <w:bookmarkEnd w:id="284"/>
      <w:bookmarkEnd w:id="285"/>
      <w:bookmarkEnd w:id="286"/>
      <w:bookmarkEnd w:id="287"/>
      <w:bookmarkEnd w:id="288"/>
      <w:bookmarkEnd w:id="289"/>
      <w:bookmarkEnd w:id="290"/>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根据突发地质灾害应急救援工作需要，市自然资源局清新分局组织专业技术人员，对灾区的地质灾害类型、发展趋势提出研判意见；加密灾区监测网，加强对次生地质灾害监测预警。区水利局组织水情、汛情监测。灾区所在地应急（救援）指挥机构安排专业力量加强空气、水源、土壤污染监测，减轻或消除污染危害。</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291" w:name="_Toc14390"/>
      <w:bookmarkStart w:id="292" w:name="_Toc18515"/>
      <w:bookmarkStart w:id="293" w:name="_Toc27254"/>
      <w:bookmarkStart w:id="294" w:name="_Toc22220"/>
      <w:bookmarkStart w:id="295" w:name="_Toc554"/>
      <w:bookmarkStart w:id="296" w:name="_Toc12965"/>
      <w:bookmarkStart w:id="297" w:name="_Toc22013"/>
      <w:bookmarkStart w:id="298" w:name="_Toc27653"/>
      <w:bookmarkStart w:id="299" w:name="_Toc22890"/>
      <w:bookmarkStart w:id="300" w:name="_Toc12540"/>
      <w:bookmarkStart w:id="301" w:name="_Toc12782"/>
      <w:bookmarkStart w:id="302" w:name="_Toc17027"/>
      <w:bookmarkStart w:id="303" w:name="_Toc17388"/>
      <w:bookmarkStart w:id="304" w:name="_Toc32715"/>
      <w:bookmarkStart w:id="305" w:name="_Toc26831"/>
      <w:bookmarkStart w:id="306" w:name="_Toc31882"/>
      <w:r>
        <w:rPr>
          <w:rFonts w:hint="eastAsia" w:ascii="楷体_GB2312" w:hAnsi="楷体_GB2312" w:eastAsia="楷体_GB2312" w:cs="楷体_GB2312"/>
          <w:b w:val="0"/>
          <w:bCs w:val="0"/>
          <w:color w:val="auto"/>
          <w:spacing w:val="0"/>
          <w:sz w:val="32"/>
          <w:szCs w:val="32"/>
          <w:lang w:val="en-US" w:eastAsia="zh-CN"/>
        </w:rPr>
        <w:t>3.3.4 响应启动</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按照地质灾害危害程度、影响范围及其引发的次生灾害类别，有关单位按照其职责及相关应急预案启动应急响应。当同时发生两种以上的灾害且分别发布不同预警等级时，按照最高预警等级灾种启动应急响应。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突发地质灾害应急响应级别分为</w:t>
      </w:r>
      <w:r>
        <w:rPr>
          <w:rFonts w:hint="eastAsia" w:ascii="Times New Roman" w:hAnsi="Times New Roman" w:cs="Times New Roman"/>
          <w:color w:val="auto"/>
          <w:lang w:eastAsia="zh-CN"/>
        </w:rPr>
        <w:t>I</w:t>
      </w:r>
      <w:r>
        <w:rPr>
          <w:rFonts w:hint="eastAsia" w:ascii="仿宋" w:hAnsi="仿宋" w:eastAsia="仿宋" w:cs="仿宋"/>
          <w:color w:val="auto"/>
          <w:sz w:val="32"/>
          <w:szCs w:val="32"/>
          <w:lang w:eastAsia="zh-CN"/>
        </w:rPr>
        <w:t>级、Ⅱ级、Ⅲ级、Ⅳ级四个等级。</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307" w:name="_Toc17630"/>
      <w:bookmarkStart w:id="308" w:name="_Toc3469"/>
      <w:bookmarkStart w:id="309" w:name="_Toc31683"/>
      <w:bookmarkStart w:id="310" w:name="_Toc30250"/>
      <w:bookmarkStart w:id="311" w:name="_Toc18539"/>
      <w:bookmarkStart w:id="312" w:name="_Toc28658"/>
      <w:bookmarkStart w:id="313" w:name="_Toc13931"/>
      <w:bookmarkStart w:id="314" w:name="_Toc29205"/>
      <w:bookmarkStart w:id="315" w:name="_Toc1770"/>
      <w:bookmarkStart w:id="316" w:name="_Toc22114"/>
      <w:r>
        <w:rPr>
          <w:rFonts w:hint="eastAsia" w:ascii="楷体_GB2312" w:hAnsi="楷体_GB2312" w:eastAsia="楷体_GB2312" w:cs="楷体_GB2312"/>
          <w:b w:val="0"/>
          <w:bCs w:val="0"/>
          <w:color w:val="auto"/>
          <w:spacing w:val="0"/>
          <w:sz w:val="32"/>
          <w:szCs w:val="32"/>
          <w:lang w:val="en-US" w:eastAsia="zh-CN"/>
        </w:rPr>
        <w:t>3.3.4.1  I级响应</w:t>
      </w:r>
      <w:bookmarkEnd w:id="307"/>
      <w:bookmarkEnd w:id="308"/>
      <w:bookmarkEnd w:id="309"/>
      <w:bookmarkEnd w:id="310"/>
      <w:bookmarkEnd w:id="311"/>
      <w:bookmarkEnd w:id="312"/>
      <w:bookmarkEnd w:id="313"/>
      <w:bookmarkEnd w:id="314"/>
      <w:bookmarkEnd w:id="315"/>
      <w:bookmarkEnd w:id="31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发生30人以上死亡（含失踪）的地质灾害，或者发生直接威胁人数在</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lang w:eastAsia="zh-CN"/>
        </w:rPr>
        <w:t>00人以上</w:t>
      </w:r>
      <w:r>
        <w:rPr>
          <w:rFonts w:hint="eastAsia" w:ascii="仿宋" w:hAnsi="仿宋" w:eastAsia="仿宋" w:cs="仿宋"/>
          <w:color w:val="auto"/>
          <w:sz w:val="32"/>
          <w:szCs w:val="32"/>
          <w:lang w:val="en-US" w:eastAsia="zh-CN"/>
        </w:rPr>
        <w:t>以及其他达到特大型地质灾害条件</w:t>
      </w:r>
      <w:r>
        <w:rPr>
          <w:rFonts w:hint="eastAsia" w:ascii="仿宋" w:hAnsi="仿宋" w:eastAsia="仿宋" w:cs="仿宋"/>
          <w:color w:val="auto"/>
          <w:sz w:val="32"/>
          <w:szCs w:val="32"/>
          <w:lang w:eastAsia="zh-CN"/>
        </w:rPr>
        <w:t>的地质灾害险情，区人民政府立即启动相关的应急预案，部署本行政区域内的地质灾害应急防治与救灾工作，报请市人民政府启动</w:t>
      </w:r>
      <w:r>
        <w:rPr>
          <w:rFonts w:hint="eastAsia" w:ascii="Times New Roman" w:hAnsi="Times New Roman" w:cs="Times New Roman"/>
          <w:color w:val="auto"/>
          <w:lang w:eastAsia="zh-CN"/>
        </w:rPr>
        <w:t>I</w:t>
      </w:r>
      <w:r>
        <w:rPr>
          <w:rFonts w:hint="eastAsia" w:ascii="仿宋" w:hAnsi="仿宋" w:eastAsia="仿宋" w:cs="仿宋"/>
          <w:color w:val="auto"/>
          <w:sz w:val="32"/>
          <w:szCs w:val="32"/>
          <w:lang w:eastAsia="zh-CN"/>
        </w:rPr>
        <w:t>级应急响应。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地质灾害发生地的镇人民政府应当依照群测群防责任制的规定，立即将有关信息通知到地质灾害危险点的防灾责任人、监测人和该区域内的群众，对是否转移群众和采取的应急措施做出决策；及时划定地质灾害危险区，设立明显的危险区警示标志，确定预警信号和撤离路线，组织群众转移避让或采取排险防治措施，根据险情和灾情具体情况提出应急对策，情况危急时应强制组织受威胁群众避灾疏散。</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区指挥部立即组织指挥部成员和专家赶赴现场，指导受灾镇人民政府开展应急处置工作，及时核实灾情和险情，并向市指挥部办公室报告应急处置措施和有关处置情况，全力配合国家、省、市指挥部开展应急处置工作。</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317" w:name="_Toc27518"/>
      <w:bookmarkStart w:id="318" w:name="_Toc30129"/>
      <w:bookmarkStart w:id="319" w:name="_Toc16385"/>
      <w:bookmarkStart w:id="320" w:name="_Toc13170"/>
      <w:bookmarkStart w:id="321" w:name="_Toc23989"/>
      <w:bookmarkStart w:id="322" w:name="_Toc15830"/>
      <w:bookmarkStart w:id="323" w:name="_Toc22689"/>
      <w:bookmarkStart w:id="324" w:name="_Toc27267"/>
      <w:bookmarkStart w:id="325" w:name="_Toc23372"/>
      <w:bookmarkStart w:id="326" w:name="_Toc6310"/>
      <w:r>
        <w:rPr>
          <w:rFonts w:hint="eastAsia" w:ascii="楷体_GB2312" w:hAnsi="楷体_GB2312" w:eastAsia="楷体_GB2312" w:cs="楷体_GB2312"/>
          <w:b w:val="0"/>
          <w:bCs w:val="0"/>
          <w:color w:val="auto"/>
          <w:spacing w:val="0"/>
          <w:sz w:val="32"/>
          <w:szCs w:val="32"/>
          <w:lang w:val="en-US" w:eastAsia="zh-CN"/>
        </w:rPr>
        <w:t>3.3.4.2   II级响应</w:t>
      </w:r>
      <w:bookmarkEnd w:id="317"/>
      <w:bookmarkEnd w:id="318"/>
      <w:bookmarkEnd w:id="319"/>
      <w:bookmarkEnd w:id="320"/>
      <w:bookmarkEnd w:id="321"/>
      <w:bookmarkEnd w:id="322"/>
      <w:bookmarkEnd w:id="323"/>
      <w:bookmarkEnd w:id="324"/>
      <w:bookmarkEnd w:id="325"/>
      <w:bookmarkEnd w:id="32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发生10人以上、30人以下死亡（含失踪）的地质灾害，或者发生直接威胁人数为</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00人以上、</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lang w:eastAsia="zh-CN"/>
        </w:rPr>
        <w:t>00人以下</w:t>
      </w:r>
      <w:r>
        <w:rPr>
          <w:rFonts w:hint="eastAsia" w:ascii="仿宋" w:hAnsi="仿宋" w:eastAsia="仿宋" w:cs="仿宋"/>
          <w:color w:val="auto"/>
          <w:sz w:val="32"/>
          <w:szCs w:val="32"/>
          <w:lang w:val="en-US" w:eastAsia="zh-CN"/>
        </w:rPr>
        <w:t>以及其他达到大型地质灾害条件</w:t>
      </w:r>
      <w:r>
        <w:rPr>
          <w:rFonts w:hint="eastAsia" w:ascii="仿宋" w:hAnsi="仿宋" w:eastAsia="仿宋" w:cs="仿宋"/>
          <w:color w:val="auto"/>
          <w:sz w:val="32"/>
          <w:szCs w:val="32"/>
          <w:lang w:eastAsia="zh-CN"/>
        </w:rPr>
        <w:t>的的地质灾害险情，区人民政府立即启动相关的应急预案，部署本行政区域内的地质灾害应急防治与救灾工作，报请市指挥部启动Ⅱ级应急响应。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地质灾害发生地的镇人民政府应当依照群测群防责任制的规定，立即将有关信息通知到地质灾害危险点的防灾责任人、监测人和该区域内的群众，对是否转移群众和采取的应急措施做出决策；及时划定地质灾害危险区，设立明显的危险区警示标志，确定预警信号和撤离路线，组织群众转移避让或采取排险防治措施，根据险情和灾情具体情况提出应急对策，情况危急时应强制组织受威胁群众避灾疏散。</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区指挥部立即组织指挥部成员和专家赶赴现场，指导受灾镇人民政府开展应急处置工作，及时核实灾情和险情，并向</w:t>
      </w:r>
      <w:r>
        <w:rPr>
          <w:rFonts w:hint="eastAsia" w:ascii="仿宋" w:hAnsi="仿宋" w:eastAsia="仿宋" w:cs="仿宋"/>
          <w:color w:val="auto"/>
          <w:sz w:val="32"/>
          <w:szCs w:val="32"/>
          <w:lang w:val="en-US" w:eastAsia="zh-CN"/>
        </w:rPr>
        <w:t>省、</w:t>
      </w:r>
      <w:r>
        <w:rPr>
          <w:rFonts w:hint="eastAsia" w:ascii="仿宋" w:hAnsi="仿宋" w:eastAsia="仿宋" w:cs="仿宋"/>
          <w:color w:val="auto"/>
          <w:sz w:val="32"/>
          <w:szCs w:val="32"/>
          <w:lang w:eastAsia="zh-CN"/>
        </w:rPr>
        <w:t>市指挥部办公室报告应急处置措施和有关处置情况，全力配合市指挥部开展应急处置工作。</w:t>
      </w:r>
    </w:p>
    <w:p>
      <w:pPr>
        <w:pStyle w:val="4"/>
        <w:keepNext w:val="0"/>
        <w:pageBreakBefore w:val="0"/>
        <w:widowControl/>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rPr>
      </w:pPr>
      <w:bookmarkStart w:id="327" w:name="_Toc11567"/>
      <w:bookmarkStart w:id="328" w:name="_Toc6712"/>
      <w:bookmarkStart w:id="329" w:name="_Toc12749"/>
      <w:bookmarkStart w:id="330" w:name="_Toc16257"/>
      <w:bookmarkStart w:id="331" w:name="_Toc2191"/>
      <w:bookmarkStart w:id="332" w:name="_Toc3999"/>
      <w:bookmarkStart w:id="333" w:name="_Toc13203"/>
      <w:bookmarkStart w:id="334" w:name="_Toc14690"/>
      <w:bookmarkStart w:id="335" w:name="_Toc18752"/>
      <w:bookmarkStart w:id="336" w:name="_Toc20686"/>
      <w:r>
        <w:rPr>
          <w:rFonts w:hint="eastAsia" w:ascii="楷体_GB2312" w:hAnsi="楷体_GB2312" w:eastAsia="楷体_GB2312" w:cs="楷体_GB2312"/>
          <w:b w:val="0"/>
          <w:bCs w:val="0"/>
          <w:color w:val="auto"/>
          <w:spacing w:val="0"/>
          <w:sz w:val="32"/>
          <w:szCs w:val="32"/>
          <w:lang w:val="en-US" w:eastAsia="zh-CN"/>
        </w:rPr>
        <w:t>3.3.4.3   III级响应</w:t>
      </w:r>
      <w:bookmarkEnd w:id="327"/>
      <w:bookmarkEnd w:id="328"/>
      <w:bookmarkEnd w:id="329"/>
      <w:bookmarkEnd w:id="330"/>
      <w:bookmarkEnd w:id="331"/>
      <w:bookmarkEnd w:id="332"/>
      <w:bookmarkEnd w:id="333"/>
      <w:bookmarkEnd w:id="334"/>
      <w:bookmarkEnd w:id="335"/>
      <w:bookmarkEnd w:id="33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发生3人以上、10人以下死亡（含失踪）的地质灾害，或者发生直接威胁人数为100人以上、</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00人以下的地质灾害险情，区指挥部立即组织各单位成员和专家进行分析研判，对突发地质灾害影响及其发展趋势进行综合评估，报请区人民政府启动Ⅲ级应急响应，向各有关单位发布启动相关应急程序的命令。区指挥部指挥长到区指挥部坐镇指挥应急救援工作。区指挥部有关成员单位派员到区指挥部参与联合值守，随时报告灾情信息。区指挥部副指挥长（区应急管理局局长）和办公室主任带领工作组赶赴灾区，积极开展应急处置工作，并将有关情况迅速报告市指挥部和市应急管理局。</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地质灾害发生地的镇人民政府应当依照群测群防责任制的规定，立即将有关信息通知到地质灾害危险点的防灾责任人、监测人和该区域内的群众，对是否转移群众和采取的应急措施做出决策；及时划定地质灾害危险区，设立明显的危险区警示标志，确定预警信号和撤离路线，组织群众转移避让或采取排险防治措施，根据险情和灾情具体情况提出应急对策，情况危急时应强制组织受威胁群众避灾疏散。</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37" w:name="_Toc9072"/>
      <w:bookmarkStart w:id="338" w:name="_Toc32366"/>
      <w:bookmarkStart w:id="339" w:name="_Toc30180"/>
      <w:bookmarkStart w:id="340" w:name="_Toc31166"/>
      <w:bookmarkStart w:id="341" w:name="_Toc17084"/>
      <w:bookmarkStart w:id="342" w:name="_Toc19326"/>
      <w:bookmarkStart w:id="343" w:name="_Toc5625"/>
      <w:bookmarkStart w:id="344" w:name="_Toc28869"/>
      <w:bookmarkStart w:id="345" w:name="_Toc30662"/>
      <w:bookmarkStart w:id="346" w:name="_Toc8734"/>
      <w:r>
        <w:rPr>
          <w:rFonts w:hint="eastAsia" w:ascii="楷体_GB2312" w:hAnsi="楷体_GB2312" w:eastAsia="楷体_GB2312" w:cs="楷体_GB2312"/>
          <w:b w:val="0"/>
          <w:bCs w:val="0"/>
          <w:color w:val="auto"/>
          <w:spacing w:val="0"/>
          <w:sz w:val="32"/>
          <w:szCs w:val="32"/>
          <w:lang w:val="en-US" w:eastAsia="zh-CN" w:bidi="ar-SA"/>
        </w:rPr>
        <w:t>3.3.4.4   Ⅳ级响应</w:t>
      </w:r>
      <w:bookmarkEnd w:id="337"/>
      <w:bookmarkEnd w:id="338"/>
      <w:bookmarkEnd w:id="339"/>
      <w:bookmarkEnd w:id="340"/>
      <w:bookmarkEnd w:id="341"/>
      <w:bookmarkEnd w:id="342"/>
      <w:bookmarkEnd w:id="343"/>
      <w:bookmarkEnd w:id="344"/>
      <w:bookmarkEnd w:id="345"/>
      <w:bookmarkEnd w:id="346"/>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生3人以下死亡（含失踪）的地质灾害，或者发生直接威胁人数为100人以下的地质灾害险情，区突发地质灾害应急指挥机构立即组织各单位成员和专家进行分析研判，对突发地质灾害影响及其发展趋势进行综合评估，由应急指挥机构主要负责同志决定启动Ⅳ级应急响应，向各有关单位发布启动相关应急程序的命令，并立即将有关信息通知到地质灾害危险点的防灾责任人、监测人和该区域内的群众，对是否转移群众和采取的应急措施做出决策；及时划定地质灾害危险区，设立明显的危险区警示标志，确定预警信号和撤离路线，组织群众转移避让或采取排险防治措施，根据险情和灾情具体情况提出应急对策，情况危急时应强制组织受威胁群众避灾疏散。</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必要时，区应急管理局、市自然资源局清新分局派出工作组赶赴灾害现场，指导镇人民政府地质灾害应急指挥机构做好地质灾害应急处置工作。</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47" w:name="_Toc9372"/>
      <w:bookmarkStart w:id="348" w:name="_Toc2970"/>
      <w:bookmarkStart w:id="349" w:name="_Toc6680"/>
      <w:bookmarkStart w:id="350" w:name="_Toc14026"/>
      <w:bookmarkStart w:id="351" w:name="_Toc1276"/>
      <w:bookmarkStart w:id="352" w:name="_Toc408"/>
      <w:bookmarkStart w:id="353" w:name="_Toc14883"/>
      <w:bookmarkStart w:id="354" w:name="_Toc5419"/>
      <w:bookmarkStart w:id="355" w:name="_Toc18587"/>
      <w:bookmarkStart w:id="356" w:name="_Toc30055"/>
      <w:bookmarkStart w:id="357" w:name="_Toc29415"/>
      <w:bookmarkStart w:id="358" w:name="_Toc16142"/>
      <w:bookmarkStart w:id="359" w:name="_Toc1192"/>
      <w:bookmarkStart w:id="360" w:name="_Toc18258"/>
      <w:bookmarkStart w:id="361" w:name="_Toc18364"/>
      <w:bookmarkStart w:id="362" w:name="_Toc15903"/>
      <w:r>
        <w:rPr>
          <w:rFonts w:hint="eastAsia" w:ascii="楷体_GB2312" w:hAnsi="楷体_GB2312" w:eastAsia="楷体_GB2312" w:cs="楷体_GB2312"/>
          <w:b w:val="0"/>
          <w:bCs w:val="0"/>
          <w:color w:val="auto"/>
          <w:spacing w:val="0"/>
          <w:sz w:val="32"/>
          <w:szCs w:val="32"/>
          <w:lang w:val="en-US" w:eastAsia="zh-CN" w:bidi="ar-SA"/>
        </w:rPr>
        <w:t>3.3.5 现场处置</w:t>
      </w:r>
      <w:bookmarkEnd w:id="347"/>
      <w:bookmarkEnd w:id="348"/>
      <w:bookmarkEnd w:id="349"/>
      <w:bookmarkEnd w:id="350"/>
      <w:bookmarkEnd w:id="351"/>
      <w:bookmarkEnd w:id="352"/>
      <w:bookmarkEnd w:id="353"/>
      <w:bookmarkEnd w:id="354"/>
      <w:bookmarkEnd w:id="355"/>
      <w:bookmarkEnd w:id="356"/>
      <w:bookmarkEnd w:id="357"/>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地质灾害现场应急处置，由灾害发生地人民政府或相应应急（救援）指挥机构统一组织，根据需要可成立现场应急（救援）指挥部，实行现场指挥官制度，统一指挥调度，各有关单位按照职责参与应急处置工作。</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63" w:name="_Toc11864"/>
      <w:bookmarkStart w:id="364" w:name="_Toc8850"/>
      <w:bookmarkStart w:id="365" w:name="_Toc30760"/>
      <w:bookmarkStart w:id="366" w:name="_Toc1789"/>
      <w:bookmarkStart w:id="367" w:name="_Toc24411"/>
      <w:bookmarkStart w:id="368" w:name="_Toc18265"/>
      <w:bookmarkStart w:id="369" w:name="_Toc7049"/>
      <w:bookmarkStart w:id="370" w:name="_Toc12746"/>
      <w:bookmarkStart w:id="371" w:name="_Toc25935"/>
      <w:bookmarkStart w:id="372" w:name="_Toc24645"/>
      <w:r>
        <w:rPr>
          <w:rFonts w:hint="eastAsia" w:ascii="楷体_GB2312" w:hAnsi="楷体_GB2312" w:eastAsia="楷体_GB2312" w:cs="楷体_GB2312"/>
          <w:b w:val="0"/>
          <w:bCs w:val="0"/>
          <w:color w:val="auto"/>
          <w:spacing w:val="0"/>
          <w:sz w:val="32"/>
          <w:szCs w:val="32"/>
          <w:lang w:val="en-US" w:eastAsia="zh-CN" w:bidi="ar-SA"/>
        </w:rPr>
        <w:t>3.3.5.1 搜救人员</w:t>
      </w:r>
      <w:bookmarkEnd w:id="363"/>
      <w:bookmarkEnd w:id="364"/>
      <w:bookmarkEnd w:id="365"/>
      <w:bookmarkEnd w:id="366"/>
      <w:bookmarkEnd w:id="367"/>
      <w:bookmarkEnd w:id="368"/>
      <w:bookmarkEnd w:id="369"/>
      <w:bookmarkEnd w:id="370"/>
      <w:bookmarkEnd w:id="371"/>
      <w:bookmarkEnd w:id="37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立即组织基层组织、有关单位和广大干部群众开展自救互救，立即采取交通管控等措施，组织协调</w:t>
      </w:r>
      <w:r>
        <w:rPr>
          <w:rFonts w:hint="eastAsia" w:ascii="仿宋" w:hAnsi="仿宋" w:eastAsia="仿宋" w:cs="仿宋"/>
          <w:color w:val="auto"/>
          <w:sz w:val="32"/>
          <w:szCs w:val="32"/>
          <w:highlight w:val="none"/>
          <w:lang w:eastAsia="zh-CN"/>
        </w:rPr>
        <w:t>当地部队、</w:t>
      </w:r>
      <w:r>
        <w:rPr>
          <w:rFonts w:hint="eastAsia" w:ascii="仿宋" w:hAnsi="仿宋" w:eastAsia="仿宋" w:cs="仿宋"/>
          <w:color w:val="auto"/>
          <w:sz w:val="32"/>
          <w:szCs w:val="32"/>
          <w:highlight w:val="none"/>
          <w:lang w:eastAsia="zh-CN"/>
        </w:rPr>
        <w:t>武警部队、民兵、消防救援、建筑和市政等各方面救援力量，调配大</w:t>
      </w:r>
      <w:r>
        <w:rPr>
          <w:rFonts w:hint="eastAsia" w:ascii="仿宋" w:hAnsi="仿宋" w:eastAsia="仿宋" w:cs="仿宋"/>
          <w:color w:val="auto"/>
          <w:sz w:val="32"/>
          <w:szCs w:val="32"/>
          <w:lang w:eastAsia="zh-CN"/>
        </w:rPr>
        <w:t>型吊车、起重机、挖掘机、生命探测仪等救援装备，抢救被掩埋人员，组织营救受灾被困人员。在灾区所在地质灾害应急指挥部统一领导协调下，现场救援队伍之间加强衔接和配合，合理划分责任区边界，遇有危险时及时传递警报，做好自身安全防护。</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73" w:name="_Toc9955"/>
      <w:bookmarkStart w:id="374" w:name="_Toc11168"/>
      <w:bookmarkStart w:id="375" w:name="_Toc14285"/>
      <w:bookmarkStart w:id="376" w:name="_Toc12616"/>
      <w:bookmarkStart w:id="377" w:name="_Toc14351"/>
      <w:bookmarkStart w:id="378" w:name="_Toc23662"/>
      <w:bookmarkStart w:id="379" w:name="_Toc32192"/>
      <w:bookmarkStart w:id="380" w:name="_Toc31128"/>
      <w:bookmarkStart w:id="381" w:name="_Toc28178"/>
      <w:bookmarkStart w:id="382" w:name="_Toc30104"/>
      <w:r>
        <w:rPr>
          <w:rFonts w:hint="eastAsia" w:ascii="楷体_GB2312" w:hAnsi="楷体_GB2312" w:eastAsia="楷体_GB2312" w:cs="楷体_GB2312"/>
          <w:b w:val="0"/>
          <w:bCs w:val="0"/>
          <w:color w:val="auto"/>
          <w:spacing w:val="0"/>
          <w:sz w:val="32"/>
          <w:szCs w:val="32"/>
          <w:lang w:val="en-US" w:eastAsia="zh-CN" w:bidi="ar-SA"/>
        </w:rPr>
        <w:t>3.3.5.2 开展医疗救治和卫生防疫</w:t>
      </w:r>
      <w:bookmarkEnd w:id="373"/>
      <w:bookmarkEnd w:id="374"/>
      <w:bookmarkEnd w:id="375"/>
      <w:bookmarkEnd w:id="376"/>
      <w:bookmarkEnd w:id="377"/>
      <w:bookmarkEnd w:id="378"/>
      <w:bookmarkEnd w:id="379"/>
      <w:bookmarkEnd w:id="380"/>
      <w:bookmarkEnd w:id="381"/>
      <w:bookmarkEnd w:id="38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迅速协调组织应急医疗队伍赶赴现场，抢救受伤人员，必要时建立现场医疗点，实施现场救治。加强救护车、医疗器械、药品和血浆的组织调度，特别是加大对重灾区及偏远地区医疗器械、药品供应，确保被救人员得到及时医治，最大程度减少伤员致死、致残。统筹周边地区的医疗资源，根据需要分流重伤员，实施异地救治。开展灾后心理援助。</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加强灾区卫生防疫工作。及时对灾区水源进行监测消毒，加强饮用水卫生监督；妥善处置遇难者遗体，做好死亡动物、医疗废弃物、生活垃圾、粪便等消毒和无害化处理。</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加强鼠疫、狂犬病的监测、防控和处理，及时接种疫苗；实行重大传染病和突发卫生事件每日报告制度。</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83" w:name="_Toc22642"/>
      <w:bookmarkStart w:id="384" w:name="_Toc29615"/>
      <w:bookmarkStart w:id="385" w:name="_Toc25740"/>
      <w:bookmarkStart w:id="386" w:name="_Toc2037"/>
      <w:bookmarkStart w:id="387" w:name="_Toc8724"/>
      <w:bookmarkStart w:id="388" w:name="_Toc18391"/>
      <w:bookmarkStart w:id="389" w:name="_Toc21786"/>
      <w:bookmarkStart w:id="390" w:name="_Toc30207"/>
      <w:bookmarkStart w:id="391" w:name="_Toc18428"/>
      <w:bookmarkStart w:id="392" w:name="_Toc3447"/>
      <w:r>
        <w:rPr>
          <w:rFonts w:hint="eastAsia" w:ascii="楷体_GB2312" w:hAnsi="楷体_GB2312" w:eastAsia="楷体_GB2312" w:cs="楷体_GB2312"/>
          <w:b w:val="0"/>
          <w:bCs w:val="0"/>
          <w:color w:val="auto"/>
          <w:spacing w:val="0"/>
          <w:sz w:val="32"/>
          <w:szCs w:val="32"/>
          <w:lang w:val="en-US" w:eastAsia="zh-CN" w:bidi="ar-SA"/>
        </w:rPr>
        <w:t>3.3.5.3 安置受灾群众</w:t>
      </w:r>
      <w:bookmarkEnd w:id="383"/>
      <w:bookmarkEnd w:id="384"/>
      <w:bookmarkEnd w:id="385"/>
      <w:bookmarkEnd w:id="386"/>
      <w:bookmarkEnd w:id="387"/>
      <w:bookmarkEnd w:id="388"/>
      <w:bookmarkEnd w:id="389"/>
      <w:bookmarkEnd w:id="390"/>
      <w:bookmarkEnd w:id="391"/>
      <w:bookmarkEnd w:id="39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开放应急避难场所，组织筹集和调运食品、饮用水、衣被、帐篷、移动厕所等各类救灾物资，解决受灾群众吃饭、饮水、穿衣、住处等问题；在受灾村镇设置生活用品发放点，确保生活用品的有序发放；根据需要组织生产、调运、安装活动板房和简易房；在受灾群众集中安置点配备必要的消防设备器材，严防火灾发生。救灾物资优先保证学校、医院、福利院的需要；优先安置孤儿、孤老及残疾人员，确保其基本生活。鼓励采取投亲靠友等方式，广泛动员社会力量安置受灾群众。</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做好遇难人员的善后工作，抚慰遇难者家属；积极创造条件，组织灾区学校复课。</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393" w:name="_Toc27928"/>
      <w:bookmarkStart w:id="394" w:name="_Toc17556"/>
      <w:bookmarkStart w:id="395" w:name="_Toc30797"/>
      <w:bookmarkStart w:id="396" w:name="_Toc18730"/>
      <w:bookmarkStart w:id="397" w:name="_Toc29345"/>
      <w:bookmarkStart w:id="398" w:name="_Toc20894"/>
      <w:bookmarkStart w:id="399" w:name="_Toc14154"/>
      <w:bookmarkStart w:id="400" w:name="_Toc26298"/>
      <w:bookmarkStart w:id="401" w:name="_Toc31828"/>
      <w:bookmarkStart w:id="402" w:name="_Toc277"/>
      <w:r>
        <w:rPr>
          <w:rFonts w:hint="eastAsia" w:ascii="楷体_GB2312" w:hAnsi="楷体_GB2312" w:eastAsia="楷体_GB2312" w:cs="楷体_GB2312"/>
          <w:b w:val="0"/>
          <w:bCs w:val="0"/>
          <w:color w:val="auto"/>
          <w:spacing w:val="0"/>
          <w:sz w:val="32"/>
          <w:szCs w:val="32"/>
          <w:lang w:val="en-US" w:eastAsia="zh-CN" w:bidi="ar-SA"/>
        </w:rPr>
        <w:t>3.3.5.4 抢修基础设施</w:t>
      </w:r>
      <w:bookmarkEnd w:id="393"/>
      <w:bookmarkEnd w:id="394"/>
      <w:bookmarkEnd w:id="395"/>
      <w:bookmarkEnd w:id="396"/>
      <w:bookmarkEnd w:id="397"/>
      <w:bookmarkEnd w:id="398"/>
      <w:bookmarkEnd w:id="399"/>
      <w:bookmarkEnd w:id="400"/>
      <w:bookmarkEnd w:id="401"/>
      <w:bookmarkEnd w:id="40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抢通修复因灾损毁的公路、桥梁、隧道、码头等交通基础设施，协调运力，优先保障应急抢险救援人员、救灾物资和伤病人员的运输需要。抢修供电、供水、供气、通信、广播电视等基础设施，保障灾区群众基本生活需要和应急工作需要。</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03" w:name="_Toc4393"/>
      <w:bookmarkStart w:id="404" w:name="_Toc13026"/>
      <w:bookmarkStart w:id="405" w:name="_Toc14225"/>
      <w:bookmarkStart w:id="406" w:name="_Toc14207"/>
      <w:bookmarkStart w:id="407" w:name="_Toc2067"/>
      <w:bookmarkStart w:id="408" w:name="_Toc21649"/>
      <w:bookmarkStart w:id="409" w:name="_Toc20750"/>
      <w:bookmarkStart w:id="410" w:name="_Toc1818"/>
      <w:bookmarkStart w:id="411" w:name="_Toc11946"/>
      <w:bookmarkStart w:id="412" w:name="_Toc8192"/>
      <w:r>
        <w:rPr>
          <w:rFonts w:hint="eastAsia" w:ascii="楷体_GB2312" w:hAnsi="楷体_GB2312" w:eastAsia="楷体_GB2312" w:cs="楷体_GB2312"/>
          <w:b w:val="0"/>
          <w:bCs w:val="0"/>
          <w:color w:val="auto"/>
          <w:spacing w:val="0"/>
          <w:sz w:val="32"/>
          <w:szCs w:val="32"/>
          <w:lang w:val="en-US" w:eastAsia="zh-CN" w:bidi="ar-SA"/>
        </w:rPr>
        <w:t>3.3.5.5 加强现场监测</w:t>
      </w:r>
      <w:bookmarkEnd w:id="403"/>
      <w:bookmarkEnd w:id="404"/>
      <w:bookmarkEnd w:id="405"/>
      <w:bookmarkEnd w:id="406"/>
      <w:bookmarkEnd w:id="407"/>
      <w:bookmarkEnd w:id="408"/>
      <w:bookmarkEnd w:id="409"/>
      <w:bookmarkEnd w:id="410"/>
      <w:bookmarkEnd w:id="411"/>
      <w:bookmarkEnd w:id="41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属地镇政府会同自然资源部门负责组织布设或恢复灾害现场及周边观测设施，加强灾害现场及周边地质灾害动态监测，依据监测结果进行分析研判并及时发出预报预警。气象部门加强气象监测研判，密切关注灾区重大气象变化，发布实时气象预报预警，确保救援现场人员安全。灾区所在地地质灾害应急指挥部安排专业力量加强空气、水源、土壤污染监测，减轻或消除污染危害。</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13" w:name="_Toc16800"/>
      <w:bookmarkStart w:id="414" w:name="_Toc12250"/>
      <w:bookmarkStart w:id="415" w:name="_Toc31107"/>
      <w:bookmarkStart w:id="416" w:name="_Toc955"/>
      <w:bookmarkStart w:id="417" w:name="_Toc20772"/>
      <w:bookmarkStart w:id="418" w:name="_Toc15798"/>
      <w:bookmarkStart w:id="419" w:name="_Toc16072"/>
      <w:bookmarkStart w:id="420" w:name="_Toc15840"/>
      <w:bookmarkStart w:id="421" w:name="_Toc236"/>
      <w:bookmarkStart w:id="422" w:name="_Toc2345"/>
      <w:r>
        <w:rPr>
          <w:rFonts w:hint="eastAsia" w:ascii="楷体_GB2312" w:hAnsi="楷体_GB2312" w:eastAsia="楷体_GB2312" w:cs="楷体_GB2312"/>
          <w:b w:val="0"/>
          <w:bCs w:val="0"/>
          <w:color w:val="auto"/>
          <w:spacing w:val="0"/>
          <w:sz w:val="32"/>
          <w:szCs w:val="32"/>
          <w:lang w:val="en-US" w:eastAsia="zh-CN" w:bidi="ar-SA"/>
        </w:rPr>
        <w:t>3.3.5.6 防御次生灾害</w:t>
      </w:r>
      <w:bookmarkEnd w:id="413"/>
      <w:bookmarkEnd w:id="414"/>
      <w:bookmarkEnd w:id="415"/>
      <w:bookmarkEnd w:id="416"/>
      <w:bookmarkEnd w:id="417"/>
      <w:bookmarkEnd w:id="418"/>
      <w:bookmarkEnd w:id="419"/>
      <w:bookmarkEnd w:id="420"/>
      <w:bookmarkEnd w:id="421"/>
      <w:bookmarkEnd w:id="42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加强次生灾害监测预警，防范因降雨等天气变化再次发生滑坡、崩塌、泥石流等造成新的人员伤亡或交通堵塞；组织专家对周边水库、水电站、堤坝、堰塞湖等开展险情排查、评估和除险加固，必要时组织下游危险地区人员转移。</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加强危险化学品生产储存设备、输油气管道、输配电线路、非煤矿山等受损情况组织排查，及时采取安全防范措施，做好事故防范处置工作。</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23" w:name="_Toc7824"/>
      <w:bookmarkStart w:id="424" w:name="_Toc31342"/>
      <w:bookmarkStart w:id="425" w:name="_Toc22690"/>
      <w:bookmarkStart w:id="426" w:name="_Toc17143"/>
      <w:bookmarkStart w:id="427" w:name="_Toc18437"/>
      <w:bookmarkStart w:id="428" w:name="_Toc25818"/>
      <w:bookmarkStart w:id="429" w:name="_Toc17870"/>
      <w:bookmarkStart w:id="430" w:name="_Toc21195"/>
      <w:bookmarkStart w:id="431" w:name="_Toc21357"/>
      <w:bookmarkStart w:id="432" w:name="_Toc19893"/>
      <w:r>
        <w:rPr>
          <w:rFonts w:hint="eastAsia" w:ascii="楷体_GB2312" w:hAnsi="楷体_GB2312" w:eastAsia="楷体_GB2312" w:cs="楷体_GB2312"/>
          <w:b w:val="0"/>
          <w:bCs w:val="0"/>
          <w:color w:val="auto"/>
          <w:spacing w:val="0"/>
          <w:sz w:val="32"/>
          <w:szCs w:val="32"/>
          <w:lang w:val="en-US" w:eastAsia="zh-CN" w:bidi="ar-SA"/>
        </w:rPr>
        <w:t>3.3.5.7 维护社会治安</w:t>
      </w:r>
      <w:bookmarkEnd w:id="423"/>
      <w:bookmarkEnd w:id="424"/>
      <w:bookmarkEnd w:id="425"/>
      <w:bookmarkEnd w:id="426"/>
      <w:bookmarkEnd w:id="427"/>
      <w:bookmarkEnd w:id="428"/>
      <w:bookmarkEnd w:id="429"/>
      <w:bookmarkEnd w:id="430"/>
      <w:bookmarkEnd w:id="431"/>
      <w:bookmarkEnd w:id="432"/>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加强灾区治安、道路交通管理，加强重点单位、重点部位治安防范工作，依法查处打击盗窃、抢劫、聚众哄抢、诈骗、造谣传谣等违法犯罪活动，做好涉灾涉稳风险监测、矛盾纠纷排查化解和法律服务工作，严密防范化解、妥善处置群体性事件，维护国家政治安全和社会稳定。</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33" w:name="_Toc835"/>
      <w:bookmarkStart w:id="434" w:name="_Toc27403"/>
      <w:bookmarkStart w:id="435" w:name="_Toc4329"/>
      <w:bookmarkStart w:id="436" w:name="_Toc28307"/>
      <w:bookmarkStart w:id="437" w:name="_Toc9777"/>
      <w:bookmarkStart w:id="438" w:name="_Toc3221"/>
      <w:bookmarkStart w:id="439" w:name="_Toc5177"/>
      <w:bookmarkStart w:id="440" w:name="_Toc3886"/>
      <w:bookmarkStart w:id="441" w:name="_Toc15376"/>
      <w:bookmarkStart w:id="442" w:name="_Toc11202"/>
      <w:bookmarkStart w:id="443" w:name="_Toc30771"/>
      <w:r>
        <w:rPr>
          <w:rFonts w:hint="eastAsia" w:ascii="楷体_GB2312" w:hAnsi="楷体_GB2312" w:eastAsia="楷体_GB2312" w:cs="楷体_GB2312"/>
          <w:b w:val="0"/>
          <w:bCs w:val="0"/>
          <w:color w:val="auto"/>
          <w:spacing w:val="0"/>
          <w:sz w:val="32"/>
          <w:szCs w:val="32"/>
          <w:lang w:val="en-US" w:eastAsia="zh-CN" w:bidi="ar-SA"/>
        </w:rPr>
        <w:t>3.3.6 社会动员</w:t>
      </w:r>
      <w:bookmarkEnd w:id="433"/>
      <w:bookmarkEnd w:id="434"/>
      <w:bookmarkEnd w:id="435"/>
      <w:bookmarkEnd w:id="436"/>
      <w:bookmarkEnd w:id="437"/>
      <w:bookmarkEnd w:id="438"/>
      <w:bookmarkEnd w:id="439"/>
      <w:bookmarkEnd w:id="440"/>
      <w:bookmarkEnd w:id="441"/>
      <w:bookmarkEnd w:id="442"/>
      <w:bookmarkEnd w:id="443"/>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灾区人民政府或应急（救援）指挥机构可根据地质灾害的危害程度和范围，调动社会力量参与应急处置，紧急情况下可依法征用和调用车辆、物资、人员等。</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鼓励公民、法人和其他组织按照《中华人民共和国公益事业捐赠法》等有关法律法规的规定进行捐赠和援助。</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44" w:name="_Toc336"/>
      <w:bookmarkStart w:id="445" w:name="_Toc1428"/>
      <w:bookmarkStart w:id="446" w:name="_Toc21469"/>
      <w:bookmarkStart w:id="447" w:name="_Toc28486"/>
      <w:bookmarkStart w:id="448" w:name="_Toc18088"/>
      <w:bookmarkStart w:id="449" w:name="_Toc30641"/>
      <w:bookmarkStart w:id="450" w:name="_Toc18442"/>
      <w:bookmarkStart w:id="451" w:name="_Toc2872"/>
      <w:bookmarkStart w:id="452" w:name="_Toc26633"/>
      <w:bookmarkStart w:id="453" w:name="_Toc4308"/>
      <w:bookmarkStart w:id="454" w:name="_Toc24101"/>
      <w:r>
        <w:rPr>
          <w:rFonts w:hint="eastAsia" w:ascii="楷体_GB2312" w:hAnsi="楷体_GB2312" w:eastAsia="楷体_GB2312" w:cs="楷体_GB2312"/>
          <w:b w:val="0"/>
          <w:bCs w:val="0"/>
          <w:color w:val="auto"/>
          <w:spacing w:val="0"/>
          <w:sz w:val="32"/>
          <w:szCs w:val="32"/>
          <w:lang w:val="en-US" w:eastAsia="zh-CN" w:bidi="ar-SA"/>
        </w:rPr>
        <w:t>3.3.7 响应终止</w:t>
      </w:r>
      <w:bookmarkEnd w:id="444"/>
      <w:bookmarkEnd w:id="445"/>
      <w:bookmarkEnd w:id="446"/>
      <w:bookmarkEnd w:id="447"/>
      <w:bookmarkEnd w:id="448"/>
      <w:bookmarkEnd w:id="449"/>
      <w:bookmarkEnd w:id="450"/>
      <w:bookmarkEnd w:id="451"/>
      <w:bookmarkEnd w:id="452"/>
      <w:bookmarkEnd w:id="453"/>
      <w:bookmarkEnd w:id="454"/>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地质灾害或险情得到有效处置后，经专家组鉴定地质灾害险情或灾情已消除，或者得到有效控</w:t>
      </w:r>
      <w:r>
        <w:rPr>
          <w:rFonts w:hint="eastAsia" w:ascii="仿宋" w:hAnsi="仿宋" w:eastAsia="仿宋" w:cs="仿宋"/>
          <w:color w:val="auto"/>
          <w:sz w:val="32"/>
          <w:szCs w:val="32"/>
          <w:highlight w:val="none"/>
          <w:lang w:eastAsia="zh-CN"/>
        </w:rPr>
        <w:t>制后，</w:t>
      </w:r>
      <w:r>
        <w:rPr>
          <w:rFonts w:hint="eastAsia" w:ascii="仿宋" w:hAnsi="仿宋" w:eastAsia="仿宋" w:cs="仿宋"/>
          <w:color w:val="auto"/>
          <w:sz w:val="32"/>
          <w:szCs w:val="32"/>
          <w:highlight w:val="none"/>
          <w:lang w:val="en-US" w:eastAsia="zh-CN"/>
        </w:rPr>
        <w:t>区</w:t>
      </w:r>
      <w:r>
        <w:rPr>
          <w:rFonts w:hint="eastAsia" w:ascii="仿宋" w:hAnsi="仿宋" w:eastAsia="仿宋" w:cs="仿宋"/>
          <w:color w:val="auto"/>
          <w:sz w:val="32"/>
          <w:szCs w:val="32"/>
          <w:highlight w:val="none"/>
          <w:lang w:eastAsia="zh-CN"/>
        </w:rPr>
        <w:t>人民政府撤消划定的地质灾害危险区，应急响应</w:t>
      </w:r>
      <w:r>
        <w:rPr>
          <w:rFonts w:hint="eastAsia" w:ascii="仿宋" w:hAnsi="仿宋" w:eastAsia="仿宋" w:cs="仿宋"/>
          <w:color w:val="auto"/>
          <w:sz w:val="32"/>
          <w:szCs w:val="32"/>
          <w:lang w:eastAsia="zh-CN"/>
        </w:rPr>
        <w:t>结束，由原来宣布启动应急响应的机关决定降低应急响应级别或终止应急响应。</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55" w:name="_Toc31061"/>
      <w:bookmarkStart w:id="456" w:name="_Toc9580"/>
      <w:bookmarkStart w:id="457" w:name="_Toc14281"/>
      <w:bookmarkStart w:id="458" w:name="_Toc9287"/>
      <w:bookmarkStart w:id="459" w:name="_Toc21641"/>
      <w:bookmarkStart w:id="460" w:name="_Toc6164"/>
      <w:bookmarkStart w:id="461" w:name="_Toc24246"/>
      <w:bookmarkStart w:id="462" w:name="_Toc20281"/>
      <w:bookmarkStart w:id="463" w:name="_Toc13529"/>
      <w:bookmarkStart w:id="464" w:name="_Toc19329"/>
      <w:bookmarkStart w:id="465" w:name="_Toc15446"/>
      <w:r>
        <w:rPr>
          <w:rFonts w:hint="eastAsia" w:ascii="楷体_GB2312" w:hAnsi="楷体_GB2312" w:eastAsia="楷体_GB2312" w:cs="楷体_GB2312"/>
          <w:b w:val="0"/>
          <w:bCs w:val="0"/>
          <w:color w:val="auto"/>
          <w:spacing w:val="0"/>
          <w:sz w:val="32"/>
          <w:szCs w:val="32"/>
          <w:lang w:val="en-US" w:eastAsia="zh-CN" w:bidi="ar-SA"/>
        </w:rPr>
        <w:t>3.4 信息发布</w:t>
      </w:r>
      <w:bookmarkEnd w:id="455"/>
      <w:bookmarkEnd w:id="456"/>
      <w:bookmarkEnd w:id="457"/>
      <w:bookmarkEnd w:id="458"/>
      <w:bookmarkEnd w:id="459"/>
      <w:bookmarkEnd w:id="460"/>
      <w:bookmarkEnd w:id="461"/>
      <w:bookmarkEnd w:id="462"/>
      <w:bookmarkEnd w:id="463"/>
      <w:bookmarkEnd w:id="464"/>
      <w:bookmarkEnd w:id="465"/>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突发地质灾害应急（救援）指挥机构要建立新闻发言人制度，按照分级响应权限做好相应级别的地质灾害信息发布相关工作。信息发布工作要确保及时、准确、客观、统一。</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66" w:name="_Toc23274"/>
      <w:bookmarkStart w:id="467" w:name="_Toc7486"/>
      <w:bookmarkStart w:id="468" w:name="_Toc9654"/>
      <w:bookmarkStart w:id="469" w:name="_Toc30272"/>
      <w:bookmarkStart w:id="470" w:name="_Toc28237"/>
      <w:bookmarkStart w:id="471" w:name="_Toc18793"/>
      <w:bookmarkStart w:id="472" w:name="_Toc16346"/>
      <w:bookmarkStart w:id="473" w:name="_Toc5266"/>
      <w:bookmarkStart w:id="474" w:name="_Toc10973"/>
      <w:bookmarkStart w:id="475" w:name="_Toc1848"/>
      <w:bookmarkStart w:id="476" w:name="_Toc27775"/>
      <w:r>
        <w:rPr>
          <w:rFonts w:hint="eastAsia" w:ascii="楷体_GB2312" w:hAnsi="楷体_GB2312" w:eastAsia="楷体_GB2312" w:cs="楷体_GB2312"/>
          <w:b w:val="0"/>
          <w:bCs w:val="0"/>
          <w:color w:val="auto"/>
          <w:spacing w:val="0"/>
          <w:sz w:val="32"/>
          <w:szCs w:val="32"/>
          <w:lang w:val="en-US" w:eastAsia="zh-CN" w:bidi="ar-SA"/>
        </w:rPr>
        <w:t>3.5 恢复重建</w:t>
      </w:r>
      <w:bookmarkEnd w:id="466"/>
      <w:bookmarkEnd w:id="467"/>
      <w:bookmarkEnd w:id="468"/>
      <w:bookmarkEnd w:id="469"/>
      <w:bookmarkEnd w:id="470"/>
      <w:bookmarkEnd w:id="471"/>
      <w:bookmarkEnd w:id="472"/>
      <w:bookmarkEnd w:id="473"/>
      <w:bookmarkEnd w:id="474"/>
      <w:bookmarkEnd w:id="475"/>
      <w:bookmarkEnd w:id="476"/>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77" w:name="_Toc28031"/>
      <w:bookmarkStart w:id="478" w:name="_Toc16"/>
      <w:bookmarkStart w:id="479" w:name="_Toc115"/>
      <w:bookmarkStart w:id="480" w:name="_Toc560"/>
      <w:bookmarkStart w:id="481" w:name="_Toc16781"/>
      <w:bookmarkStart w:id="482" w:name="_Toc3208"/>
      <w:bookmarkStart w:id="483" w:name="_Toc19254"/>
      <w:bookmarkStart w:id="484" w:name="_Toc29057"/>
      <w:bookmarkStart w:id="485" w:name="_Toc9278"/>
      <w:bookmarkStart w:id="486" w:name="_Toc10240"/>
      <w:bookmarkStart w:id="487" w:name="_Toc4035"/>
      <w:r>
        <w:rPr>
          <w:rFonts w:hint="eastAsia" w:ascii="楷体_GB2312" w:hAnsi="楷体_GB2312" w:eastAsia="楷体_GB2312" w:cs="楷体_GB2312"/>
          <w:b w:val="0"/>
          <w:bCs w:val="0"/>
          <w:color w:val="auto"/>
          <w:spacing w:val="0"/>
          <w:sz w:val="32"/>
          <w:szCs w:val="32"/>
          <w:lang w:val="en-US" w:eastAsia="zh-CN" w:bidi="ar-SA"/>
        </w:rPr>
        <w:t>3.5.1 制订规划</w:t>
      </w:r>
      <w:bookmarkEnd w:id="477"/>
      <w:bookmarkEnd w:id="478"/>
      <w:bookmarkEnd w:id="479"/>
      <w:bookmarkEnd w:id="480"/>
      <w:bookmarkEnd w:id="481"/>
      <w:bookmarkEnd w:id="482"/>
      <w:bookmarkEnd w:id="483"/>
      <w:bookmarkEnd w:id="484"/>
      <w:bookmarkEnd w:id="485"/>
      <w:bookmarkEnd w:id="486"/>
      <w:bookmarkEnd w:id="487"/>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特别重大地质灾害应急处置结束后，按照</w:t>
      </w:r>
      <w:r>
        <w:rPr>
          <w:rFonts w:hint="eastAsia" w:ascii="仿宋" w:hAnsi="仿宋" w:eastAsia="仿宋" w:cs="仿宋"/>
          <w:color w:val="auto"/>
          <w:sz w:val="32"/>
          <w:szCs w:val="32"/>
          <w:lang w:val="en-US" w:eastAsia="zh-CN"/>
        </w:rPr>
        <w:t>上级要求</w:t>
      </w:r>
      <w:r>
        <w:rPr>
          <w:rFonts w:hint="eastAsia" w:ascii="仿宋" w:hAnsi="仿宋" w:eastAsia="仿宋" w:cs="仿宋"/>
          <w:color w:val="auto"/>
          <w:sz w:val="32"/>
          <w:szCs w:val="32"/>
          <w:lang w:eastAsia="zh-CN"/>
        </w:rPr>
        <w:t>组织编制灾后恢复重建规划；一般地质灾害应急处置结束后，由区人民政府根据具体情况，组织区相关部门组织编制灾后恢复重建规划。</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88" w:name="_Toc30199"/>
      <w:bookmarkStart w:id="489" w:name="_Toc10732"/>
      <w:bookmarkStart w:id="490" w:name="_Toc17803"/>
      <w:bookmarkStart w:id="491" w:name="_Toc17604"/>
      <w:bookmarkStart w:id="492" w:name="_Toc27504"/>
      <w:bookmarkStart w:id="493" w:name="_Toc23610"/>
      <w:bookmarkStart w:id="494" w:name="_Toc6983"/>
      <w:bookmarkStart w:id="495" w:name="_Toc10346"/>
      <w:bookmarkStart w:id="496" w:name="_Toc3324"/>
      <w:bookmarkStart w:id="497" w:name="_Toc4507"/>
      <w:bookmarkStart w:id="498" w:name="_Toc10354"/>
      <w:r>
        <w:rPr>
          <w:rFonts w:hint="eastAsia" w:ascii="楷体_GB2312" w:hAnsi="楷体_GB2312" w:eastAsia="楷体_GB2312" w:cs="楷体_GB2312"/>
          <w:b w:val="0"/>
          <w:bCs w:val="0"/>
          <w:color w:val="auto"/>
          <w:spacing w:val="0"/>
          <w:sz w:val="32"/>
          <w:szCs w:val="32"/>
          <w:lang w:val="en-US" w:eastAsia="zh-CN" w:bidi="ar-SA"/>
        </w:rPr>
        <w:t>3.5.2 征用补偿</w:t>
      </w:r>
      <w:bookmarkEnd w:id="488"/>
      <w:bookmarkEnd w:id="489"/>
      <w:bookmarkEnd w:id="490"/>
      <w:bookmarkEnd w:id="491"/>
      <w:bookmarkEnd w:id="492"/>
      <w:bookmarkEnd w:id="493"/>
      <w:bookmarkEnd w:id="494"/>
      <w:bookmarkEnd w:id="495"/>
      <w:bookmarkEnd w:id="496"/>
      <w:bookmarkEnd w:id="497"/>
      <w:bookmarkEnd w:id="498"/>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地质灾害应急处置工作结束后，实施征用的人民政府要按照《广东省突发事件应对条例》有关规定及时返还被征用的物资和装备；造成毁损、灭失的，要按照国家、省、市、区的有关规定给予补偿。</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499" w:name="_Toc1740"/>
      <w:bookmarkStart w:id="500" w:name="_Toc21455"/>
      <w:bookmarkStart w:id="501" w:name="_Toc1602"/>
      <w:bookmarkStart w:id="502" w:name="_Toc30309"/>
      <w:bookmarkStart w:id="503" w:name="_Toc22367"/>
      <w:bookmarkStart w:id="504" w:name="_Toc29644"/>
      <w:bookmarkStart w:id="505" w:name="_Toc29741"/>
      <w:bookmarkStart w:id="506" w:name="_Toc2423"/>
      <w:bookmarkStart w:id="507" w:name="_Toc13684"/>
      <w:bookmarkStart w:id="508" w:name="_Toc25624"/>
      <w:bookmarkStart w:id="509" w:name="_Toc18201"/>
      <w:r>
        <w:rPr>
          <w:rFonts w:hint="eastAsia" w:ascii="楷体_GB2312" w:hAnsi="楷体_GB2312" w:eastAsia="楷体_GB2312" w:cs="楷体_GB2312"/>
          <w:b w:val="0"/>
          <w:bCs w:val="0"/>
          <w:color w:val="auto"/>
          <w:spacing w:val="0"/>
          <w:sz w:val="32"/>
          <w:szCs w:val="32"/>
          <w:lang w:val="en-US" w:eastAsia="zh-CN" w:bidi="ar-SA"/>
        </w:rPr>
        <w:t>3.5.3 灾害保险</w:t>
      </w:r>
      <w:bookmarkEnd w:id="499"/>
      <w:bookmarkEnd w:id="500"/>
      <w:bookmarkEnd w:id="501"/>
      <w:bookmarkEnd w:id="502"/>
      <w:bookmarkEnd w:id="503"/>
      <w:bookmarkEnd w:id="504"/>
      <w:bookmarkEnd w:id="505"/>
      <w:bookmarkEnd w:id="506"/>
      <w:bookmarkEnd w:id="507"/>
      <w:bookmarkEnd w:id="508"/>
      <w:bookmarkEnd w:id="509"/>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鼓励商业保险公司开办地质灾害保险，鼓励企业、团体、组织和公众积极参加地质灾害商业保险和互助保险，不断完善公众灾害补偿保障机制。保险机构要根据灾情主动办理受灾单位、个人的人身和财产保险理赔事项，各相关单位要为保险理赔工作提供便利。</w:t>
      </w:r>
    </w:p>
    <w:p>
      <w:pPr>
        <w:pStyle w:val="3"/>
        <w:keepNext/>
        <w:keepLines/>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宋体" w:hAnsi="宋体" w:eastAsia="宋体" w:cs="宋体"/>
          <w:b/>
          <w:bCs w:val="0"/>
          <w:color w:val="auto"/>
          <w:sz w:val="32"/>
          <w:szCs w:val="32"/>
          <w:lang w:eastAsia="zh-CN"/>
        </w:rPr>
      </w:pPr>
      <w:bookmarkStart w:id="510" w:name="_Toc25414"/>
      <w:bookmarkStart w:id="511" w:name="_Toc20647"/>
      <w:bookmarkStart w:id="512" w:name="_Toc27130"/>
      <w:bookmarkStart w:id="513" w:name="_Toc8251"/>
      <w:bookmarkStart w:id="514" w:name="_Toc27657"/>
      <w:bookmarkStart w:id="515" w:name="_Toc29459"/>
      <w:bookmarkStart w:id="516" w:name="_Toc18163"/>
      <w:bookmarkStart w:id="517" w:name="_Toc16733"/>
      <w:bookmarkStart w:id="518" w:name="_Toc5387"/>
      <w:bookmarkStart w:id="519" w:name="_Toc30691"/>
      <w:r>
        <w:rPr>
          <w:rFonts w:hint="eastAsia" w:ascii="黑体" w:hAnsi="黑体" w:eastAsia="黑体" w:cs="黑体"/>
          <w:b w:val="0"/>
          <w:color w:val="auto"/>
          <w:kern w:val="0"/>
          <w:szCs w:val="32"/>
          <w:lang w:eastAsia="zh-CN"/>
        </w:rPr>
        <w:t>4</w:t>
      </w:r>
      <w:r>
        <w:rPr>
          <w:rFonts w:hint="eastAsia" w:ascii="黑体" w:hAnsi="黑体" w:eastAsia="黑体" w:cs="黑体"/>
          <w:b w:val="0"/>
          <w:color w:val="auto"/>
          <w:kern w:val="0"/>
          <w:szCs w:val="32"/>
          <w:lang w:val="en-US" w:eastAsia="zh-CN"/>
        </w:rPr>
        <w:t xml:space="preserve"> </w:t>
      </w:r>
      <w:r>
        <w:rPr>
          <w:rFonts w:hint="eastAsia" w:ascii="黑体" w:hAnsi="黑体" w:eastAsia="黑体" w:cs="黑体"/>
          <w:b w:val="0"/>
          <w:color w:val="auto"/>
          <w:kern w:val="0"/>
          <w:szCs w:val="32"/>
          <w:lang w:eastAsia="zh-CN"/>
        </w:rPr>
        <w:t>应急保障</w:t>
      </w:r>
      <w:bookmarkEnd w:id="510"/>
      <w:bookmarkEnd w:id="511"/>
      <w:bookmarkEnd w:id="512"/>
      <w:bookmarkEnd w:id="513"/>
      <w:bookmarkEnd w:id="514"/>
      <w:bookmarkEnd w:id="515"/>
      <w:bookmarkEnd w:id="516"/>
      <w:bookmarkEnd w:id="517"/>
      <w:bookmarkEnd w:id="518"/>
      <w:bookmarkEnd w:id="519"/>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20" w:name="_Toc4043"/>
      <w:bookmarkStart w:id="521" w:name="_Toc18354"/>
      <w:bookmarkStart w:id="522" w:name="_Toc21447"/>
      <w:bookmarkStart w:id="523" w:name="_Toc2929"/>
      <w:bookmarkStart w:id="524" w:name="_Toc20573"/>
      <w:bookmarkStart w:id="525" w:name="_Toc31312"/>
      <w:bookmarkStart w:id="526" w:name="_Toc9558"/>
      <w:bookmarkStart w:id="527" w:name="_Toc14161"/>
      <w:bookmarkStart w:id="528" w:name="_Toc12876"/>
      <w:bookmarkStart w:id="529" w:name="_Toc5654"/>
      <w:bookmarkStart w:id="530" w:name="_Toc9448"/>
      <w:r>
        <w:rPr>
          <w:rFonts w:hint="eastAsia" w:ascii="楷体_GB2312" w:hAnsi="楷体_GB2312" w:eastAsia="楷体_GB2312" w:cs="楷体_GB2312"/>
          <w:b w:val="0"/>
          <w:bCs w:val="0"/>
          <w:color w:val="auto"/>
          <w:spacing w:val="0"/>
          <w:sz w:val="32"/>
          <w:szCs w:val="32"/>
          <w:lang w:val="en-US" w:eastAsia="zh-CN" w:bidi="ar-SA"/>
        </w:rPr>
        <w:t>4.1 队伍保障</w:t>
      </w:r>
      <w:bookmarkEnd w:id="520"/>
      <w:bookmarkEnd w:id="521"/>
      <w:bookmarkEnd w:id="522"/>
      <w:bookmarkEnd w:id="523"/>
      <w:bookmarkEnd w:id="524"/>
      <w:bookmarkEnd w:id="525"/>
      <w:bookmarkEnd w:id="526"/>
      <w:bookmarkEnd w:id="527"/>
      <w:bookmarkEnd w:id="528"/>
      <w:bookmarkEnd w:id="529"/>
      <w:bookmarkEnd w:id="530"/>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各镇人民政府以及区应急管理</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区</w:t>
      </w:r>
      <w:r>
        <w:rPr>
          <w:rFonts w:hint="eastAsia" w:ascii="仿宋" w:hAnsi="仿宋" w:eastAsia="仿宋" w:cs="仿宋"/>
          <w:color w:val="auto"/>
          <w:sz w:val="32"/>
          <w:szCs w:val="32"/>
          <w:lang w:eastAsia="zh-CN"/>
        </w:rPr>
        <w:t>消防救援等部门要加强地质灾害应急救援队伍建设，经常开展专业培训和演练，提高应对地质灾害的救援能力。</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城市供水、供电、供气等生命线工程设施产权单位、管理或者生产经营单位要加强抢险、抢修队伍建设。</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镇人民政府和有条件的社区组织，应组织动员社会力量，建立基层地质灾害抢险救灾队伍，加强日常防灾减灾救灾培训和演练工作。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color w:val="auto"/>
          <w:sz w:val="32"/>
          <w:szCs w:val="32"/>
          <w:lang w:eastAsia="zh-CN"/>
        </w:rPr>
      </w:pPr>
      <w:r>
        <w:rPr>
          <w:rFonts w:hint="eastAsia" w:ascii="仿宋" w:hAnsi="仿宋" w:eastAsia="仿宋" w:cs="仿宋"/>
          <w:color w:val="auto"/>
          <w:sz w:val="32"/>
          <w:szCs w:val="32"/>
          <w:lang w:eastAsia="zh-CN"/>
        </w:rPr>
        <w:t>各镇</w:t>
      </w:r>
      <w:r>
        <w:rPr>
          <w:rFonts w:hint="eastAsia" w:ascii="仿宋" w:hAnsi="仿宋" w:eastAsia="仿宋" w:cs="仿宋"/>
          <w:color w:val="auto"/>
          <w:sz w:val="32"/>
          <w:szCs w:val="32"/>
          <w:lang w:val="en-US" w:eastAsia="zh-CN"/>
        </w:rPr>
        <w:t>人民政府</w:t>
      </w:r>
      <w:r>
        <w:rPr>
          <w:rFonts w:hint="eastAsia" w:ascii="仿宋" w:hAnsi="仿宋" w:eastAsia="仿宋" w:cs="仿宋"/>
          <w:color w:val="auto"/>
          <w:sz w:val="32"/>
          <w:szCs w:val="32"/>
          <w:lang w:eastAsia="zh-CN"/>
        </w:rPr>
        <w:t>、各有关单位要发挥共青团作用，依托社会团体、企事业单位及社区建立地质灾害应急救援志愿者队伍，形成广泛参与应急救援的社会动员机制。</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31" w:name="_Toc22742"/>
      <w:bookmarkStart w:id="532" w:name="_Toc24209"/>
      <w:bookmarkStart w:id="533" w:name="_Toc4732"/>
      <w:bookmarkStart w:id="534" w:name="_Toc27378"/>
      <w:bookmarkStart w:id="535" w:name="_Toc14849"/>
      <w:bookmarkStart w:id="536" w:name="_Toc21818"/>
      <w:bookmarkStart w:id="537" w:name="_Toc9478"/>
      <w:bookmarkStart w:id="538" w:name="_Toc1383"/>
      <w:bookmarkStart w:id="539" w:name="_Toc16231"/>
      <w:bookmarkStart w:id="540" w:name="_Toc27717"/>
      <w:bookmarkStart w:id="541" w:name="_Toc3543"/>
      <w:r>
        <w:rPr>
          <w:rFonts w:hint="eastAsia" w:ascii="楷体_GB2312" w:hAnsi="楷体_GB2312" w:eastAsia="楷体_GB2312" w:cs="楷体_GB2312"/>
          <w:b w:val="0"/>
          <w:bCs w:val="0"/>
          <w:color w:val="auto"/>
          <w:spacing w:val="0"/>
          <w:sz w:val="32"/>
          <w:szCs w:val="32"/>
          <w:lang w:val="en-US" w:eastAsia="zh-CN" w:bidi="ar-SA"/>
        </w:rPr>
        <w:t>4.2 资金保障</w:t>
      </w:r>
      <w:bookmarkEnd w:id="531"/>
      <w:bookmarkEnd w:id="532"/>
      <w:bookmarkEnd w:id="533"/>
      <w:bookmarkEnd w:id="534"/>
      <w:bookmarkEnd w:id="535"/>
      <w:bookmarkEnd w:id="536"/>
      <w:bookmarkEnd w:id="537"/>
      <w:bookmarkEnd w:id="538"/>
      <w:bookmarkEnd w:id="539"/>
      <w:bookmarkEnd w:id="540"/>
      <w:bookmarkEnd w:id="541"/>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各镇人民政府要积极筹集资金，保障地质灾害灾区群众生活和恢复重建所需的有关资金。</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42" w:name="_Toc13053"/>
      <w:bookmarkStart w:id="543" w:name="_Toc11008"/>
      <w:bookmarkStart w:id="544" w:name="_Toc13044"/>
      <w:bookmarkStart w:id="545" w:name="_Toc21350"/>
      <w:bookmarkStart w:id="546" w:name="_Toc14058"/>
      <w:bookmarkStart w:id="547" w:name="_Toc9008"/>
      <w:bookmarkStart w:id="548" w:name="_Toc26449"/>
      <w:bookmarkStart w:id="549" w:name="_Toc19381"/>
      <w:bookmarkStart w:id="550" w:name="_Toc4564"/>
      <w:bookmarkStart w:id="551" w:name="_Toc7519"/>
      <w:bookmarkStart w:id="552" w:name="_Toc24744"/>
      <w:r>
        <w:rPr>
          <w:rFonts w:hint="eastAsia" w:ascii="楷体_GB2312" w:hAnsi="楷体_GB2312" w:eastAsia="楷体_GB2312" w:cs="楷体_GB2312"/>
          <w:b w:val="0"/>
          <w:bCs w:val="0"/>
          <w:color w:val="auto"/>
          <w:spacing w:val="0"/>
          <w:sz w:val="32"/>
          <w:szCs w:val="32"/>
          <w:lang w:val="en-US" w:eastAsia="zh-CN" w:bidi="ar-SA"/>
        </w:rPr>
        <w:t>4.3 物资保障</w:t>
      </w:r>
      <w:bookmarkEnd w:id="542"/>
      <w:bookmarkEnd w:id="543"/>
      <w:bookmarkEnd w:id="544"/>
      <w:bookmarkEnd w:id="545"/>
      <w:bookmarkEnd w:id="546"/>
      <w:bookmarkEnd w:id="547"/>
      <w:bookmarkEnd w:id="548"/>
      <w:bookmarkEnd w:id="549"/>
      <w:bookmarkEnd w:id="550"/>
      <w:bookmarkEnd w:id="551"/>
      <w:bookmarkEnd w:id="552"/>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各镇、各有关单位要建立健全应急物资储备网络和生产、调拨及紧急配送体系，保障地质灾害灾区所需生活救助物资、救援工程装备配备、医疗器械和药品等供应。各镇人民政府及有关单位要根据有关法律法规，做好应急物资储备工作，并通过与有关生产经营企业签订协议等方式，保障应急物资、生活必需品和应急处置装备的生产、供给。各街镇要配备卫星电话、对讲机等必要的通信装备，并确保通信畅通有效。</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53" w:name="_Toc2384"/>
      <w:bookmarkStart w:id="554" w:name="_Toc31712"/>
      <w:bookmarkStart w:id="555" w:name="_Toc23129"/>
      <w:bookmarkStart w:id="556" w:name="_Toc21527"/>
      <w:bookmarkStart w:id="557" w:name="_Toc7334"/>
      <w:bookmarkStart w:id="558" w:name="_Toc32082"/>
      <w:bookmarkStart w:id="559" w:name="_Toc23843"/>
      <w:bookmarkStart w:id="560" w:name="_Toc30529"/>
      <w:bookmarkStart w:id="561" w:name="_Toc31236"/>
      <w:bookmarkStart w:id="562" w:name="_Toc23355"/>
      <w:bookmarkStart w:id="563" w:name="_Toc30831"/>
      <w:r>
        <w:rPr>
          <w:rFonts w:hint="eastAsia" w:ascii="楷体_GB2312" w:hAnsi="楷体_GB2312" w:eastAsia="楷体_GB2312" w:cs="楷体_GB2312"/>
          <w:b w:val="0"/>
          <w:bCs w:val="0"/>
          <w:color w:val="auto"/>
          <w:spacing w:val="0"/>
          <w:sz w:val="32"/>
          <w:szCs w:val="32"/>
          <w:lang w:val="en-US" w:eastAsia="zh-CN" w:bidi="ar-SA"/>
        </w:rPr>
        <w:t>4.4 避难场所保障</w:t>
      </w:r>
      <w:bookmarkEnd w:id="553"/>
      <w:bookmarkEnd w:id="554"/>
      <w:bookmarkEnd w:id="555"/>
      <w:bookmarkEnd w:id="556"/>
      <w:bookmarkEnd w:id="557"/>
      <w:bookmarkEnd w:id="558"/>
      <w:bookmarkEnd w:id="559"/>
      <w:bookmarkEnd w:id="560"/>
      <w:bookmarkEnd w:id="561"/>
      <w:bookmarkEnd w:id="562"/>
      <w:bookmarkEnd w:id="563"/>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各镇人民政府及有关单位要充分利用广场、绿地、公园、学校、体育场馆等公共设施，因地制宜设立应急避难场所，统筹安排交通、通信、供水、供电、排污、环保、物资储备等设备设施。</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学校、医院、影剧院、商场、酒店、体育场馆等人员密集场所要设置应急疏散通道，配备必要的救生避险设施，保障通道、出口的畅通。有关单位要定期检测、维护报警装置和应急救援设施，确保处于良好状态。</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64" w:name="_Toc20957"/>
      <w:bookmarkStart w:id="565" w:name="_Toc24804"/>
      <w:bookmarkStart w:id="566" w:name="_Toc7115"/>
      <w:bookmarkStart w:id="567" w:name="_Toc23025"/>
      <w:bookmarkStart w:id="568" w:name="_Toc10391"/>
      <w:bookmarkStart w:id="569" w:name="_Toc12257"/>
      <w:bookmarkStart w:id="570" w:name="_Toc27929"/>
      <w:bookmarkStart w:id="571" w:name="_Toc23071"/>
      <w:bookmarkStart w:id="572" w:name="_Toc28198"/>
      <w:bookmarkStart w:id="573" w:name="_Toc2596"/>
      <w:bookmarkStart w:id="574" w:name="_Toc23626"/>
      <w:r>
        <w:rPr>
          <w:rFonts w:hint="eastAsia" w:ascii="楷体_GB2312" w:hAnsi="楷体_GB2312" w:eastAsia="楷体_GB2312" w:cs="楷体_GB2312"/>
          <w:b w:val="0"/>
          <w:bCs w:val="0"/>
          <w:color w:val="auto"/>
          <w:spacing w:val="0"/>
          <w:sz w:val="32"/>
          <w:szCs w:val="32"/>
          <w:lang w:val="en-US" w:eastAsia="zh-CN" w:bidi="ar-SA"/>
        </w:rPr>
        <w:t>4.5 基础设施保障</w:t>
      </w:r>
      <w:bookmarkEnd w:id="564"/>
      <w:bookmarkEnd w:id="565"/>
      <w:bookmarkEnd w:id="566"/>
      <w:bookmarkEnd w:id="567"/>
      <w:bookmarkEnd w:id="568"/>
      <w:bookmarkEnd w:id="569"/>
      <w:bookmarkEnd w:id="570"/>
      <w:bookmarkEnd w:id="571"/>
      <w:bookmarkEnd w:id="572"/>
      <w:bookmarkEnd w:id="573"/>
      <w:bookmarkEnd w:id="574"/>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通信管理部门要指导、协调电信运营企业建立有线与无线相结合、基础通信网络与机动通信系统相配套的应急通信保障体系，确保地质灾害应急救援工作的通信畅通。工业和信息化部门要负责保障应急无线电通信业务频率的正常使用。</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融媒体中心要完善广播电视传输覆盖网，建立完善应急广播体系，确保公众能及时、准确地获取政府部门发布的权威地质灾害信息。</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电力供应部门要及时修复受损毁的电力系统和设施，保障灾区应急装备和应急通信基础设施的临时供电需求以及灾区电力供应。</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发展改革、能源等部门要组织、协调相关企业排查油库、燃气管道安全隐患，及时修复受损设施，保障灾区居民基本生活和应急处置能源需求。</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公安、交通运输等单位要建立健全公路紧急运输保障体系，加强统一指挥调度，采取必要的交通管制措施，建立应急救援“绿色通道”机制。</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75" w:name="_Toc6901"/>
      <w:bookmarkStart w:id="576" w:name="_Toc23971"/>
      <w:bookmarkStart w:id="577" w:name="_Toc21865"/>
      <w:bookmarkStart w:id="578" w:name="_Toc30966"/>
      <w:bookmarkStart w:id="579" w:name="_Toc12016"/>
      <w:bookmarkStart w:id="580" w:name="_Toc25947"/>
      <w:bookmarkStart w:id="581" w:name="_Toc3789"/>
      <w:bookmarkStart w:id="582" w:name="_Toc29797"/>
      <w:bookmarkStart w:id="583" w:name="_Toc31384"/>
      <w:bookmarkStart w:id="584" w:name="_Toc7788"/>
      <w:bookmarkStart w:id="585" w:name="_Toc16487"/>
      <w:r>
        <w:rPr>
          <w:rFonts w:hint="eastAsia" w:ascii="楷体_GB2312" w:hAnsi="楷体_GB2312" w:eastAsia="楷体_GB2312" w:cs="楷体_GB2312"/>
          <w:b w:val="0"/>
          <w:bCs w:val="0"/>
          <w:color w:val="auto"/>
          <w:spacing w:val="0"/>
          <w:sz w:val="32"/>
          <w:szCs w:val="32"/>
          <w:lang w:val="en-US" w:eastAsia="zh-CN" w:bidi="ar-SA"/>
        </w:rPr>
        <w:t>4.6 平台保障</w:t>
      </w:r>
      <w:bookmarkEnd w:id="575"/>
      <w:bookmarkEnd w:id="576"/>
      <w:bookmarkEnd w:id="577"/>
      <w:bookmarkEnd w:id="578"/>
      <w:bookmarkEnd w:id="579"/>
      <w:bookmarkEnd w:id="580"/>
      <w:bookmarkEnd w:id="581"/>
      <w:bookmarkEnd w:id="582"/>
      <w:bookmarkEnd w:id="583"/>
      <w:bookmarkEnd w:id="584"/>
      <w:bookmarkEnd w:id="585"/>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应急管理部门要综合利用自动监测、通信、计算机、遥感等技术，建立健全地质灾害应急指挥系统，形成上下贯通、反应灵敏、功能完善、统一高效的地质灾害应急救援指挥平台，实现险情灾情快速响应、应急指挥决策、灾害损失快速评估与动态跟踪、灾害趋势研判快速反馈。</w:t>
      </w:r>
    </w:p>
    <w:p>
      <w:pPr>
        <w:pStyle w:val="3"/>
        <w:keepNext/>
        <w:keepLines/>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黑体" w:hAnsi="黑体" w:eastAsia="黑体" w:cs="黑体"/>
          <w:b w:val="0"/>
          <w:color w:val="auto"/>
          <w:kern w:val="0"/>
          <w:szCs w:val="32"/>
          <w:lang w:eastAsia="zh-CN"/>
        </w:rPr>
      </w:pPr>
      <w:bookmarkStart w:id="586" w:name="_Toc24968"/>
      <w:bookmarkStart w:id="587" w:name="_Toc19123"/>
      <w:bookmarkStart w:id="588" w:name="_Toc29344"/>
      <w:bookmarkStart w:id="589" w:name="_Toc17909"/>
      <w:bookmarkStart w:id="590" w:name="_Toc26409"/>
      <w:bookmarkStart w:id="591" w:name="_Toc20214"/>
      <w:bookmarkStart w:id="592" w:name="_Toc30318"/>
      <w:bookmarkStart w:id="593" w:name="_Toc3600"/>
      <w:bookmarkStart w:id="594" w:name="_Toc25898"/>
      <w:bookmarkStart w:id="595" w:name="_Toc15032"/>
      <w:r>
        <w:rPr>
          <w:rFonts w:hint="eastAsia" w:ascii="黑体" w:hAnsi="黑体" w:eastAsia="黑体" w:cs="黑体"/>
          <w:b w:val="0"/>
          <w:color w:val="auto"/>
          <w:kern w:val="0"/>
          <w:szCs w:val="32"/>
          <w:lang w:eastAsia="zh-CN"/>
        </w:rPr>
        <w:t>5</w:t>
      </w:r>
      <w:r>
        <w:rPr>
          <w:rFonts w:hint="eastAsia" w:ascii="黑体" w:hAnsi="黑体" w:eastAsia="黑体" w:cs="黑体"/>
          <w:b w:val="0"/>
          <w:color w:val="auto"/>
          <w:kern w:val="0"/>
          <w:szCs w:val="32"/>
          <w:lang w:val="en-US" w:eastAsia="zh-CN"/>
        </w:rPr>
        <w:t xml:space="preserve"> </w:t>
      </w:r>
      <w:r>
        <w:rPr>
          <w:rFonts w:hint="eastAsia" w:ascii="黑体" w:hAnsi="黑体" w:eastAsia="黑体" w:cs="黑体"/>
          <w:b w:val="0"/>
          <w:color w:val="auto"/>
          <w:kern w:val="0"/>
          <w:szCs w:val="32"/>
          <w:lang w:eastAsia="zh-CN"/>
        </w:rPr>
        <w:t>监督管理</w:t>
      </w:r>
      <w:bookmarkEnd w:id="586"/>
      <w:bookmarkEnd w:id="587"/>
      <w:bookmarkEnd w:id="588"/>
      <w:bookmarkEnd w:id="589"/>
      <w:bookmarkEnd w:id="590"/>
      <w:bookmarkEnd w:id="591"/>
      <w:bookmarkEnd w:id="592"/>
      <w:bookmarkEnd w:id="593"/>
      <w:bookmarkEnd w:id="594"/>
      <w:bookmarkEnd w:id="595"/>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596" w:name="_Toc27356"/>
      <w:bookmarkStart w:id="597" w:name="_Toc11630"/>
      <w:bookmarkStart w:id="598" w:name="_Toc15940"/>
      <w:bookmarkStart w:id="599" w:name="_Toc21608"/>
      <w:bookmarkStart w:id="600" w:name="_Toc18292"/>
      <w:bookmarkStart w:id="601" w:name="_Toc32573"/>
      <w:bookmarkStart w:id="602" w:name="_Toc18724"/>
      <w:bookmarkStart w:id="603" w:name="_Toc12946"/>
      <w:bookmarkStart w:id="604" w:name="_Toc22915"/>
      <w:bookmarkStart w:id="605" w:name="_Toc12834"/>
      <w:bookmarkStart w:id="606" w:name="_Toc3356"/>
      <w:r>
        <w:rPr>
          <w:rFonts w:hint="eastAsia" w:ascii="楷体_GB2312" w:hAnsi="楷体_GB2312" w:eastAsia="楷体_GB2312" w:cs="楷体_GB2312"/>
          <w:b w:val="0"/>
          <w:bCs w:val="0"/>
          <w:color w:val="auto"/>
          <w:spacing w:val="0"/>
          <w:sz w:val="32"/>
          <w:szCs w:val="32"/>
          <w:lang w:val="en-US" w:eastAsia="zh-CN" w:bidi="ar-SA"/>
        </w:rPr>
        <w:t>5.1 预案演练</w:t>
      </w:r>
      <w:bookmarkEnd w:id="596"/>
      <w:bookmarkEnd w:id="597"/>
      <w:bookmarkEnd w:id="598"/>
      <w:bookmarkEnd w:id="599"/>
      <w:bookmarkEnd w:id="600"/>
      <w:bookmarkEnd w:id="601"/>
      <w:bookmarkEnd w:id="602"/>
      <w:bookmarkEnd w:id="603"/>
      <w:bookmarkEnd w:id="604"/>
      <w:bookmarkEnd w:id="605"/>
      <w:bookmarkEnd w:id="606"/>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ascii="仿宋_GB2312" w:hAnsi="仿宋_GB2312" w:eastAsia="仿宋_GB2312" w:cs="仿宋_GB2312"/>
          <w:color w:val="auto"/>
          <w:sz w:val="32"/>
          <w:szCs w:val="32"/>
          <w:lang w:eastAsia="zh-CN"/>
        </w:rPr>
      </w:pPr>
      <w:r>
        <w:rPr>
          <w:rFonts w:hint="eastAsia" w:ascii="仿宋" w:hAnsi="仿宋" w:eastAsia="仿宋" w:cs="仿宋"/>
          <w:color w:val="auto"/>
          <w:sz w:val="32"/>
          <w:szCs w:val="32"/>
          <w:lang w:eastAsia="zh-CN"/>
        </w:rPr>
        <w:t>区应急管理局会同区指挥部有关成员单位按照有关规定，定期或不定期组织本预案的应急演练。</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07" w:name="_Toc18648"/>
      <w:bookmarkStart w:id="608" w:name="_Toc22790"/>
      <w:bookmarkStart w:id="609" w:name="_Toc29930"/>
      <w:bookmarkStart w:id="610" w:name="_Toc26273"/>
      <w:bookmarkStart w:id="611" w:name="_Toc19689"/>
      <w:bookmarkStart w:id="612" w:name="_Toc16922"/>
      <w:bookmarkStart w:id="613" w:name="_Toc30323"/>
      <w:bookmarkStart w:id="614" w:name="_Toc16459"/>
      <w:bookmarkStart w:id="615" w:name="_Toc24113"/>
      <w:bookmarkStart w:id="616" w:name="_Toc7306"/>
      <w:bookmarkStart w:id="617" w:name="_Toc26184"/>
      <w:r>
        <w:rPr>
          <w:rFonts w:hint="eastAsia" w:ascii="楷体_GB2312" w:hAnsi="楷体_GB2312" w:eastAsia="楷体_GB2312" w:cs="楷体_GB2312"/>
          <w:b w:val="0"/>
          <w:bCs w:val="0"/>
          <w:color w:val="auto"/>
          <w:spacing w:val="0"/>
          <w:sz w:val="32"/>
          <w:szCs w:val="32"/>
          <w:lang w:val="en-US" w:eastAsia="zh-CN" w:bidi="ar-SA"/>
        </w:rPr>
        <w:t>5.2 宣教培训</w:t>
      </w:r>
      <w:bookmarkEnd w:id="607"/>
      <w:bookmarkEnd w:id="608"/>
      <w:bookmarkEnd w:id="609"/>
      <w:bookmarkEnd w:id="610"/>
      <w:bookmarkEnd w:id="611"/>
      <w:bookmarkEnd w:id="612"/>
      <w:bookmarkEnd w:id="613"/>
      <w:bookmarkEnd w:id="614"/>
      <w:bookmarkEnd w:id="615"/>
      <w:bookmarkEnd w:id="616"/>
      <w:bookmarkEnd w:id="617"/>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w:t>
      </w:r>
      <w:r>
        <w:rPr>
          <w:rFonts w:hint="eastAsia" w:ascii="仿宋" w:hAnsi="仿宋" w:eastAsia="仿宋" w:cs="仿宋"/>
          <w:color w:val="auto"/>
          <w:sz w:val="32"/>
          <w:szCs w:val="32"/>
          <w:lang w:val="en-US" w:eastAsia="zh-CN"/>
        </w:rPr>
        <w:t>人民政府</w:t>
      </w:r>
      <w:r>
        <w:rPr>
          <w:rFonts w:hint="eastAsia" w:ascii="仿宋" w:hAnsi="仿宋" w:eastAsia="仿宋" w:cs="仿宋"/>
          <w:color w:val="auto"/>
          <w:sz w:val="32"/>
          <w:szCs w:val="32"/>
          <w:lang w:eastAsia="zh-CN"/>
        </w:rPr>
        <w:t>、各有关单位要做好防灾减灾救灾科普知识的宣传教育工作，不断提高公众的防灾减灾救灾意识和自救互救能力。各镇人民政府及教育、人力资源社会保障、文化、广播电视、新闻媒体等单位要充分利用广播、电视、互联网、报纸等各种媒体，加大对防灾减灾救灾工作的宣传、培训力度。</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18" w:name="_Toc7645"/>
      <w:bookmarkStart w:id="619" w:name="_Toc30744"/>
      <w:bookmarkStart w:id="620" w:name="_Toc8284"/>
      <w:bookmarkStart w:id="621" w:name="_Toc13455"/>
      <w:bookmarkStart w:id="622" w:name="_Toc1256"/>
      <w:bookmarkStart w:id="623" w:name="_Toc14757"/>
      <w:bookmarkStart w:id="624" w:name="_Toc30618"/>
      <w:bookmarkStart w:id="625" w:name="_Toc20576"/>
      <w:bookmarkStart w:id="626" w:name="_Toc10332"/>
      <w:bookmarkStart w:id="627" w:name="_Toc18310"/>
      <w:bookmarkStart w:id="628" w:name="_Toc27422"/>
      <w:r>
        <w:rPr>
          <w:rFonts w:hint="eastAsia" w:ascii="楷体_GB2312" w:hAnsi="楷体_GB2312" w:eastAsia="楷体_GB2312" w:cs="楷体_GB2312"/>
          <w:b w:val="0"/>
          <w:bCs w:val="0"/>
          <w:color w:val="auto"/>
          <w:spacing w:val="0"/>
          <w:sz w:val="32"/>
          <w:szCs w:val="32"/>
          <w:lang w:val="en-US" w:eastAsia="zh-CN" w:bidi="ar-SA"/>
        </w:rPr>
        <w:t>5.3 责任与奖惩</w:t>
      </w:r>
      <w:bookmarkEnd w:id="618"/>
      <w:bookmarkEnd w:id="619"/>
      <w:bookmarkEnd w:id="620"/>
      <w:bookmarkEnd w:id="621"/>
      <w:bookmarkEnd w:id="622"/>
      <w:bookmarkEnd w:id="623"/>
      <w:bookmarkEnd w:id="624"/>
      <w:bookmarkEnd w:id="625"/>
      <w:bookmarkEnd w:id="626"/>
      <w:bookmarkEnd w:id="627"/>
      <w:bookmarkEnd w:id="628"/>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人民政府对在地质灾害监测预警、综合治理、应急抢险、救援工作中作出突出贡献的先进集体和个人给予表彰和奖励。对玩忽职守、失职、渎职的有关责任人，要依据有关规定严肃追究责任，构成犯罪的，依法追究刑事责任。</w:t>
      </w:r>
    </w:p>
    <w:p>
      <w:pPr>
        <w:pStyle w:val="3"/>
        <w:keepNext/>
        <w:keepLines/>
        <w:pageBreakBefore w:val="0"/>
        <w:widowControl w:val="0"/>
        <w:kinsoku/>
        <w:wordWrap/>
        <w:overflowPunct/>
        <w:topLinePunct w:val="0"/>
        <w:autoSpaceDE/>
        <w:autoSpaceDN/>
        <w:bidi w:val="0"/>
        <w:adjustRightInd/>
        <w:snapToGrid/>
        <w:spacing w:beforeLines="0" w:beforeAutospacing="0" w:afterLines="0" w:afterAutospacing="0" w:line="600" w:lineRule="exact"/>
        <w:ind w:left="0" w:leftChars="0" w:firstLine="632" w:firstLineChars="200"/>
        <w:jc w:val="both"/>
        <w:textAlignment w:val="auto"/>
        <w:rPr>
          <w:rFonts w:hint="eastAsia" w:ascii="黑体" w:hAnsi="黑体" w:eastAsia="黑体" w:cs="黑体"/>
          <w:b w:val="0"/>
          <w:color w:val="auto"/>
          <w:kern w:val="0"/>
          <w:szCs w:val="32"/>
          <w:lang w:eastAsia="zh-CN"/>
        </w:rPr>
      </w:pPr>
      <w:bookmarkStart w:id="629" w:name="_Toc32368"/>
      <w:bookmarkStart w:id="630" w:name="_Toc29920"/>
      <w:bookmarkStart w:id="631" w:name="_Toc30975"/>
      <w:bookmarkStart w:id="632" w:name="_Toc20070"/>
      <w:bookmarkStart w:id="633" w:name="_Toc29004"/>
      <w:bookmarkStart w:id="634" w:name="_Toc13326"/>
      <w:bookmarkStart w:id="635" w:name="_Toc31933"/>
      <w:bookmarkStart w:id="636" w:name="_Toc12713"/>
      <w:bookmarkStart w:id="637" w:name="_Toc17376"/>
      <w:bookmarkStart w:id="638" w:name="_Toc24166"/>
      <w:r>
        <w:rPr>
          <w:rFonts w:hint="eastAsia" w:ascii="黑体" w:hAnsi="黑体" w:eastAsia="黑体" w:cs="黑体"/>
          <w:b w:val="0"/>
          <w:color w:val="auto"/>
          <w:kern w:val="0"/>
          <w:szCs w:val="32"/>
          <w:lang w:val="en-US" w:eastAsia="zh-CN"/>
        </w:rPr>
        <w:t xml:space="preserve">6 </w:t>
      </w:r>
      <w:r>
        <w:rPr>
          <w:rFonts w:hint="eastAsia" w:ascii="黑体" w:hAnsi="黑体" w:eastAsia="黑体" w:cs="黑体"/>
          <w:b w:val="0"/>
          <w:color w:val="auto"/>
          <w:kern w:val="0"/>
          <w:szCs w:val="32"/>
          <w:lang w:eastAsia="zh-CN"/>
        </w:rPr>
        <w:t>附则</w:t>
      </w:r>
      <w:bookmarkEnd w:id="358"/>
      <w:bookmarkEnd w:id="359"/>
      <w:bookmarkEnd w:id="360"/>
      <w:bookmarkEnd w:id="361"/>
      <w:bookmarkEnd w:id="362"/>
      <w:bookmarkEnd w:id="629"/>
      <w:bookmarkEnd w:id="630"/>
      <w:bookmarkEnd w:id="631"/>
      <w:bookmarkEnd w:id="632"/>
      <w:bookmarkEnd w:id="633"/>
      <w:bookmarkEnd w:id="634"/>
      <w:bookmarkEnd w:id="635"/>
      <w:bookmarkEnd w:id="636"/>
      <w:bookmarkEnd w:id="637"/>
      <w:bookmarkEnd w:id="638"/>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39" w:name="_Toc4499"/>
      <w:bookmarkStart w:id="640" w:name="_Toc26023"/>
      <w:bookmarkStart w:id="641" w:name="_Toc7767"/>
      <w:bookmarkStart w:id="642" w:name="_Toc27492"/>
      <w:bookmarkStart w:id="643" w:name="_Toc2955"/>
      <w:bookmarkStart w:id="644" w:name="_Toc18536"/>
      <w:bookmarkStart w:id="645" w:name="_Toc25576"/>
      <w:bookmarkStart w:id="646" w:name="_Toc23398"/>
      <w:bookmarkStart w:id="647" w:name="_Toc30842"/>
      <w:bookmarkStart w:id="648" w:name="_Toc5639"/>
      <w:r>
        <w:rPr>
          <w:rFonts w:hint="eastAsia" w:ascii="楷体_GB2312" w:hAnsi="楷体_GB2312" w:eastAsia="楷体_GB2312" w:cs="楷体_GB2312"/>
          <w:b w:val="0"/>
          <w:bCs w:val="0"/>
          <w:color w:val="auto"/>
          <w:spacing w:val="0"/>
          <w:sz w:val="32"/>
          <w:szCs w:val="32"/>
          <w:lang w:val="en-US" w:eastAsia="zh-CN" w:bidi="ar-SA"/>
        </w:rPr>
        <w:t>6.1 名词术语</w:t>
      </w:r>
      <w:bookmarkEnd w:id="639"/>
      <w:bookmarkEnd w:id="640"/>
      <w:bookmarkEnd w:id="641"/>
      <w:bookmarkEnd w:id="642"/>
      <w:bookmarkEnd w:id="643"/>
      <w:bookmarkEnd w:id="644"/>
      <w:bookmarkEnd w:id="645"/>
      <w:bookmarkEnd w:id="646"/>
      <w:bookmarkEnd w:id="647"/>
      <w:bookmarkEnd w:id="64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）地质灾害易发区是指具备地质灾害发生的地质构造、地形地貌和气候条件，容易发生地质灾害的区域。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）地质灾害危险区是指已经出现地质灾害迹象，明显可能发生地质灾害且可能造成人员伤亡和经济损失的区域或地段。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）次生灾害是指由地质灾害造成的工程结构、设施和自然环境破坏而引发的灾害，如水灾、爆炸及剧毒和强腐蚀性物质泄漏等。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eastAsia="zh-CN"/>
        </w:rPr>
        <w:t>）本预案有关数量的表述中，“以上”含本数，“以下”不含本数。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）生命线设施是指供电、供水、排水、燃气、热力、供油系统以及通信、交通等公用设施。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lang w:eastAsia="zh-CN"/>
        </w:rPr>
        <w:t>）直接经济损失是指地质灾害及次生灾害造成的物质破坏，包括房屋和其他工程结构设施、物品等破坏引起的经济损失，建筑物和其他工程结构、设施、设备、财物等破坏而引起的经济损失，以重置所需费用计算。不包括文物古迹和非实物财产，如货币、有价证券等损失。场地和文物古迹破坏不折算为经济损失，只描述破坏状态。</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49" w:name="_Toc28701"/>
      <w:bookmarkStart w:id="650" w:name="_Toc16009"/>
      <w:bookmarkStart w:id="651" w:name="_Toc27493"/>
      <w:bookmarkStart w:id="652" w:name="_Toc513"/>
      <w:bookmarkStart w:id="653" w:name="_Toc32553"/>
      <w:bookmarkStart w:id="654" w:name="_Toc19942"/>
      <w:bookmarkStart w:id="655" w:name="_Toc16776"/>
      <w:bookmarkStart w:id="656" w:name="_Toc12461"/>
      <w:bookmarkStart w:id="657" w:name="_Toc9698"/>
      <w:bookmarkStart w:id="658" w:name="_Toc12328"/>
      <w:r>
        <w:rPr>
          <w:rFonts w:hint="eastAsia" w:ascii="楷体_GB2312" w:hAnsi="楷体_GB2312" w:eastAsia="楷体_GB2312" w:cs="楷体_GB2312"/>
          <w:b w:val="0"/>
          <w:bCs w:val="0"/>
          <w:color w:val="auto"/>
          <w:spacing w:val="0"/>
          <w:sz w:val="32"/>
          <w:szCs w:val="32"/>
          <w:lang w:val="en-US" w:eastAsia="zh-CN" w:bidi="ar-SA"/>
        </w:rPr>
        <w:t>6.2 预案管理</w:t>
      </w:r>
      <w:bookmarkEnd w:id="649"/>
      <w:bookmarkEnd w:id="650"/>
      <w:bookmarkEnd w:id="651"/>
      <w:bookmarkEnd w:id="652"/>
      <w:bookmarkEnd w:id="653"/>
      <w:bookmarkEnd w:id="654"/>
      <w:bookmarkEnd w:id="655"/>
      <w:bookmarkEnd w:id="656"/>
      <w:bookmarkEnd w:id="657"/>
      <w:bookmarkEnd w:id="658"/>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本预案由区应急管理局会同有关部门、单位组织制订，报区人民政府批准后印发实施。由区应急管理局负责解释。</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59" w:name="_Toc6667"/>
      <w:bookmarkStart w:id="660" w:name="_Toc15264"/>
      <w:bookmarkStart w:id="661" w:name="_Toc12517"/>
      <w:bookmarkStart w:id="662" w:name="_Toc3837"/>
      <w:bookmarkStart w:id="663" w:name="_Toc10807"/>
      <w:bookmarkStart w:id="664" w:name="_Toc17302"/>
      <w:bookmarkStart w:id="665" w:name="_Toc22168"/>
      <w:bookmarkStart w:id="666" w:name="_Toc25080"/>
      <w:bookmarkStart w:id="667" w:name="_Toc1787"/>
      <w:bookmarkStart w:id="668" w:name="_Toc13097"/>
      <w:r>
        <w:rPr>
          <w:rFonts w:hint="eastAsia" w:ascii="楷体_GB2312" w:hAnsi="楷体_GB2312" w:eastAsia="楷体_GB2312" w:cs="楷体_GB2312"/>
          <w:b w:val="0"/>
          <w:bCs w:val="0"/>
          <w:color w:val="auto"/>
          <w:spacing w:val="0"/>
          <w:sz w:val="32"/>
          <w:szCs w:val="32"/>
          <w:lang w:val="en-US" w:eastAsia="zh-CN" w:bidi="ar-SA"/>
        </w:rPr>
        <w:t>6.3 预案衔接</w:t>
      </w:r>
      <w:bookmarkEnd w:id="659"/>
      <w:bookmarkEnd w:id="660"/>
      <w:bookmarkEnd w:id="661"/>
      <w:bookmarkEnd w:id="662"/>
      <w:bookmarkEnd w:id="663"/>
      <w:bookmarkEnd w:id="664"/>
      <w:bookmarkEnd w:id="665"/>
      <w:bookmarkEnd w:id="666"/>
      <w:bookmarkEnd w:id="667"/>
      <w:bookmarkEnd w:id="668"/>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镇人民政府制定本行政区域突发地质灾害应急预案，报区应急管理部门备案。有关主管部门、单位要按照本预案规定认真履行职责，并结合实际制定本部门、本单位的突发地质灾害应急预案，报同级应急管理部门备案。</w:t>
      </w:r>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各镇人民政府突发地质灾害应急预案要与上级突发地质灾害应急预案相衔接。</w:t>
      </w:r>
    </w:p>
    <w:p>
      <w:pPr>
        <w:pStyle w:val="6"/>
        <w:pageBreakBefore w:val="0"/>
        <w:kinsoku/>
        <w:wordWrap/>
        <w:overflowPunct/>
        <w:topLinePunct w:val="0"/>
        <w:autoSpaceDE/>
        <w:autoSpaceDN/>
        <w:bidi w:val="0"/>
        <w:adjustRightInd/>
        <w:snapToGrid/>
        <w:spacing w:beforeLines="0" w:afterLines="0" w:line="600" w:lineRule="exact"/>
        <w:ind w:left="0" w:leftChars="0" w:firstLine="632" w:firstLineChars="200"/>
        <w:jc w:val="both"/>
        <w:textAlignment w:val="auto"/>
        <w:rPr>
          <w:rFonts w:hint="eastAsia" w:ascii="楷体_GB2312" w:hAnsi="楷体_GB2312" w:eastAsia="楷体_GB2312" w:cs="楷体_GB2312"/>
          <w:b w:val="0"/>
          <w:bCs w:val="0"/>
          <w:color w:val="auto"/>
          <w:spacing w:val="0"/>
          <w:sz w:val="32"/>
          <w:szCs w:val="32"/>
          <w:lang w:val="en-US" w:eastAsia="zh-CN" w:bidi="ar-SA"/>
        </w:rPr>
      </w:pPr>
      <w:bookmarkStart w:id="669" w:name="_Toc25094"/>
      <w:bookmarkStart w:id="670" w:name="_Toc4542"/>
      <w:bookmarkStart w:id="671" w:name="_Toc5972"/>
      <w:bookmarkStart w:id="672" w:name="_Toc28540"/>
      <w:bookmarkStart w:id="673" w:name="_Toc6136"/>
      <w:bookmarkStart w:id="674" w:name="_Toc22307"/>
      <w:bookmarkStart w:id="675" w:name="_Toc22225"/>
      <w:bookmarkStart w:id="676" w:name="_Toc1171"/>
      <w:bookmarkStart w:id="677" w:name="_Toc2461"/>
      <w:bookmarkStart w:id="678" w:name="_Toc26737"/>
      <w:r>
        <w:rPr>
          <w:rFonts w:hint="eastAsia" w:ascii="楷体_GB2312" w:hAnsi="楷体_GB2312" w:eastAsia="楷体_GB2312" w:cs="楷体_GB2312"/>
          <w:b w:val="0"/>
          <w:bCs w:val="0"/>
          <w:color w:val="auto"/>
          <w:spacing w:val="0"/>
          <w:sz w:val="32"/>
          <w:szCs w:val="32"/>
          <w:lang w:val="en-US" w:eastAsia="zh-CN" w:bidi="ar-SA"/>
        </w:rPr>
        <w:t>6.4 预案实施时间</w:t>
      </w:r>
      <w:bookmarkEnd w:id="669"/>
      <w:bookmarkEnd w:id="670"/>
      <w:bookmarkEnd w:id="671"/>
      <w:bookmarkEnd w:id="672"/>
      <w:bookmarkEnd w:id="673"/>
      <w:bookmarkEnd w:id="674"/>
      <w:bookmarkEnd w:id="675"/>
      <w:bookmarkEnd w:id="676"/>
      <w:bookmarkEnd w:id="677"/>
      <w:bookmarkEnd w:id="678"/>
    </w:p>
    <w:p>
      <w:pPr>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本预案自公布之日起实施。2015年清远市清新区人民政府办公室印发的《清新区突发地质灾害应急预案》（清新府办函</w:t>
      </w:r>
      <w:r>
        <w:rPr>
          <w:rFonts w:hint="eastAsia" w:ascii="方正书宋_GBK" w:hAnsi="方正书宋_GBK" w:eastAsia="方正书宋_GBK" w:cs="方正书宋_GBK"/>
          <w:color w:val="auto"/>
          <w:sz w:val="32"/>
          <w:szCs w:val="32"/>
          <w:lang w:eastAsia="zh-CN"/>
        </w:rPr>
        <w:t>〔</w:t>
      </w:r>
      <w:r>
        <w:rPr>
          <w:rFonts w:hint="eastAsia" w:ascii="仿宋" w:hAnsi="仿宋" w:eastAsia="仿宋" w:cs="仿宋"/>
          <w:color w:val="auto"/>
          <w:sz w:val="32"/>
          <w:szCs w:val="32"/>
          <w:lang w:eastAsia="zh-CN"/>
        </w:rPr>
        <w:t>2015</w:t>
      </w:r>
      <w:r>
        <w:rPr>
          <w:rFonts w:hint="eastAsia" w:ascii="方正书宋_GBK" w:hAnsi="方正书宋_GBK" w:eastAsia="方正书宋_GBK" w:cs="方正书宋_GBK"/>
          <w:color w:val="auto"/>
          <w:sz w:val="32"/>
          <w:szCs w:val="32"/>
          <w:lang w:eastAsia="zh-CN"/>
        </w:rPr>
        <w:t>〕</w:t>
      </w:r>
      <w:r>
        <w:rPr>
          <w:rFonts w:hint="eastAsia" w:ascii="仿宋" w:hAnsi="仿宋" w:eastAsia="仿宋" w:cs="仿宋"/>
          <w:color w:val="auto"/>
          <w:sz w:val="32"/>
          <w:szCs w:val="32"/>
          <w:lang w:eastAsia="zh-CN"/>
        </w:rPr>
        <w:t>67号）同时废止。</w:t>
      </w: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color w:val="auto"/>
          <w:sz w:val="32"/>
          <w:szCs w:val="32"/>
          <w:lang w:eastAsia="zh-CN"/>
        </w:rPr>
      </w:pPr>
    </w:p>
    <w:p>
      <w:pPr>
        <w:pageBreakBefore w:val="0"/>
        <w:widowControl w:val="0"/>
        <w:kinsoku/>
        <w:wordWrap/>
        <w:overflowPunct/>
        <w:topLinePunct w:val="0"/>
        <w:autoSpaceDE/>
        <w:autoSpaceDN/>
        <w:bidi w:val="0"/>
        <w:adjustRightInd/>
        <w:snapToGrid/>
        <w:spacing w:line="600" w:lineRule="exact"/>
        <w:ind w:left="1899" w:leftChars="201" w:hanging="1264" w:hangingChars="400"/>
        <w:jc w:val="both"/>
        <w:textAlignment w:val="auto"/>
        <w:rPr>
          <w:rFonts w:hint="eastAsia" w:ascii="仿宋" w:hAnsi="仿宋" w:eastAsia="仿宋" w:cs="仿宋"/>
          <w:color w:val="auto"/>
          <w:sz w:val="32"/>
          <w:szCs w:val="32"/>
          <w:lang w:val="en-US" w:eastAsia="zh-CN"/>
        </w:rPr>
      </w:pPr>
      <w:bookmarkStart w:id="679" w:name="_Toc26708"/>
      <w:bookmarkStart w:id="680" w:name="_Toc23982"/>
      <w:bookmarkStart w:id="681" w:name="_Toc19118"/>
      <w:bookmarkStart w:id="682" w:name="_Toc23523"/>
      <w:bookmarkStart w:id="683" w:name="_Toc17973"/>
      <w:bookmarkStart w:id="684" w:name="_Toc16233"/>
      <w:bookmarkStart w:id="685" w:name="_Toc24157"/>
      <w:bookmarkStart w:id="686" w:name="_Toc17544"/>
      <w:bookmarkStart w:id="687" w:name="_Toc25257"/>
      <w:r>
        <w:rPr>
          <w:rFonts w:hint="eastAsia" w:ascii="仿宋" w:hAnsi="仿宋" w:eastAsia="仿宋" w:cs="仿宋"/>
          <w:color w:val="auto"/>
          <w:sz w:val="32"/>
          <w:szCs w:val="32"/>
          <w:lang w:val="en-US" w:eastAsia="zh-CN"/>
        </w:rPr>
        <w:t>附</w:t>
      </w:r>
      <w:bookmarkEnd w:id="679"/>
      <w:bookmarkEnd w:id="680"/>
      <w:bookmarkEnd w:id="681"/>
      <w:bookmarkEnd w:id="682"/>
      <w:bookmarkEnd w:id="683"/>
      <w:bookmarkEnd w:id="684"/>
      <w:bookmarkEnd w:id="685"/>
      <w:bookmarkEnd w:id="686"/>
      <w:bookmarkEnd w:id="687"/>
      <w:r>
        <w:rPr>
          <w:rFonts w:hint="eastAsia" w:ascii="仿宋" w:hAnsi="仿宋" w:eastAsia="仿宋" w:cs="仿宋"/>
          <w:color w:val="auto"/>
          <w:sz w:val="32"/>
          <w:szCs w:val="32"/>
          <w:lang w:val="en-US" w:eastAsia="zh-CN"/>
        </w:rPr>
        <w:t>录：1.清远市清新区突发地质灾害应急指挥部成员单位职责</w:t>
      </w:r>
    </w:p>
    <w:p>
      <w:pPr>
        <w:pStyle w:val="2"/>
        <w:ind w:left="1899" w:leftChars="501" w:hanging="316" w:hangingChars="1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2.清远市清新区突发地质灾害应急指挥部工作组及职责</w:t>
      </w:r>
    </w:p>
    <w:p>
      <w:pPr>
        <w:pStyle w:val="2"/>
        <w:ind w:left="0" w:leftChars="0" w:firstLine="1580" w:firstLineChars="5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3.地质灾害分级标准</w:t>
      </w:r>
    </w:p>
    <w:p>
      <w:pPr>
        <w:pStyle w:val="2"/>
        <w:ind w:left="0" w:leftChars="0" w:firstLine="1580" w:firstLineChars="5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4.地质灾害易发区分布图</w:t>
      </w:r>
    </w:p>
    <w:p>
      <w:pPr>
        <w:pageBreakBefore w:val="0"/>
        <w:kinsoku/>
        <w:wordWrap/>
        <w:overflowPunct/>
        <w:topLinePunct w:val="0"/>
        <w:autoSpaceDE/>
        <w:autoSpaceDN/>
        <w:bidi w:val="0"/>
        <w:adjustRightInd/>
        <w:snapToGrid/>
        <w:spacing w:line="600" w:lineRule="exact"/>
        <w:ind w:firstLine="632" w:firstLineChars="200"/>
        <w:jc w:val="both"/>
        <w:textAlignment w:val="auto"/>
        <w:outlineLvl w:val="9"/>
        <w:rPr>
          <w:rFonts w:hint="eastAsia"/>
          <w:color w:val="auto"/>
          <w:sz w:val="32"/>
          <w:szCs w:val="32"/>
          <w:lang w:eastAsia="zh-CN"/>
        </w:rPr>
      </w:pPr>
      <w:bookmarkStart w:id="688" w:name="_Toc25028"/>
      <w:r>
        <w:rPr>
          <w:rFonts w:hint="eastAsia" w:ascii="仿宋_GB2312" w:hAnsi="仿宋_GB2312" w:eastAsia="仿宋_GB2312" w:cs="仿宋_GB2312"/>
          <w:color w:val="auto"/>
          <w:sz w:val="32"/>
          <w:szCs w:val="32"/>
          <w:lang w:eastAsia="zh-CN"/>
        </w:rPr>
        <w:br w:type="page"/>
      </w:r>
      <w:bookmarkStart w:id="689" w:name="_Toc23941"/>
      <w:bookmarkStart w:id="690" w:name="_Toc15112"/>
      <w:bookmarkStart w:id="691" w:name="_Toc27807"/>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both"/>
        <w:textAlignment w:val="auto"/>
        <w:outlineLvl w:val="1"/>
        <w:rPr>
          <w:rFonts w:hint="eastAsia" w:ascii="黑体" w:hAnsi="黑体" w:eastAsia="黑体" w:cs="黑体"/>
          <w:b w:val="0"/>
          <w:bCs w:val="0"/>
          <w:color w:val="auto"/>
          <w:kern w:val="0"/>
          <w:sz w:val="32"/>
          <w:szCs w:val="32"/>
          <w:lang w:val="en-US" w:eastAsia="zh-CN" w:bidi="ar-SA"/>
        </w:rPr>
      </w:pPr>
      <w:bookmarkStart w:id="692" w:name="_Toc14649"/>
      <w:bookmarkStart w:id="693" w:name="_Toc24149"/>
      <w:bookmarkStart w:id="694" w:name="_Toc25838"/>
      <w:bookmarkStart w:id="695" w:name="_Toc13177"/>
      <w:bookmarkStart w:id="696" w:name="_Toc11675"/>
      <w:bookmarkStart w:id="697" w:name="_Toc12361"/>
      <w:bookmarkStart w:id="698" w:name="_Toc9449"/>
      <w:r>
        <w:rPr>
          <w:rFonts w:hint="eastAsia" w:ascii="黑体" w:hAnsi="黑体" w:eastAsia="黑体" w:cs="黑体"/>
          <w:b w:val="0"/>
          <w:bCs w:val="0"/>
          <w:color w:val="auto"/>
          <w:kern w:val="0"/>
          <w:sz w:val="32"/>
          <w:szCs w:val="32"/>
          <w:lang w:val="en-US" w:eastAsia="zh-CN" w:bidi="ar-SA"/>
        </w:rPr>
        <w:t>附录1</w:t>
      </w:r>
      <w:bookmarkEnd w:id="688"/>
      <w:bookmarkEnd w:id="689"/>
      <w:bookmarkEnd w:id="690"/>
      <w:bookmarkEnd w:id="691"/>
      <w:bookmarkEnd w:id="692"/>
      <w:bookmarkEnd w:id="693"/>
      <w:bookmarkEnd w:id="694"/>
      <w:bookmarkEnd w:id="695"/>
      <w:bookmarkEnd w:id="696"/>
      <w:bookmarkEnd w:id="697"/>
      <w:r>
        <w:rPr>
          <w:rFonts w:hint="eastAsia" w:ascii="黑体" w:hAnsi="黑体" w:eastAsia="黑体" w:cs="黑体"/>
          <w:b w:val="0"/>
          <w:bCs w:val="0"/>
          <w:color w:val="auto"/>
          <w:kern w:val="0"/>
          <w:sz w:val="32"/>
          <w:szCs w:val="32"/>
          <w:lang w:val="en-US" w:eastAsia="zh-CN" w:bidi="ar-SA"/>
        </w:rPr>
        <w:t xml:space="preserve"> </w:t>
      </w: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center"/>
        <w:textAlignment w:val="auto"/>
        <w:outlineLvl w:val="1"/>
        <w:rPr>
          <w:rFonts w:hint="eastAsia" w:ascii="方正小标宋_GBK" w:hAnsi="方正小标宋_GBK" w:eastAsia="方正小标宋_GBK" w:cs="方正小标宋_GBK"/>
          <w:b w:val="0"/>
          <w:bCs w:val="0"/>
          <w:color w:val="auto"/>
          <w:kern w:val="0"/>
          <w:sz w:val="44"/>
          <w:szCs w:val="44"/>
          <w:lang w:val="en-US" w:eastAsia="zh-CN" w:bidi="ar-SA"/>
        </w:rPr>
      </w:pP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center"/>
        <w:textAlignment w:val="auto"/>
        <w:outlineLvl w:val="1"/>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清远市清新区突发地质灾害应急指挥部</w:t>
      </w: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center"/>
        <w:textAlignment w:val="auto"/>
        <w:outlineLvl w:val="1"/>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成员单位职责</w:t>
      </w:r>
      <w:bookmarkEnd w:id="698"/>
    </w:p>
    <w:p>
      <w:pPr>
        <w:pageBreakBefore w:val="0"/>
        <w:kinsoku/>
        <w:wordWrap/>
        <w:overflowPunct/>
        <w:topLinePunct w:val="0"/>
        <w:autoSpaceDE/>
        <w:autoSpaceDN/>
        <w:bidi w:val="0"/>
        <w:adjustRightInd/>
        <w:snapToGrid/>
        <w:spacing w:line="600" w:lineRule="exact"/>
        <w:ind w:firstLine="632" w:firstLineChars="200"/>
        <w:jc w:val="both"/>
        <w:textAlignment w:val="auto"/>
        <w:rPr>
          <w:rFonts w:ascii="黑体" w:hAnsi="黑体" w:eastAsia="黑体"/>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各成员单位根据应急响应级别，按照区指挥部的统一部署和各自职责，共同做好突发地质灾害的应急处置工作。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委宣传部：负责参与突发地质灾害应急宣传报道的组织协调工作。适时组织召开新闻发布会，发布重大地质灾害灾情和救灾信息，协调新闻媒体做好抢险救灾宣传报道。参与突发地质灾害应急宣传报道的组织协调工作，指导协调新闻媒体做好抢险救灾宣传报道，及时管控突发敏感网上舆情。</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区委统战部（区委台港澳办）：负责参与协调、督促、指导台湾、香港、澳门地区居民及法人、在我区遭遇地质灾害的处理工作，协调、安排台湾、香港、澳门地区来我区救援人员的接待工作。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区人民武装部（军事科）：组织民兵参加抢险救灾工作，协助地方政府抢救和转移危险地区群众。</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区发展改革局：负责安排重大抢险救灾基建项目，协调建设资金；组织协调灾区政府及有关部门编制灾后恢复重建总体规划。</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教育局：负责危及托幼机构及学校（不含技校，下同）校舍和附属设施安全的地质灾害险情排查、监测和治理工作；灾害发生时幼儿、幼师及在校师生安全管理和组织疏散，妥善解决灾区学生就学问题；开展学生防灾减灾应急知识宣传教育工作；指导灾后校舍恢复重建。</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市公安局清新分局：负责组织、指挥、协调各级公安机关参与抢险救灾，配合当地人民政府组织疏散、撤离受地质灾害威胁的人员；组织维护灾区社会治安，实施灾区交通疏导，依法打击蓄意扩大化传播地质灾害险情违法犯罪活动，有效预防和妥善处置突发地质灾害引发的群体性事件。</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工业和信息化局：负责保障各镇人民政府、有关单位与突发地质灾害发生地之间应急无线电通信业务频率的正常使用，参与指导灾区政府及有关部门编制灾后恢复重建规划。协助区科研力量开展地质灾害预测、预报、预警和应急救援相关科研项目攻关。负责协调灾区生活必需品的市场供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区司法局：负责灾区司法行政系统特殊单位及群体人员的应急安置工作。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财政局：负责会同区自然资源局做好年度地质灾害防治资金预算；根据地质灾害应急处置工作需要，安排、落实专项资金；审查救灾款的分配、投向和效益，下拨和监督管理救灾应急资金；督促镇级财政落实本级财政负担的应急防治资金和救援资金；参与灾区政府及有关部门编制灾后恢复重建规划。</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人力资源社会保障局：负责组织技工院校开展校园地质灾害风险隐患排查，会同有关部门加强对校园及周边危及校舍及附属设施安全的地质灾害险情进行排查、监测和治理；指导协调灾区技校在校师生安全管理和组织疏散，妥善解决灾区学生就学问题；组织开展学生防灾减灾应急知识宣传教育演练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市自然资源局清新分局：负责组织开展地质灾害隐患调查、排查；指导地质灾害群测群防、专业监测、预警预报、地质灾害隐患综合治理等工作，组织开展重大地质灾害隐患治理工作；承担地质灾害应急救援的技术支撑工作，负责地质灾害成因分析；参与指导灾区政府及有关部门编制灾后恢复重建规划；协调做好防灾减灾救灾有关用地保障工作；指导各地地质灾害应急抢险治理技术队伍储备库建设。</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市生态环境局清新分局：负责灾区突发环境事件的排查、监控与环境影响调查，防止发生环境污染次生灾害；负责地质灾害引发次生突发环境事件的环境监测工作；参与指导灾区政府及有关部门编制灾后重建规划和工程建设。</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住房城乡建设局：负责组织各街镇开展城乡房屋建筑、公共服务设施和附属设施的险情排查、监测和治理；指导处置灾区房屋建筑、公共服务设施和附属设施的的安全隐患，评估受灾建筑物的损坏程度；指导灾后重建工程建设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交通运输局：负责对公路用地范围内的公路沿线和危害交通干线附属设施的地质灾害险情排查、监测和治理工作；及时组织、指挥、协调抢修损毁的交通设施，保障道路畅通；在危险路段设立警示标志；配合做好抢险救灾人员、物资以及撤离人员的紧急运输工作；参与指导灾区政府及有关部门编制灾后重建规划和工程建设。</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区水利局：负责组织对水利工程管理范围内的地质灾害险情排查、监测和治理工作；组织水情、汛情监测并对地质灾害损毁水利工程设施进行修复等工作。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highlight w:val="yellow"/>
          <w:lang w:eastAsia="zh-CN"/>
        </w:rPr>
      </w:pPr>
      <w:r>
        <w:rPr>
          <w:rFonts w:hint="eastAsia" w:ascii="仿宋" w:hAnsi="仿宋" w:eastAsia="仿宋" w:cs="仿宋"/>
          <w:b w:val="0"/>
          <w:bCs w:val="0"/>
          <w:color w:val="auto"/>
          <w:sz w:val="32"/>
          <w:szCs w:val="32"/>
          <w:lang w:eastAsia="zh-CN"/>
        </w:rPr>
        <w:t>区农业农村局：负责组织灾区动物疫病的预防、控制和扑灭工作，加强动物疫情监测，防止和控制动物疫病爆发流行；及时组织开展灾后农牧业查灾、生产恢复和自救工作；参与指导灾区政府及有关部门编制灾后重建规划和工程建设指导。</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文化广电旅游体育局：负责组织对旅游景区内地质灾害隐患的巡查排查、配合有关部门对景区及附属建筑设施安全的地质灾害险情进行监测和治理；统筹指导旅游景区内受地质灾害损毁的旅游基础设施和服务设施的恢复重建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卫生健康局：负责组织医疗卫生机构对周边地质灾害风险隐患的巡查排查，会同有关部门加强对医疗卫生机构及周边危及附属设施安全的地质灾害险情进行监测和治理；组织调度医疗卫生技术力量，开展医疗救护和抢救伤病员工作；加强灾区卫生防疫，做好疾病预防控制和卫生监督等工作，必要时提供医疗技术支持。</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应急管理局：负责区指挥部办公室日常工作；负责汇总灾情，制定应急救援行动计划，部署地质灾害专业救援队伍前往灾区开展救援，协调有关救援队伍参与救灾行动，协调志愿者队伍开展应急救援行动，协调有关专家指导应急救援工作；核定、报告和发布灾情信息；组织制订受灾群众安置与救助方案，组织协调相关部门调拨救灾款物，会同有关方面组织协调紧急转移和安置受灾群众相关工作，做好遇难人员善后工作；组织开展地质灾害灾后调查评估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sz w:val="32"/>
          <w:szCs w:val="32"/>
          <w:lang w:eastAsia="zh-CN"/>
        </w:rPr>
        <w:t>区市场监管局：负责紧急调配食品、饮用水、药品等救灾物资，保障灾区群众生活必需品的供应，保障灾区市场供应，稳定</w:t>
      </w:r>
      <w:r>
        <w:rPr>
          <w:rFonts w:hint="eastAsia" w:ascii="仿宋" w:hAnsi="仿宋" w:eastAsia="仿宋" w:cs="仿宋"/>
          <w:b w:val="0"/>
          <w:bCs w:val="0"/>
          <w:color w:val="auto"/>
          <w:sz w:val="32"/>
          <w:szCs w:val="32"/>
          <w:highlight w:val="none"/>
          <w:lang w:eastAsia="zh-CN"/>
        </w:rPr>
        <w:t>市场秩序。</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区政务服务数据管理局：组织协调推进政务数据资源共享和开放，统筹政务数据资源的采集、分类、管理、分析和应用工作，为区指挥部有关决策提供数据分析技术支持。</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highlight w:val="none"/>
          <w:lang w:eastAsia="zh-CN"/>
        </w:rPr>
        <w:t>区融媒体中心：负责</w:t>
      </w:r>
      <w:r>
        <w:rPr>
          <w:rFonts w:hint="eastAsia" w:ascii="仿宋" w:hAnsi="仿宋" w:eastAsia="仿宋" w:cs="仿宋"/>
          <w:b w:val="0"/>
          <w:bCs w:val="0"/>
          <w:color w:val="auto"/>
          <w:sz w:val="32"/>
          <w:szCs w:val="32"/>
          <w:lang w:eastAsia="zh-CN"/>
        </w:rPr>
        <w:t>组织对广播电视设施、设备周边地质灾害隐患的巡查排查、监测和治理工作；完善灾区广播电视传输覆盖网，建立完善应急广播电视网络，确保公众能及时、准确地获取政府部门发布的权威地质灾害信息。</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团区委：组织青年志愿者队伍参与抢险救灾工作。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区消防救援大队：组织、指导区内各级消防队伍参与抢险救灾工作；协助灾区政府疏散和营救危险地区群众。</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清新供电局：及时组织修复所辖区域受损毁的电网及供电设备，保障所辖灾区应急处置临时供电需求和灾区电力供应。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武警清新中队：组织、指挥所属部队参与抢险救灾工作；协助地方政府维护社会治安和救助受威胁群众。</w:t>
      </w:r>
    </w:p>
    <w:p>
      <w:pPr>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8"/>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黑体" w:hAnsi="黑体" w:eastAsia="黑体"/>
          <w:b w:val="0"/>
          <w:bCs w:val="0"/>
          <w:color w:val="auto"/>
          <w:sz w:val="32"/>
          <w:szCs w:val="32"/>
          <w:lang w:eastAsia="zh-CN"/>
        </w:rPr>
      </w:pP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both"/>
        <w:textAlignment w:val="auto"/>
        <w:outlineLvl w:val="1"/>
        <w:rPr>
          <w:rFonts w:hint="eastAsia" w:ascii="宋体" w:hAnsi="宋体" w:eastAsia="宋体" w:cs="宋体"/>
          <w:b w:val="0"/>
          <w:bCs w:val="0"/>
          <w:color w:val="auto"/>
          <w:sz w:val="32"/>
          <w:szCs w:val="32"/>
          <w:lang w:val="en-US" w:eastAsia="zh-CN"/>
        </w:rPr>
      </w:pPr>
      <w:bookmarkStart w:id="699" w:name="_Toc15254"/>
      <w:bookmarkStart w:id="700" w:name="_Toc26172"/>
      <w:bookmarkStart w:id="701" w:name="_Toc5620"/>
      <w:bookmarkStart w:id="702" w:name="_Toc15696"/>
      <w:bookmarkStart w:id="703" w:name="_Toc7247"/>
      <w:bookmarkStart w:id="704" w:name="_Toc15194"/>
      <w:bookmarkStart w:id="705" w:name="_Toc10936"/>
      <w:bookmarkStart w:id="706" w:name="_Toc29650"/>
      <w:bookmarkStart w:id="707" w:name="_Toc23016"/>
      <w:bookmarkStart w:id="708" w:name="_Toc1539"/>
      <w:bookmarkStart w:id="709" w:name="_Toc27080"/>
      <w:r>
        <w:rPr>
          <w:rFonts w:hint="eastAsia" w:ascii="黑体" w:hAnsi="黑体" w:eastAsia="黑体" w:cs="黑体"/>
          <w:b w:val="0"/>
          <w:bCs w:val="0"/>
          <w:color w:val="auto"/>
          <w:kern w:val="0"/>
          <w:sz w:val="32"/>
          <w:szCs w:val="32"/>
          <w:lang w:val="en-US" w:eastAsia="zh-CN" w:bidi="ar-SA"/>
        </w:rPr>
        <w:t>附录2</w:t>
      </w:r>
      <w:bookmarkEnd w:id="699"/>
      <w:bookmarkEnd w:id="700"/>
      <w:bookmarkEnd w:id="701"/>
      <w:bookmarkEnd w:id="702"/>
      <w:r>
        <w:rPr>
          <w:rFonts w:hint="eastAsia" w:ascii="宋体" w:hAnsi="宋体" w:eastAsia="宋体" w:cs="宋体"/>
          <w:b w:val="0"/>
          <w:bCs w:val="0"/>
          <w:color w:val="auto"/>
          <w:sz w:val="32"/>
          <w:szCs w:val="32"/>
          <w:lang w:val="en-US" w:eastAsia="zh-CN"/>
        </w:rPr>
        <w:t xml:space="preserve"> </w:t>
      </w: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both"/>
        <w:textAlignment w:val="auto"/>
        <w:outlineLvl w:val="1"/>
        <w:rPr>
          <w:rFonts w:hint="eastAsia" w:ascii="宋体" w:hAnsi="宋体" w:eastAsia="宋体" w:cs="宋体"/>
          <w:b w:val="0"/>
          <w:bCs w:val="0"/>
          <w:color w:val="auto"/>
          <w:sz w:val="32"/>
          <w:szCs w:val="32"/>
          <w:lang w:val="en-US" w:eastAsia="zh-CN"/>
        </w:rPr>
      </w:pP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both"/>
        <w:textAlignment w:val="auto"/>
        <w:outlineLvl w:val="1"/>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清新区突发地质灾害应急指挥部工作组及职责</w:t>
      </w:r>
      <w:bookmarkEnd w:id="703"/>
    </w:p>
    <w:p>
      <w:pPr>
        <w:pageBreakBefore w:val="0"/>
        <w:kinsoku/>
        <w:wordWrap/>
        <w:overflowPunct/>
        <w:topLinePunct w:val="0"/>
        <w:autoSpaceDE/>
        <w:autoSpaceDN/>
        <w:bidi w:val="0"/>
        <w:adjustRightInd/>
        <w:snapToGrid/>
        <w:spacing w:line="600" w:lineRule="exact"/>
        <w:ind w:firstLine="632" w:firstLineChars="200"/>
        <w:jc w:val="both"/>
        <w:textAlignment w:val="auto"/>
        <w:rPr>
          <w:rFonts w:ascii="黑体" w:hAnsi="黑体" w:eastAsia="黑体"/>
          <w:b w:val="0"/>
          <w:bCs w:val="0"/>
          <w:color w:val="auto"/>
          <w:sz w:val="32"/>
          <w:szCs w:val="32"/>
          <w:lang w:eastAsia="zh-CN"/>
        </w:rPr>
      </w:pPr>
    </w:p>
    <w:bookmarkEnd w:id="704"/>
    <w:bookmarkEnd w:id="705"/>
    <w:bookmarkEnd w:id="706"/>
    <w:bookmarkEnd w:id="707"/>
    <w:bookmarkEnd w:id="708"/>
    <w:bookmarkEnd w:id="709"/>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区指挥部根据需要设立综合信息组、抢险救援组、群众安置与物资保障组、地质灾害监测和防控组、卫生防疫组、社会治安组、基础设施保障组、交通运输组、灾情损失评估组、舆情应对与宣传组、涉外及涉港澳台工作组、恢复重建组，设立区专家组，各工作组在区指挥部统一指挥下开展工作。必要时，区指挥部可在险情灾情现场设立现场指挥部，现场指挥部的组织架构可参照上述分组进行组建。</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综合信息组由区应急管理局牵头，区人民武装部军事科、市自然资源局清新分局、区住房城乡建设局、区政务服务数据管理局、区消防救援大队等单位参加。在区指挥部的统一部署指挥下，充分运用大数据等信息化手段分析灾害的影响程度并提供市指挥部作为决策参考；汇总、上报险情、灾情和应急处置情况。承担区指挥部交办的其他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抢险救援组由区应急管理局牵头，武警部队和消防救援队伍、地方综合应急救援和民间救援参加。在区指挥部的统一部署指挥下，组织指导开展搜索营救被困群众和受伤人员，发动基层干部群众开展自救互救，清理灾区现场，组织救援人员和物资的空运、空投工作，全力保障应急救援现场与市指挥部的通信畅通。</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群众安置和物资保障组由区应急管理局牵头，区发展改革局、区教育局、区财政局、区人力资源社会保障局、区文化广电旅游体育局、区市场监管局等单位参加。在区指挥部的统一部署指挥下，组织指导制订受灾群众救助工作方案以及相应的应急物资和资金保障方案，指导有关地区做好因灾倒塌房屋群众的紧急安置，保障灾区群众基本生活，保障灾区市场供应，协调办理接收国家、外省、市（区）以及国际捐赠和救助有关事务。</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4.地质灾害监测和防控组由市自然资源局清新分局牵头，市生态环境局清新分局、区水利局等单位参加。在区指挥部的统一部署指挥下，指导开展地质灾害监测和次生灾害防范，调集必要的技术力量和设备，密切监测险情灾情发展，做好地质灾害预警预报工作，及时指导当地政府组织疏散受灾害威胁群众；及时向区指挥部办公室报送灾害监测信息；加强江河水质监测和污染防控，保障重大、重点监测设施运行安全。</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5.卫生防疫组由区卫生健康局牵头，区农业农村局、区市场监管局、团区委等单位参加。在区指挥部的统一部署指挥下，组织做好医疗救助和卫生防疫，组织医疗救护队伍，调集医疗器械、药品，对受伤人员进行救治；防范和控制各种传染病等疫病的暴发流行。</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6.社会治安组由市公安局清新分局牵头，区司法局、武警</w:t>
      </w:r>
      <w:r>
        <w:rPr>
          <w:rFonts w:hint="eastAsia" w:ascii="仿宋_GB2312" w:hAnsi="仿宋_GB2312" w:eastAsia="仿宋_GB2312" w:cs="仿宋_GB2312"/>
          <w:b w:val="0"/>
          <w:bCs w:val="0"/>
          <w:color w:val="auto"/>
          <w:sz w:val="32"/>
          <w:szCs w:val="32"/>
          <w:lang w:val="en-US" w:eastAsia="zh-CN"/>
        </w:rPr>
        <w:t>清新中队</w:t>
      </w:r>
      <w:r>
        <w:rPr>
          <w:rFonts w:hint="eastAsia" w:ascii="仿宋_GB2312" w:hAnsi="仿宋_GB2312" w:eastAsia="仿宋_GB2312" w:cs="仿宋_GB2312"/>
          <w:b w:val="0"/>
          <w:bCs w:val="0"/>
          <w:color w:val="auto"/>
          <w:sz w:val="32"/>
          <w:szCs w:val="32"/>
          <w:lang w:eastAsia="zh-CN"/>
        </w:rPr>
        <w:t>部队等单位参加。在区指挥部的统一部署指挥下，负责组织指导灾区加强治安管理和安全保卫工作，预防和打击各种违法犯罪活动，维护社会治安，维护道路交通秩序，加强对党政机关、要害部门、金融单位、物资储备仓库等重要场所的警戒，切实维护社会稳定。</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7.基础设施保障组由区发展改革局牵头，区工业和信息化局、区住房城乡建设局、区交通运输局、区水利局、清新供电局等单位参加。在区指挥部的统一部署指挥下，负责组织铁路、公路、桥梁、隧道等交通设施以及供电、供水、供气、通信等基础设施的抢修和维护；组织调集抢险救援装备，保障灾区抢险救灾应急物资供应。</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8.交通运输组由区交通运输局牵头，市公安局清新分局等单位参加。在区指挥部的统一部署指挥下，协调运力，组织疏导交通，优先保障应急抢险救援人员和救灾物资的运输需要。</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9.灾情损失评估组由区应急管理局牵头，市自然资源局清新分局、市生态环境局清新分局、区住房城乡建设局、区农业农村局等单位参加。在区指挥部的统一部署指挥下，负责组织开展地质灾害损失评估，调查灾区范围、受灾人口、人员伤亡情况、基础设施破坏程度、地质灾害的社会影响程度等。</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10.舆情应对与宣传组由区委宣传</w:t>
      </w:r>
      <w:r>
        <w:rPr>
          <w:rFonts w:hint="eastAsia" w:ascii="仿宋_GB2312" w:hAnsi="仿宋_GB2312" w:eastAsia="仿宋_GB2312" w:cs="仿宋_GB2312"/>
          <w:b w:val="0"/>
          <w:bCs w:val="0"/>
          <w:color w:val="auto"/>
          <w:sz w:val="32"/>
          <w:szCs w:val="32"/>
          <w:highlight w:val="none"/>
          <w:lang w:eastAsia="zh-CN"/>
        </w:rPr>
        <w:t>部牵头，区应急管理局、市公安局清新分局、市自然资源局清新分局、区融媒体中心等</w:t>
      </w:r>
      <w:r>
        <w:rPr>
          <w:rFonts w:hint="eastAsia" w:ascii="仿宋_GB2312" w:hAnsi="仿宋_GB2312" w:eastAsia="仿宋_GB2312" w:cs="仿宋_GB2312"/>
          <w:b w:val="0"/>
          <w:bCs w:val="0"/>
          <w:color w:val="auto"/>
          <w:sz w:val="32"/>
          <w:szCs w:val="32"/>
          <w:lang w:eastAsia="zh-CN"/>
        </w:rPr>
        <w:t>单位参加。在区指挥部的统一部署指挥下，组织召开新闻发布会，发布地质灾害灾情和抢险救灾信息；组织新闻媒体做好抢险救灾宣传报道；及时平息地质灾害灾情险情的谣传、误传，做好舆情监控和引导。</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11.涉外及涉港澳台工作组由市公安局清新分局牵头，区委统战部（区委台港澳办）等单位参加。在区指挥部的统一部署指挥下，负责协调、督促、指导外国和港澳台地区居民及法人在我区遭遇地质灾害的处理工作，协调、安排外宾、港澳台地区和境外来粤救援人员的接待工作；负责协调落实境外人员参与抢险救灾人员和物资装备的通关手续。</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12.恢复重建组由区发展改革局牵头，区工业和信息化局、区财政局、市自然资源局清新分局、市生态环境局清新分局、区住房城乡建设局、区交通运输局、区农业农村局等单位参加。在区指挥部的统一部署指挥下，指导灾区人民政府编制灾后恢复重建规划，协调灾区恢复重建工作。</w:t>
      </w:r>
    </w:p>
    <w:p>
      <w:pPr>
        <w:keepNext w:val="0"/>
        <w:keepLines w:val="0"/>
        <w:pageBreakBefore w:val="0"/>
        <w:widowControl w:val="0"/>
        <w:kinsoku/>
        <w:wordWrap/>
        <w:overflowPunct/>
        <w:topLinePunct w:val="0"/>
        <w:autoSpaceDE/>
        <w:autoSpaceDN/>
        <w:bidi w:val="0"/>
        <w:adjustRightInd/>
        <w:snapToGrid/>
        <w:spacing w:line="600" w:lineRule="exact"/>
        <w:ind w:firstLine="632" w:firstLineChars="200"/>
        <w:jc w:val="both"/>
        <w:textAlignment w:val="auto"/>
        <w:outlineLvl w:val="9"/>
        <w:rPr>
          <w:rFonts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13.</w:t>
      </w:r>
      <w:r>
        <w:rPr>
          <w:rFonts w:hint="eastAsia" w:ascii="仿宋_GB2312" w:hAnsi="仿宋_GB2312" w:eastAsia="仿宋_GB2312" w:cs="仿宋_GB2312"/>
          <w:b w:val="0"/>
          <w:bCs w:val="0"/>
          <w:color w:val="auto"/>
          <w:sz w:val="32"/>
          <w:szCs w:val="32"/>
          <w:lang w:val="en-US" w:eastAsia="zh-CN"/>
        </w:rPr>
        <w:t>区</w:t>
      </w:r>
      <w:r>
        <w:rPr>
          <w:rFonts w:hint="eastAsia" w:ascii="仿宋_GB2312" w:hAnsi="仿宋_GB2312" w:eastAsia="仿宋_GB2312" w:cs="仿宋_GB2312"/>
          <w:b w:val="0"/>
          <w:bCs w:val="0"/>
          <w:color w:val="auto"/>
          <w:sz w:val="32"/>
          <w:szCs w:val="32"/>
          <w:lang w:eastAsia="zh-CN"/>
        </w:rPr>
        <w:t>专家组区指挥部根据灾情险情需要，从区应急管理专家库中抽调有关专家，组成区专家组，指导开展灾情险情评估，分析地质灾害变化趋势，并提出抢险救灾措施建议，为地质灾害应急救援处置工作提供技术支撑。</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1"/>
        <w:rPr>
          <w:rFonts w:hint="eastAsia" w:ascii="黑体" w:hAnsi="黑体" w:eastAsia="黑体" w:cs="黑体"/>
          <w:b w:val="0"/>
          <w:bCs w:val="0"/>
          <w:color w:val="auto"/>
          <w:kern w:val="0"/>
          <w:sz w:val="32"/>
          <w:szCs w:val="32"/>
          <w:lang w:val="en-US" w:eastAsia="zh-CN" w:bidi="ar-SA"/>
        </w:rPr>
      </w:pPr>
      <w:r>
        <w:rPr>
          <w:rFonts w:hint="eastAsia" w:ascii="仿宋_GB2312" w:hAnsi="仿宋_GB2312" w:eastAsia="仿宋_GB2312" w:cs="仿宋_GB2312"/>
          <w:b w:val="0"/>
          <w:bCs w:val="0"/>
          <w:color w:val="auto"/>
          <w:sz w:val="32"/>
          <w:szCs w:val="32"/>
          <w:lang w:eastAsia="zh-CN"/>
        </w:rPr>
        <w:br w:type="page"/>
      </w:r>
      <w:bookmarkStart w:id="710" w:name="_Toc1702"/>
      <w:bookmarkStart w:id="711" w:name="_Toc3956"/>
      <w:bookmarkStart w:id="712" w:name="_Toc1037"/>
      <w:bookmarkStart w:id="713" w:name="_Toc17769"/>
      <w:bookmarkStart w:id="714" w:name="_Toc1376"/>
      <w:bookmarkStart w:id="715" w:name="_Toc7580"/>
      <w:bookmarkStart w:id="716" w:name="_Toc3778"/>
      <w:bookmarkStart w:id="717" w:name="_Toc8721"/>
      <w:bookmarkStart w:id="718" w:name="_Toc21381"/>
      <w:bookmarkStart w:id="719" w:name="_Toc28572"/>
      <w:bookmarkStart w:id="720" w:name="_Toc18609"/>
      <w:r>
        <w:rPr>
          <w:rFonts w:hint="eastAsia" w:ascii="黑体" w:hAnsi="黑体" w:eastAsia="黑体" w:cs="黑体"/>
          <w:b w:val="0"/>
          <w:bCs w:val="0"/>
          <w:color w:val="auto"/>
          <w:kern w:val="0"/>
          <w:sz w:val="32"/>
          <w:szCs w:val="32"/>
          <w:lang w:val="en-US" w:eastAsia="zh-CN" w:bidi="ar-SA"/>
        </w:rPr>
        <w:t>附录3</w:t>
      </w:r>
      <w:bookmarkEnd w:id="710"/>
      <w:bookmarkEnd w:id="711"/>
      <w:bookmarkEnd w:id="712"/>
      <w:bookmarkEnd w:id="713"/>
      <w:bookmarkEnd w:id="714"/>
      <w:bookmarkEnd w:id="715"/>
      <w:bookmarkEnd w:id="716"/>
      <w:bookmarkEnd w:id="717"/>
      <w:bookmarkEnd w:id="718"/>
      <w:bookmarkEnd w:id="719"/>
      <w:r>
        <w:rPr>
          <w:rFonts w:hint="eastAsia" w:ascii="黑体" w:hAnsi="黑体" w:eastAsia="黑体" w:cs="黑体"/>
          <w:b w:val="0"/>
          <w:bCs w:val="0"/>
          <w:color w:val="auto"/>
          <w:kern w:val="0"/>
          <w:sz w:val="32"/>
          <w:szCs w:val="32"/>
          <w:lang w:val="en-US" w:eastAsia="zh-CN" w:bidi="ar-SA"/>
        </w:rPr>
        <w:t xml:space="preserve"> </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bidi="ar-SA"/>
        </w:rPr>
        <w:t>地质灾害分级标准</w:t>
      </w:r>
      <w:bookmarkEnd w:id="72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ascii="黑体" w:hAnsi="黑体" w:eastAsia="黑体"/>
          <w:b w:val="0"/>
          <w:bCs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bookmarkStart w:id="721" w:name="_Toc32465"/>
      <w:bookmarkStart w:id="722" w:name="_Toc1361"/>
      <w:bookmarkStart w:id="723" w:name="_Toc7315"/>
      <w:bookmarkStart w:id="724" w:name="_Toc27763"/>
      <w:bookmarkStart w:id="725" w:name="_Toc11261"/>
      <w:bookmarkStart w:id="726" w:name="_Toc528"/>
      <w:bookmarkStart w:id="727" w:name="_Toc19456"/>
      <w:bookmarkStart w:id="728" w:name="_Toc15895"/>
      <w:bookmarkStart w:id="729" w:name="_Toc14676"/>
      <w:bookmarkStart w:id="730" w:name="_Toc17505"/>
      <w:r>
        <w:rPr>
          <w:rFonts w:hint="eastAsia" w:ascii="仿宋" w:hAnsi="仿宋" w:eastAsia="仿宋" w:cs="仿宋"/>
          <w:b w:val="0"/>
          <w:bCs w:val="0"/>
          <w:color w:val="auto"/>
          <w:sz w:val="32"/>
          <w:szCs w:val="32"/>
          <w:lang w:eastAsia="zh-CN"/>
        </w:rPr>
        <w:t>1.特</w:t>
      </w:r>
      <w:r>
        <w:rPr>
          <w:rFonts w:hint="eastAsia" w:ascii="仿宋" w:hAnsi="仿宋" w:eastAsia="仿宋" w:cs="仿宋"/>
          <w:b w:val="0"/>
          <w:bCs w:val="0"/>
          <w:color w:val="auto"/>
          <w:sz w:val="32"/>
          <w:szCs w:val="32"/>
          <w:lang w:val="en-US" w:eastAsia="zh-CN"/>
        </w:rPr>
        <w:t>大型</w:t>
      </w:r>
      <w:r>
        <w:rPr>
          <w:rFonts w:hint="eastAsia" w:ascii="仿宋" w:hAnsi="仿宋" w:eastAsia="仿宋" w:cs="仿宋"/>
          <w:b w:val="0"/>
          <w:bCs w:val="0"/>
          <w:color w:val="auto"/>
          <w:sz w:val="32"/>
          <w:szCs w:val="32"/>
          <w:lang w:eastAsia="zh-CN"/>
        </w:rPr>
        <w:t>地质灾害</w:t>
      </w:r>
      <w:r>
        <w:rPr>
          <w:rFonts w:hint="eastAsia" w:ascii="仿宋" w:hAnsi="仿宋" w:eastAsia="仿宋" w:cs="仿宋"/>
          <w:b w:val="0"/>
          <w:bCs w:val="0"/>
          <w:color w:val="auto"/>
          <w:sz w:val="32"/>
          <w:szCs w:val="32"/>
          <w:lang w:val="en-US" w:eastAsia="zh-CN"/>
        </w:rPr>
        <w:t>险情</w:t>
      </w:r>
      <w:r>
        <w:rPr>
          <w:rFonts w:hint="eastAsia" w:ascii="仿宋" w:hAnsi="仿宋" w:eastAsia="仿宋" w:cs="仿宋"/>
          <w:b w:val="0"/>
          <w:bCs w:val="0"/>
          <w:color w:val="auto"/>
          <w:sz w:val="32"/>
          <w:szCs w:val="32"/>
          <w:lang w:eastAsia="zh-CN"/>
        </w:rPr>
        <w:t>（Ⅰ级）</w:t>
      </w:r>
      <w:bookmarkEnd w:id="721"/>
      <w:bookmarkEnd w:id="722"/>
      <w:bookmarkEnd w:id="723"/>
      <w:bookmarkEnd w:id="724"/>
      <w:bookmarkEnd w:id="725"/>
      <w:bookmarkEnd w:id="726"/>
      <w:bookmarkEnd w:id="727"/>
      <w:bookmarkEnd w:id="728"/>
      <w:bookmarkEnd w:id="729"/>
      <w:bookmarkEnd w:id="73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（1）因山体崩塌、滑坡、泥石流、地面塌陷等灾害造成30人以上死亡，或直接经济损失1000万元以上的突发地质灾害。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（2）受突发地质灾害威胁，需转移人数在</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00人以上，或可能造成的经济损失在</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000万元以上的灾害险情。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（3）造成铁路繁忙干线、国家高速公路网线路、民航和航道长时间中断，或特别严重威胁群众生命财产安全、有特别严重社会影响的突发地质灾害。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（4）因突发地质灾害造成大江大河干流或支流被阻断，对群众生命财产安全造成特别重大影响。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bookmarkStart w:id="731" w:name="_Toc6335"/>
      <w:bookmarkStart w:id="732" w:name="_Toc7339"/>
      <w:bookmarkStart w:id="733" w:name="_Toc10294"/>
      <w:bookmarkStart w:id="734" w:name="_Toc1079"/>
      <w:bookmarkStart w:id="735" w:name="_Toc17988"/>
      <w:bookmarkStart w:id="736" w:name="_Toc544"/>
      <w:bookmarkStart w:id="737" w:name="_Toc30173"/>
      <w:bookmarkStart w:id="738" w:name="_Toc11035"/>
      <w:bookmarkStart w:id="739" w:name="_Toc2399"/>
      <w:bookmarkStart w:id="740" w:name="_Toc31003"/>
      <w:r>
        <w:rPr>
          <w:rFonts w:hint="eastAsia" w:ascii="仿宋" w:hAnsi="仿宋" w:eastAsia="仿宋" w:cs="仿宋"/>
          <w:b w:val="0"/>
          <w:bCs w:val="0"/>
          <w:color w:val="auto"/>
          <w:sz w:val="32"/>
          <w:szCs w:val="32"/>
          <w:lang w:eastAsia="zh-CN"/>
        </w:rPr>
        <w:t>2.大</w:t>
      </w:r>
      <w:r>
        <w:rPr>
          <w:rFonts w:hint="eastAsia" w:ascii="仿宋" w:hAnsi="仿宋" w:eastAsia="仿宋" w:cs="仿宋"/>
          <w:b w:val="0"/>
          <w:bCs w:val="0"/>
          <w:color w:val="auto"/>
          <w:sz w:val="32"/>
          <w:szCs w:val="32"/>
          <w:lang w:val="en-US" w:eastAsia="zh-CN"/>
        </w:rPr>
        <w:t>型</w:t>
      </w:r>
      <w:r>
        <w:rPr>
          <w:rFonts w:hint="eastAsia" w:ascii="仿宋" w:hAnsi="仿宋" w:eastAsia="仿宋" w:cs="仿宋"/>
          <w:b w:val="0"/>
          <w:bCs w:val="0"/>
          <w:color w:val="auto"/>
          <w:sz w:val="32"/>
          <w:szCs w:val="32"/>
          <w:lang w:eastAsia="zh-CN"/>
        </w:rPr>
        <w:t>地质灾害</w:t>
      </w:r>
      <w:r>
        <w:rPr>
          <w:rFonts w:hint="eastAsia" w:ascii="仿宋" w:hAnsi="仿宋" w:eastAsia="仿宋" w:cs="仿宋"/>
          <w:b w:val="0"/>
          <w:bCs w:val="0"/>
          <w:color w:val="auto"/>
          <w:sz w:val="32"/>
          <w:szCs w:val="32"/>
          <w:lang w:val="en-US" w:eastAsia="zh-CN"/>
        </w:rPr>
        <w:t>险情</w:t>
      </w:r>
      <w:r>
        <w:rPr>
          <w:rFonts w:hint="eastAsia" w:ascii="仿宋" w:hAnsi="仿宋" w:eastAsia="仿宋" w:cs="仿宋"/>
          <w:b w:val="0"/>
          <w:bCs w:val="0"/>
          <w:color w:val="auto"/>
          <w:sz w:val="32"/>
          <w:szCs w:val="32"/>
          <w:lang w:eastAsia="zh-CN"/>
        </w:rPr>
        <w:t>（Ⅱ级）</w:t>
      </w:r>
      <w:bookmarkEnd w:id="731"/>
      <w:bookmarkEnd w:id="732"/>
      <w:bookmarkEnd w:id="733"/>
      <w:bookmarkEnd w:id="734"/>
      <w:bookmarkEnd w:id="735"/>
      <w:bookmarkEnd w:id="736"/>
      <w:bookmarkEnd w:id="737"/>
      <w:bookmarkEnd w:id="738"/>
      <w:bookmarkEnd w:id="739"/>
      <w:bookmarkEnd w:id="74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（1）因山体崩塌、滑坡、泥石流、地面塌陷等灾害造成10人以上、30人以下死亡，或直接经济损失500万元以上、1000万元以下的突发地质灾害。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（2）受突发地质灾害威胁，需转移人数在</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00人以上、</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00人以下，或可能造成经济损失</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000万元以上、</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000万元以下的灾害险情。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（3）造成铁路繁忙干线、国家高速公路网线路、民航和航道较长时间中断，或严重威胁群众生命财产安全、有严重社会影响的突发地质灾害。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（4）因突发地质灾害造成大江大河支流被阻断，对群众生命财产安全造成重大影响。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val="en-US" w:eastAsia="zh-CN"/>
        </w:rPr>
      </w:pPr>
      <w:bookmarkStart w:id="741" w:name="_Toc7249"/>
      <w:bookmarkStart w:id="742" w:name="_Toc14214"/>
      <w:bookmarkStart w:id="743" w:name="_Toc21895"/>
      <w:bookmarkStart w:id="744" w:name="_Toc27008"/>
      <w:bookmarkStart w:id="745" w:name="_Toc14195"/>
      <w:bookmarkStart w:id="746" w:name="_Toc21699"/>
      <w:bookmarkStart w:id="747" w:name="_Toc21243"/>
      <w:bookmarkStart w:id="748" w:name="_Toc117"/>
      <w:bookmarkStart w:id="749" w:name="_Toc5178"/>
      <w:bookmarkStart w:id="750" w:name="_Toc12036"/>
      <w:r>
        <w:rPr>
          <w:rFonts w:hint="eastAsia" w:ascii="仿宋" w:hAnsi="仿宋" w:eastAsia="仿宋" w:cs="仿宋"/>
          <w:b w:val="0"/>
          <w:bCs w:val="0"/>
          <w:color w:val="auto"/>
          <w:sz w:val="32"/>
          <w:szCs w:val="32"/>
          <w:lang w:val="en-US" w:eastAsia="zh-CN"/>
        </w:rPr>
        <w:t>3.较大地质灾害（Ⅲ级）</w:t>
      </w:r>
      <w:bookmarkEnd w:id="741"/>
      <w:bookmarkEnd w:id="742"/>
      <w:bookmarkEnd w:id="743"/>
      <w:bookmarkEnd w:id="744"/>
      <w:bookmarkEnd w:id="745"/>
      <w:bookmarkEnd w:id="746"/>
      <w:bookmarkEnd w:id="747"/>
      <w:bookmarkEnd w:id="748"/>
      <w:bookmarkEnd w:id="749"/>
      <w:bookmarkEnd w:id="75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（1）因山体崩塌、滑坡、泥石流、地面塌陷等灾害造成3人以上、10人以下死亡，或直接经济损失100万元以上、500万元以下的突发地质灾害。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（2）受突发地质灾害威胁，需转移人数在</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0人以上、</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00人以下，或可能造成经济损失</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00万元以上、</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000万元以下的灾害险情。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（3）造成铁路繁忙干线、国家高速公路网线路、民航和航道短时中断，或较严重威胁群众生命财产安全、有较大社会影响的突发地质灾害。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val="en-US" w:eastAsia="zh-CN"/>
        </w:rPr>
      </w:pPr>
      <w:bookmarkStart w:id="751" w:name="_Toc10380"/>
      <w:bookmarkStart w:id="752" w:name="_Toc26342"/>
      <w:bookmarkStart w:id="753" w:name="_Toc25117"/>
      <w:bookmarkStart w:id="754" w:name="_Toc10076"/>
      <w:bookmarkStart w:id="755" w:name="_Toc9322"/>
      <w:bookmarkStart w:id="756" w:name="_Toc1692"/>
      <w:bookmarkStart w:id="757" w:name="_Toc29074"/>
      <w:bookmarkStart w:id="758" w:name="_Toc2699"/>
      <w:bookmarkStart w:id="759" w:name="_Toc6550"/>
      <w:bookmarkStart w:id="760" w:name="_Toc16184"/>
      <w:r>
        <w:rPr>
          <w:rFonts w:hint="eastAsia" w:ascii="仿宋" w:hAnsi="仿宋" w:eastAsia="仿宋" w:cs="仿宋"/>
          <w:b w:val="0"/>
          <w:bCs w:val="0"/>
          <w:color w:val="auto"/>
          <w:sz w:val="32"/>
          <w:szCs w:val="32"/>
          <w:lang w:val="en-US" w:eastAsia="zh-CN"/>
        </w:rPr>
        <w:t>4.一般地质灾害（Ⅳ级）</w:t>
      </w:r>
      <w:bookmarkEnd w:id="751"/>
      <w:bookmarkEnd w:id="752"/>
      <w:bookmarkEnd w:id="753"/>
      <w:bookmarkEnd w:id="754"/>
      <w:bookmarkEnd w:id="755"/>
      <w:bookmarkEnd w:id="756"/>
      <w:bookmarkEnd w:id="757"/>
      <w:bookmarkEnd w:id="758"/>
      <w:bookmarkEnd w:id="759"/>
      <w:bookmarkEnd w:id="76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（1）因山体崩塌、滑坡、泥石流、地面塌陷等灾害造成3人以下死亡，或直接经济损失100万元以下的突发地质灾害。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（2）受突发地质灾害威胁，需转移人数在</w:t>
      </w:r>
      <w:r>
        <w:rPr>
          <w:rFonts w:hint="eastAsia" w:ascii="仿宋" w:hAnsi="仿宋" w:eastAsia="仿宋" w:cs="仿宋"/>
          <w:b w:val="0"/>
          <w:bCs w:val="0"/>
          <w:color w:val="auto"/>
          <w:sz w:val="32"/>
          <w:szCs w:val="32"/>
          <w:lang w:val="en-US" w:eastAsia="zh-CN"/>
        </w:rPr>
        <w:t>10</w:t>
      </w:r>
      <w:r>
        <w:rPr>
          <w:rFonts w:hint="eastAsia" w:ascii="仿宋" w:hAnsi="仿宋" w:eastAsia="仿宋" w:cs="仿宋"/>
          <w:b w:val="0"/>
          <w:bCs w:val="0"/>
          <w:color w:val="auto"/>
          <w:sz w:val="32"/>
          <w:szCs w:val="32"/>
          <w:lang w:eastAsia="zh-CN"/>
        </w:rPr>
        <w:t>0人以下，或可能造成的经济损失</w:t>
      </w:r>
      <w:r>
        <w:rPr>
          <w:rFonts w:hint="eastAsia" w:ascii="仿宋" w:hAnsi="仿宋" w:eastAsia="仿宋" w:cs="仿宋"/>
          <w:b w:val="0"/>
          <w:bCs w:val="0"/>
          <w:color w:val="auto"/>
          <w:sz w:val="32"/>
          <w:szCs w:val="32"/>
          <w:lang w:val="en-US" w:eastAsia="zh-CN"/>
        </w:rPr>
        <w:t>5</w:t>
      </w:r>
      <w:r>
        <w:rPr>
          <w:rFonts w:hint="eastAsia" w:ascii="仿宋" w:hAnsi="仿宋" w:eastAsia="仿宋" w:cs="仿宋"/>
          <w:b w:val="0"/>
          <w:bCs w:val="0"/>
          <w:color w:val="auto"/>
          <w:sz w:val="32"/>
          <w:szCs w:val="32"/>
          <w:lang w:eastAsia="zh-CN"/>
        </w:rPr>
        <w:t>00万元以下的灾害险情。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（3）造成交通运输中断，或威胁群众生命财产安全、有一定社会影响的突发地质灾害。</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b w:val="0"/>
          <w:bCs w:val="0"/>
          <w:color w:val="auto"/>
          <w:sz w:val="32"/>
          <w:szCs w:val="32"/>
          <w:lang w:eastAsia="zh-CN"/>
        </w:rPr>
        <w:t>（国家或广东省对地质灾害分级标准另有规定的，从其规定）</w:t>
      </w:r>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textAlignment w:val="auto"/>
        <w:outlineLvl w:val="1"/>
        <w:rPr>
          <w:rFonts w:hint="eastAsia" w:ascii="黑体" w:hAnsi="黑体" w:eastAsia="黑体" w:cs="黑体"/>
          <w:b w:val="0"/>
          <w:bCs w:val="0"/>
          <w:color w:val="auto"/>
          <w:kern w:val="0"/>
          <w:sz w:val="32"/>
          <w:szCs w:val="32"/>
          <w:lang w:val="en-US" w:eastAsia="zh-CN" w:bidi="ar-SA"/>
        </w:rPr>
      </w:pPr>
      <w:bookmarkStart w:id="761" w:name="_Toc17072"/>
      <w:bookmarkStart w:id="762" w:name="_Toc14142"/>
      <w:bookmarkStart w:id="763" w:name="_Toc20835"/>
      <w:bookmarkStart w:id="764" w:name="_Toc9216"/>
      <w:bookmarkStart w:id="765" w:name="_Toc12132"/>
      <w:bookmarkStart w:id="766" w:name="_Toc30687"/>
      <w:bookmarkStart w:id="767" w:name="_Toc9855"/>
      <w:bookmarkStart w:id="768" w:name="_Toc8248"/>
      <w:bookmarkStart w:id="769" w:name="_Toc1139"/>
      <w:r>
        <w:rPr>
          <w:rFonts w:hint="eastAsia" w:ascii="黑体" w:hAnsi="黑体" w:eastAsia="黑体" w:cs="黑体"/>
          <w:b w:val="0"/>
          <w:bCs w:val="0"/>
          <w:color w:val="auto"/>
          <w:kern w:val="0"/>
          <w:sz w:val="32"/>
          <w:szCs w:val="32"/>
          <w:lang w:val="en-US" w:eastAsia="zh-CN" w:bidi="ar-SA"/>
        </w:rPr>
        <w:t>附录4</w:t>
      </w:r>
      <w:bookmarkEnd w:id="761"/>
      <w:r>
        <w:rPr>
          <w:rFonts w:hint="eastAsia" w:ascii="黑体" w:hAnsi="黑体" w:eastAsia="黑体" w:cs="黑体"/>
          <w:b w:val="0"/>
          <w:bCs w:val="0"/>
          <w:color w:val="auto"/>
          <w:kern w:val="0"/>
          <w:sz w:val="32"/>
          <w:szCs w:val="32"/>
          <w:lang w:val="en-US" w:eastAsia="zh-CN" w:bidi="ar-SA"/>
        </w:rPr>
        <w:t xml:space="preserve"> </w:t>
      </w:r>
      <w:bookmarkEnd w:id="762"/>
      <w:bookmarkStart w:id="770" w:name="_Toc5880"/>
    </w:p>
    <w:p>
      <w:pPr>
        <w:pStyle w:val="4"/>
        <w:keepNext/>
        <w:keepLines/>
        <w:pageBreakBefore w:val="0"/>
        <w:widowControl w:val="0"/>
        <w:kinsoku/>
        <w:wordWrap/>
        <w:overflowPunct/>
        <w:topLinePunct w:val="0"/>
        <w:autoSpaceDE/>
        <w:autoSpaceDN/>
        <w:bidi w:val="0"/>
        <w:adjustRightInd/>
        <w:snapToGrid/>
        <w:spacing w:beforeLines="0" w:afterLines="0" w:line="600" w:lineRule="exact"/>
        <w:ind w:left="0" w:leftChars="0" w:firstLine="0" w:firstLineChars="0"/>
        <w:jc w:val="center"/>
        <w:textAlignment w:val="auto"/>
        <w:outlineLvl w:val="1"/>
        <w:rPr>
          <w:rFonts w:hint="eastAsia"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 w:val="0"/>
          <w:bCs w:val="0"/>
          <w:color w:val="auto"/>
          <w:sz w:val="44"/>
          <w:szCs w:val="44"/>
          <w:lang w:val="en-US" w:eastAsia="zh-CN"/>
        </w:rPr>
        <w:t>地质灾害易发区分布图</w:t>
      </w:r>
      <w:bookmarkEnd w:id="763"/>
      <w:bookmarkEnd w:id="764"/>
      <w:bookmarkEnd w:id="765"/>
      <w:bookmarkEnd w:id="766"/>
      <w:bookmarkEnd w:id="767"/>
      <w:bookmarkEnd w:id="768"/>
      <w:bookmarkEnd w:id="769"/>
      <w:bookmarkEnd w:id="770"/>
    </w:p>
    <w:p>
      <w:pPr>
        <w:jc w:val="center"/>
        <w:rPr>
          <w:color w:val="auto"/>
          <w:lang w:eastAsia="zh-CN"/>
        </w:rPr>
      </w:pPr>
      <w:r>
        <w:rPr>
          <w:color w:val="auto"/>
        </w:rPr>
        <w:drawing>
          <wp:inline distT="0" distB="0" distL="114300" distR="114300">
            <wp:extent cx="5160645" cy="7258685"/>
            <wp:effectExtent l="0" t="0" r="1905" b="184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160645" cy="7258685"/>
                    </a:xfrm>
                    <a:prstGeom prst="rect">
                      <a:avLst/>
                    </a:prstGeom>
                    <a:noFill/>
                    <a:ln>
                      <a:noFill/>
                    </a:ln>
                  </pic:spPr>
                </pic:pic>
              </a:graphicData>
            </a:graphic>
          </wp:inline>
        </w:drawing>
      </w:r>
    </w:p>
    <w:sectPr>
      <w:footerReference r:id="rId3" w:type="default"/>
      <w:pgSz w:w="11906" w:h="16838"/>
      <w:pgMar w:top="2098" w:right="1474" w:bottom="1984" w:left="1587" w:header="851" w:footer="992" w:gutter="0"/>
      <w:pgNumType w:fmt="numberInDash" w:start="1"/>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CESI楷体-GB2312">
    <w:panose1 w:val="02000500000000000000"/>
    <w:charset w:val="86"/>
    <w:family w:val="auto"/>
    <w:pitch w:val="default"/>
    <w:sig w:usb0="800002BF" w:usb1="184F6CF8" w:usb2="00000012" w:usb3="00000000" w:csb0="0004000F" w:csb1="00000000"/>
  </w:font>
  <w:font w:name="CESI黑体-GB2312">
    <w:panose1 w:val="02000500000000000000"/>
    <w:charset w:val="86"/>
    <w:family w:val="auto"/>
    <w:pitch w:val="default"/>
    <w:sig w:usb0="800002BF" w:usb1="184F6CF8" w:usb2="00000012" w:usb3="00000000" w:csb0="0004000F" w:csb1="00000000"/>
  </w:font>
  <w:font w:name="楷体_GB2312">
    <w:altName w:val="方正楷体_GBK"/>
    <w:panose1 w:val="02010609030101010101"/>
    <w:charset w:val="00"/>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DejaVu Sans">
    <w:panose1 w:val="020B0606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ascii="CESI宋体-GB2312" w:hAnsi="CESI宋体-GB2312" w:eastAsia="CESI宋体-GB2312" w:cs="CESI宋体-GB2312"/>
                              <w:sz w:val="28"/>
                              <w:szCs w:val="28"/>
                              <w:lang w:eastAsia="zh-CN"/>
                            </w:rPr>
                            <w:fldChar w:fldCharType="begin"/>
                          </w:r>
                          <w:r>
                            <w:rPr>
                              <w:rFonts w:hint="eastAsia" w:ascii="CESI宋体-GB2312" w:hAnsi="CESI宋体-GB2312" w:eastAsia="CESI宋体-GB2312" w:cs="CESI宋体-GB2312"/>
                              <w:sz w:val="28"/>
                              <w:szCs w:val="28"/>
                              <w:lang w:eastAsia="zh-CN"/>
                            </w:rPr>
                            <w:instrText xml:space="preserve"> PAGE  \* MERGEFORMAT </w:instrText>
                          </w:r>
                          <w:r>
                            <w:rPr>
                              <w:rFonts w:hint="eastAsia" w:ascii="CESI宋体-GB2312" w:hAnsi="CESI宋体-GB2312" w:eastAsia="CESI宋体-GB2312" w:cs="CESI宋体-GB2312"/>
                              <w:sz w:val="28"/>
                              <w:szCs w:val="28"/>
                              <w:lang w:eastAsia="zh-CN"/>
                            </w:rPr>
                            <w:fldChar w:fldCharType="separate"/>
                          </w:r>
                          <w:r>
                            <w:rPr>
                              <w:rFonts w:hint="eastAsia" w:ascii="CESI宋体-GB2312" w:hAnsi="CESI宋体-GB2312" w:eastAsia="CESI宋体-GB2312" w:cs="CESI宋体-GB2312"/>
                              <w:sz w:val="28"/>
                              <w:szCs w:val="28"/>
                              <w:lang w:eastAsia="zh-CN"/>
                            </w:rPr>
                            <w:t>1</w:t>
                          </w:r>
                          <w:r>
                            <w:rPr>
                              <w:rFonts w:hint="eastAsia" w:ascii="CESI宋体-GB2312" w:hAnsi="CESI宋体-GB2312" w:eastAsia="CESI宋体-GB2312" w:cs="CESI宋体-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ascii="CESI宋体-GB2312" w:hAnsi="CESI宋体-GB2312" w:eastAsia="CESI宋体-GB2312" w:cs="CESI宋体-GB2312"/>
                        <w:sz w:val="28"/>
                        <w:szCs w:val="28"/>
                        <w:lang w:eastAsia="zh-CN"/>
                      </w:rPr>
                      <w:fldChar w:fldCharType="begin"/>
                    </w:r>
                    <w:r>
                      <w:rPr>
                        <w:rFonts w:hint="eastAsia" w:ascii="CESI宋体-GB2312" w:hAnsi="CESI宋体-GB2312" w:eastAsia="CESI宋体-GB2312" w:cs="CESI宋体-GB2312"/>
                        <w:sz w:val="28"/>
                        <w:szCs w:val="28"/>
                        <w:lang w:eastAsia="zh-CN"/>
                      </w:rPr>
                      <w:instrText xml:space="preserve"> PAGE  \* MERGEFORMAT </w:instrText>
                    </w:r>
                    <w:r>
                      <w:rPr>
                        <w:rFonts w:hint="eastAsia" w:ascii="CESI宋体-GB2312" w:hAnsi="CESI宋体-GB2312" w:eastAsia="CESI宋体-GB2312" w:cs="CESI宋体-GB2312"/>
                        <w:sz w:val="28"/>
                        <w:szCs w:val="28"/>
                        <w:lang w:eastAsia="zh-CN"/>
                      </w:rPr>
                      <w:fldChar w:fldCharType="separate"/>
                    </w:r>
                    <w:r>
                      <w:rPr>
                        <w:rFonts w:hint="eastAsia" w:ascii="CESI宋体-GB2312" w:hAnsi="CESI宋体-GB2312" w:eastAsia="CESI宋体-GB2312" w:cs="CESI宋体-GB2312"/>
                        <w:sz w:val="28"/>
                        <w:szCs w:val="28"/>
                        <w:lang w:eastAsia="zh-CN"/>
                      </w:rPr>
                      <w:t>1</w:t>
                    </w:r>
                    <w:r>
                      <w:rPr>
                        <w:rFonts w:hint="eastAsia" w:ascii="CESI宋体-GB2312" w:hAnsi="CESI宋体-GB2312" w:eastAsia="CESI宋体-GB2312" w:cs="CESI宋体-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Y2JlODRmZWZiNTU3ODhkZTE3MzlkOTk3NjQ1M2EifQ=="/>
  </w:docVars>
  <w:rsids>
    <w:rsidRoot w:val="54AF2073"/>
    <w:rsid w:val="002846E7"/>
    <w:rsid w:val="00643627"/>
    <w:rsid w:val="00873C52"/>
    <w:rsid w:val="00B10F50"/>
    <w:rsid w:val="00C84172"/>
    <w:rsid w:val="00DF357D"/>
    <w:rsid w:val="00EE0235"/>
    <w:rsid w:val="00F26D1E"/>
    <w:rsid w:val="014427AA"/>
    <w:rsid w:val="02013497"/>
    <w:rsid w:val="031E77C0"/>
    <w:rsid w:val="03973BD1"/>
    <w:rsid w:val="03A561BC"/>
    <w:rsid w:val="03B50C3C"/>
    <w:rsid w:val="04504FC2"/>
    <w:rsid w:val="05B7462C"/>
    <w:rsid w:val="067C4EF6"/>
    <w:rsid w:val="07F51511"/>
    <w:rsid w:val="082F18F4"/>
    <w:rsid w:val="096549DF"/>
    <w:rsid w:val="09A6551A"/>
    <w:rsid w:val="0A1E71F4"/>
    <w:rsid w:val="0AB05325"/>
    <w:rsid w:val="0AC260A9"/>
    <w:rsid w:val="0C694752"/>
    <w:rsid w:val="0D0711C9"/>
    <w:rsid w:val="0D292A6A"/>
    <w:rsid w:val="0E54288B"/>
    <w:rsid w:val="0E81319E"/>
    <w:rsid w:val="0F001F14"/>
    <w:rsid w:val="0FD10B9B"/>
    <w:rsid w:val="1010186D"/>
    <w:rsid w:val="10156375"/>
    <w:rsid w:val="107D7925"/>
    <w:rsid w:val="11886788"/>
    <w:rsid w:val="121C354B"/>
    <w:rsid w:val="12FF1DF4"/>
    <w:rsid w:val="14FF2724"/>
    <w:rsid w:val="1710291A"/>
    <w:rsid w:val="185E3D95"/>
    <w:rsid w:val="18DC1F4C"/>
    <w:rsid w:val="19CE1BAB"/>
    <w:rsid w:val="1B3A7070"/>
    <w:rsid w:val="1B7278DB"/>
    <w:rsid w:val="1B890844"/>
    <w:rsid w:val="1B901EE4"/>
    <w:rsid w:val="1F407B07"/>
    <w:rsid w:val="1F9F496D"/>
    <w:rsid w:val="1FB36637"/>
    <w:rsid w:val="21E66F69"/>
    <w:rsid w:val="2380255C"/>
    <w:rsid w:val="25996CCE"/>
    <w:rsid w:val="25E870E1"/>
    <w:rsid w:val="27D129FC"/>
    <w:rsid w:val="2C6845D9"/>
    <w:rsid w:val="2DA336ED"/>
    <w:rsid w:val="2E3D1AE2"/>
    <w:rsid w:val="31AB491D"/>
    <w:rsid w:val="32155338"/>
    <w:rsid w:val="330C763F"/>
    <w:rsid w:val="359C3086"/>
    <w:rsid w:val="35F13E44"/>
    <w:rsid w:val="35F45D7C"/>
    <w:rsid w:val="367029AB"/>
    <w:rsid w:val="38A171F9"/>
    <w:rsid w:val="3A8B09B0"/>
    <w:rsid w:val="3ACA153B"/>
    <w:rsid w:val="3BAD23E3"/>
    <w:rsid w:val="3BEE1FD4"/>
    <w:rsid w:val="3C710B23"/>
    <w:rsid w:val="3D631EE9"/>
    <w:rsid w:val="3EB558FA"/>
    <w:rsid w:val="3F5C2CA9"/>
    <w:rsid w:val="3FFBD062"/>
    <w:rsid w:val="427B013A"/>
    <w:rsid w:val="46767FF2"/>
    <w:rsid w:val="46D25095"/>
    <w:rsid w:val="46DC7413"/>
    <w:rsid w:val="48AD6890"/>
    <w:rsid w:val="48FDEF59"/>
    <w:rsid w:val="49895DED"/>
    <w:rsid w:val="4B491944"/>
    <w:rsid w:val="4E437F61"/>
    <w:rsid w:val="4E787DA8"/>
    <w:rsid w:val="4EFC4867"/>
    <w:rsid w:val="50015972"/>
    <w:rsid w:val="50FBA27B"/>
    <w:rsid w:val="52433EBD"/>
    <w:rsid w:val="52B14B11"/>
    <w:rsid w:val="54AF2073"/>
    <w:rsid w:val="5621070A"/>
    <w:rsid w:val="574F3E1A"/>
    <w:rsid w:val="57C84CF5"/>
    <w:rsid w:val="58195DE0"/>
    <w:rsid w:val="5A663180"/>
    <w:rsid w:val="5DB4571D"/>
    <w:rsid w:val="5F0E70E8"/>
    <w:rsid w:val="5F987C43"/>
    <w:rsid w:val="608B796E"/>
    <w:rsid w:val="628A69CE"/>
    <w:rsid w:val="655B13A3"/>
    <w:rsid w:val="65AF20E6"/>
    <w:rsid w:val="6687207B"/>
    <w:rsid w:val="690D4B93"/>
    <w:rsid w:val="69234946"/>
    <w:rsid w:val="69CF7973"/>
    <w:rsid w:val="6A6146F8"/>
    <w:rsid w:val="6BF84629"/>
    <w:rsid w:val="6C0A346C"/>
    <w:rsid w:val="6D484F84"/>
    <w:rsid w:val="6DDC3DB1"/>
    <w:rsid w:val="6E306E53"/>
    <w:rsid w:val="6ECD6E75"/>
    <w:rsid w:val="6EF779BF"/>
    <w:rsid w:val="6F9D347F"/>
    <w:rsid w:val="6FB87788"/>
    <w:rsid w:val="7016485B"/>
    <w:rsid w:val="71064A73"/>
    <w:rsid w:val="710F21B8"/>
    <w:rsid w:val="71D13952"/>
    <w:rsid w:val="71DC47E1"/>
    <w:rsid w:val="725A5596"/>
    <w:rsid w:val="727A5C59"/>
    <w:rsid w:val="737F2DB7"/>
    <w:rsid w:val="753B6D8C"/>
    <w:rsid w:val="75DDAC81"/>
    <w:rsid w:val="76D32891"/>
    <w:rsid w:val="77FF1951"/>
    <w:rsid w:val="78E664FC"/>
    <w:rsid w:val="7AE7111B"/>
    <w:rsid w:val="7B397B78"/>
    <w:rsid w:val="7B6991C8"/>
    <w:rsid w:val="7C384FA7"/>
    <w:rsid w:val="7C9D4AE7"/>
    <w:rsid w:val="7CCC65D1"/>
    <w:rsid w:val="7F5496E6"/>
    <w:rsid w:val="7FB9731C"/>
    <w:rsid w:val="7FCD7A33"/>
    <w:rsid w:val="7FFFEED6"/>
    <w:rsid w:val="976F80E2"/>
    <w:rsid w:val="C9764539"/>
    <w:rsid w:val="CDFF40E7"/>
    <w:rsid w:val="DBFFCD94"/>
    <w:rsid w:val="DD9FECAE"/>
    <w:rsid w:val="DFDF3C85"/>
    <w:rsid w:val="EDFD406D"/>
    <w:rsid w:val="EF9B377A"/>
    <w:rsid w:val="EFAD99C5"/>
    <w:rsid w:val="EFE628BA"/>
    <w:rsid w:val="F7FF3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CESI仿宋-GB2312" w:cs="黑体"/>
      <w:sz w:val="32"/>
      <w:szCs w:val="22"/>
      <w:lang w:val="en-US" w:eastAsia="en-US" w:bidi="ar-SA"/>
    </w:rPr>
  </w:style>
  <w:style w:type="paragraph" w:styleId="3">
    <w:name w:val="heading 1"/>
    <w:basedOn w:val="1"/>
    <w:next w:val="1"/>
    <w:link w:val="31"/>
    <w:qFormat/>
    <w:uiPriority w:val="0"/>
    <w:pPr>
      <w:keepNext/>
      <w:keepLines/>
      <w:spacing w:beforeLines="0" w:beforeAutospacing="0" w:afterLines="0" w:afterAutospacing="0" w:line="240" w:lineRule="auto"/>
      <w:ind w:firstLine="640" w:firstLineChars="200"/>
      <w:outlineLvl w:val="0"/>
    </w:pPr>
    <w:rPr>
      <w:rFonts w:ascii="黑体" w:hAnsi="黑体" w:eastAsia="黑体"/>
      <w:b/>
      <w:kern w:val="44"/>
      <w:sz w:val="32"/>
    </w:rPr>
  </w:style>
  <w:style w:type="paragraph" w:styleId="4">
    <w:name w:val="heading 2"/>
    <w:basedOn w:val="1"/>
    <w:next w:val="1"/>
    <w:link w:val="29"/>
    <w:unhideWhenUsed/>
    <w:qFormat/>
    <w:uiPriority w:val="0"/>
    <w:pPr>
      <w:keepNext/>
      <w:keepLines/>
      <w:spacing w:beforeLines="0" w:beforeAutospacing="0" w:afterLines="0" w:afterAutospacing="0" w:line="240" w:lineRule="auto"/>
      <w:ind w:firstLine="640" w:firstLineChars="200"/>
      <w:outlineLvl w:val="1"/>
    </w:pPr>
    <w:rPr>
      <w:rFonts w:ascii="仿宋_GB2312" w:hAnsi="仿宋_GB2312" w:eastAsia="仿宋_GB2312"/>
      <w:b/>
      <w:bCs/>
      <w:sz w:val="32"/>
    </w:rPr>
  </w:style>
  <w:style w:type="paragraph" w:styleId="5">
    <w:name w:val="heading 3"/>
    <w:basedOn w:val="1"/>
    <w:next w:val="1"/>
    <w:link w:val="28"/>
    <w:unhideWhenUsed/>
    <w:qFormat/>
    <w:uiPriority w:val="0"/>
    <w:pPr>
      <w:keepNext/>
      <w:keepLines/>
      <w:spacing w:beforeLines="0" w:beforeAutospacing="0" w:afterLines="0" w:afterAutospacing="0" w:line="240" w:lineRule="auto"/>
      <w:ind w:firstLine="640" w:firstLineChars="200"/>
      <w:outlineLvl w:val="2"/>
    </w:pPr>
    <w:rPr>
      <w:rFonts w:ascii="仿宋_GB2312" w:hAnsi="仿宋_GB2312" w:eastAsia="仿宋_GB2312"/>
      <w:b/>
      <w:sz w:val="32"/>
    </w:rPr>
  </w:style>
  <w:style w:type="paragraph" w:styleId="6">
    <w:name w:val="heading 4"/>
    <w:basedOn w:val="1"/>
    <w:next w:val="1"/>
    <w:link w:val="30"/>
    <w:unhideWhenUsed/>
    <w:qFormat/>
    <w:uiPriority w:val="0"/>
    <w:pPr>
      <w:keepNext/>
      <w:keepLines/>
      <w:spacing w:beforeLines="0" w:beforeAutospacing="0" w:afterLines="0" w:afterAutospacing="0" w:line="240" w:lineRule="auto"/>
      <w:ind w:firstLine="640" w:firstLineChars="200"/>
      <w:outlineLvl w:val="3"/>
    </w:pPr>
    <w:rPr>
      <w:rFonts w:ascii="仿宋_GB2312" w:hAnsi="仿宋_GB2312" w:eastAsia="仿宋_GB2312"/>
      <w:sz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宋体"/>
    </w:rPr>
  </w:style>
  <w:style w:type="paragraph" w:styleId="7">
    <w:name w:val="annotation text"/>
    <w:basedOn w:val="1"/>
    <w:link w:val="23"/>
    <w:qFormat/>
    <w:uiPriority w:val="0"/>
  </w:style>
  <w:style w:type="paragraph" w:styleId="8">
    <w:name w:val="Body Text"/>
    <w:basedOn w:val="1"/>
    <w:qFormat/>
    <w:uiPriority w:val="0"/>
    <w:rPr>
      <w:rFonts w:hint="eastAsia"/>
      <w:sz w:val="32"/>
    </w:rPr>
  </w:style>
  <w:style w:type="paragraph" w:styleId="9">
    <w:name w:val="Body Text Indent"/>
    <w:basedOn w:val="1"/>
    <w:qFormat/>
    <w:uiPriority w:val="0"/>
    <w:pPr>
      <w:spacing w:after="120"/>
      <w:ind w:left="420" w:leftChars="200"/>
    </w:pPr>
  </w:style>
  <w:style w:type="paragraph" w:styleId="10">
    <w:name w:val="toc 3"/>
    <w:basedOn w:val="1"/>
    <w:next w:val="1"/>
    <w:qFormat/>
    <w:uiPriority w:val="0"/>
    <w:pPr>
      <w:ind w:left="840" w:leftChars="4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6">
    <w:name w:val="annotation subject"/>
    <w:basedOn w:val="7"/>
    <w:next w:val="7"/>
    <w:link w:val="24"/>
    <w:qFormat/>
    <w:uiPriority w:val="0"/>
    <w:rPr>
      <w:b/>
      <w:bCs/>
    </w:rPr>
  </w:style>
  <w:style w:type="paragraph" w:styleId="17">
    <w:name w:val="Body Text First Indent 2"/>
    <w:basedOn w:val="9"/>
    <w:qFormat/>
    <w:uiPriority w:val="0"/>
    <w:pPr>
      <w:ind w:firstLine="420" w:firstLineChars="200"/>
    </w:pPr>
  </w:style>
  <w:style w:type="character" w:styleId="20">
    <w:name w:val="Hyperlink"/>
    <w:basedOn w:val="19"/>
    <w:qFormat/>
    <w:uiPriority w:val="0"/>
    <w:rPr>
      <w:color w:val="0000FF"/>
      <w:u w:val="single"/>
    </w:rPr>
  </w:style>
  <w:style w:type="character" w:styleId="21">
    <w:name w:val="annotation reference"/>
    <w:basedOn w:val="19"/>
    <w:qFormat/>
    <w:uiPriority w:val="0"/>
    <w:rPr>
      <w:sz w:val="21"/>
      <w:szCs w:val="21"/>
    </w:rPr>
  </w:style>
  <w:style w:type="paragraph" w:customStyle="1" w:styleId="22">
    <w:name w:val="p0"/>
    <w:basedOn w:val="1"/>
    <w:qFormat/>
    <w:uiPriority w:val="0"/>
    <w:pPr>
      <w:widowControl/>
      <w:spacing w:before="100" w:beforeAutospacing="1" w:after="100" w:afterAutospacing="1"/>
    </w:pPr>
    <w:rPr>
      <w:rFonts w:ascii="宋体" w:hAnsi="宋体" w:cs="宋体"/>
      <w:sz w:val="24"/>
    </w:rPr>
  </w:style>
  <w:style w:type="character" w:customStyle="1" w:styleId="23">
    <w:name w:val="批注文字 字符"/>
    <w:basedOn w:val="19"/>
    <w:link w:val="7"/>
    <w:qFormat/>
    <w:uiPriority w:val="0"/>
    <w:rPr>
      <w:rFonts w:ascii="Calibri" w:hAnsi="Calibri" w:eastAsia="Calibri" w:cs="黑体"/>
      <w:sz w:val="22"/>
      <w:szCs w:val="22"/>
      <w:lang w:eastAsia="en-US"/>
    </w:rPr>
  </w:style>
  <w:style w:type="character" w:customStyle="1" w:styleId="24">
    <w:name w:val="批注主题 字符"/>
    <w:basedOn w:val="23"/>
    <w:link w:val="16"/>
    <w:qFormat/>
    <w:uiPriority w:val="0"/>
    <w:rPr>
      <w:rFonts w:ascii="Calibri" w:hAnsi="Calibri" w:eastAsia="Calibri" w:cs="黑体"/>
      <w:b/>
      <w:bCs/>
      <w:sz w:val="22"/>
      <w:szCs w:val="22"/>
      <w:lang w:eastAsia="en-US"/>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WPSOffice手动目录 2"/>
    <w:qFormat/>
    <w:uiPriority w:val="0"/>
    <w:pPr>
      <w:ind w:leftChars="200"/>
    </w:pPr>
    <w:rPr>
      <w:rFonts w:asciiTheme="minorHAnsi" w:hAnsiTheme="minorHAnsi" w:eastAsiaTheme="minorEastAsia" w:cstheme="minorBidi"/>
      <w:sz w:val="20"/>
      <w:szCs w:val="20"/>
    </w:rPr>
  </w:style>
  <w:style w:type="paragraph" w:customStyle="1" w:styleId="27">
    <w:name w:val="WPSOffice手动目录 3"/>
    <w:qFormat/>
    <w:uiPriority w:val="0"/>
    <w:pPr>
      <w:ind w:leftChars="400"/>
    </w:pPr>
    <w:rPr>
      <w:rFonts w:asciiTheme="minorHAnsi" w:hAnsiTheme="minorHAnsi" w:eastAsiaTheme="minorEastAsia" w:cstheme="minorBidi"/>
      <w:sz w:val="20"/>
      <w:szCs w:val="20"/>
    </w:rPr>
  </w:style>
  <w:style w:type="character" w:customStyle="1" w:styleId="28">
    <w:name w:val="标题 3 Char"/>
    <w:link w:val="5"/>
    <w:qFormat/>
    <w:uiPriority w:val="0"/>
    <w:rPr>
      <w:rFonts w:ascii="仿宋_GB2312" w:hAnsi="仿宋_GB2312" w:eastAsia="仿宋_GB2312"/>
      <w:b/>
      <w:sz w:val="32"/>
    </w:rPr>
  </w:style>
  <w:style w:type="character" w:customStyle="1" w:styleId="29">
    <w:name w:val="标题 2 Char"/>
    <w:link w:val="4"/>
    <w:qFormat/>
    <w:uiPriority w:val="0"/>
    <w:rPr>
      <w:rFonts w:ascii="仿宋_GB2312" w:hAnsi="仿宋_GB2312" w:eastAsia="仿宋_GB2312"/>
      <w:b/>
      <w:bCs/>
      <w:sz w:val="32"/>
    </w:rPr>
  </w:style>
  <w:style w:type="character" w:customStyle="1" w:styleId="30">
    <w:name w:val="标题 4 Char"/>
    <w:link w:val="6"/>
    <w:qFormat/>
    <w:uiPriority w:val="0"/>
    <w:rPr>
      <w:rFonts w:ascii="仿宋_GB2312" w:hAnsi="仿宋_GB2312" w:eastAsia="仿宋_GB2312"/>
      <w:sz w:val="32"/>
    </w:rPr>
  </w:style>
  <w:style w:type="character" w:customStyle="1" w:styleId="31">
    <w:name w:val="标题 1 Char"/>
    <w:link w:val="3"/>
    <w:qFormat/>
    <w:uiPriority w:val="0"/>
    <w:rPr>
      <w:rFonts w:ascii="黑体" w:hAnsi="黑体" w:eastAsia="黑体"/>
      <w:b/>
      <w:kern w:val="44"/>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16203</Words>
  <Characters>16600</Characters>
  <Lines>127</Lines>
  <Paragraphs>35</Paragraphs>
  <TotalTime>1</TotalTime>
  <ScaleCrop>false</ScaleCrop>
  <LinksUpToDate>false</LinksUpToDate>
  <CharactersWithSpaces>16869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2021-05-15T15:45:00Z</dcterms:created>
  <dc:creator>Administrator</dc:creator>
  <cp:lastModifiedBy>bw02</cp:lastModifiedBy>
  <cp:lastPrinted>2023-01-14T07:30:00Z</cp:lastPrinted>
  <dcterms:modified xsi:type="dcterms:W3CDTF">2023-10-10T10:54:16Z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1074467F2AD0436E9D026287748EA7DB</vt:lpwstr>
  </property>
</Properties>
</file>