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黑体" w:hAnsi="黑体" w:eastAsia="黑体" w:cs="黑体"/>
          <w:sz w:val="36"/>
          <w:szCs w:val="36"/>
        </w:rPr>
      </w:pPr>
      <w:r>
        <w:rPr>
          <w:rFonts w:hint="eastAsia" w:ascii="黑体" w:hAnsi="黑体" w:eastAsia="黑体" w:cs="黑体"/>
          <w:sz w:val="36"/>
          <w:szCs w:val="36"/>
        </w:rPr>
        <w:t>关于《广东清新水泥有限公司隔圳村水泥用石灰岩矿开采项目（二期）环境影响报告表》的批复</w:t>
      </w:r>
    </w:p>
    <w:p>
      <w:pPr>
        <w:adjustRightInd w:val="0"/>
        <w:snapToGrid w:val="0"/>
        <w:spacing w:line="360" w:lineRule="auto"/>
        <w:rPr>
          <w:rFonts w:ascii="仿宋" w:hAnsi="仿宋" w:eastAsia="仿宋" w:cs="仿宋"/>
          <w:color w:val="FF0000"/>
          <w:sz w:val="30"/>
          <w:szCs w:val="30"/>
        </w:rPr>
      </w:pPr>
    </w:p>
    <w:p>
      <w:pPr>
        <w:adjustRightInd w:val="0"/>
        <w:snapToGrid w:val="0"/>
        <w:spacing w:line="360" w:lineRule="auto"/>
        <w:rPr>
          <w:rFonts w:eastAsia="仿宋"/>
          <w:sz w:val="30"/>
          <w:szCs w:val="30"/>
        </w:rPr>
      </w:pPr>
      <w:r>
        <w:rPr>
          <w:rFonts w:hint="eastAsia" w:eastAsia="仿宋"/>
          <w:sz w:val="30"/>
          <w:szCs w:val="30"/>
        </w:rPr>
        <w:t>广东清新水泥有限公司</w:t>
      </w:r>
      <w:r>
        <w:rPr>
          <w:rFonts w:eastAsia="仿宋"/>
          <w:sz w:val="30"/>
          <w:szCs w:val="30"/>
        </w:rPr>
        <w:t>：</w:t>
      </w:r>
    </w:p>
    <w:p>
      <w:pPr>
        <w:adjustRightInd w:val="0"/>
        <w:snapToGrid w:val="0"/>
        <w:spacing w:line="360" w:lineRule="auto"/>
        <w:ind w:firstLine="612"/>
        <w:rPr>
          <w:rFonts w:eastAsia="仿宋"/>
          <w:sz w:val="30"/>
          <w:szCs w:val="30"/>
        </w:rPr>
      </w:pPr>
      <w:r>
        <w:rPr>
          <w:rFonts w:eastAsia="仿宋"/>
          <w:color w:val="000000"/>
          <w:sz w:val="30"/>
          <w:szCs w:val="30"/>
        </w:rPr>
        <w:t>你公司报</w:t>
      </w:r>
      <w:r>
        <w:rPr>
          <w:rFonts w:hint="eastAsia" w:eastAsia="仿宋"/>
          <w:color w:val="000000"/>
          <w:sz w:val="30"/>
          <w:szCs w:val="30"/>
        </w:rPr>
        <w:t>批</w:t>
      </w:r>
      <w:r>
        <w:rPr>
          <w:rFonts w:eastAsia="仿宋"/>
          <w:color w:val="000000"/>
          <w:sz w:val="30"/>
          <w:szCs w:val="30"/>
        </w:rPr>
        <w:t>的</w:t>
      </w:r>
      <w:r>
        <w:rPr>
          <w:rFonts w:eastAsia="仿宋"/>
          <w:sz w:val="30"/>
          <w:szCs w:val="30"/>
        </w:rPr>
        <w:t>《</w:t>
      </w:r>
      <w:r>
        <w:rPr>
          <w:rFonts w:hint="eastAsia" w:eastAsia="仿宋"/>
          <w:sz w:val="30"/>
          <w:szCs w:val="30"/>
        </w:rPr>
        <w:t>广东清新水泥有限公司隔圳村水泥用石灰岩矿开采项目（二期）环境影响报告表</w:t>
      </w:r>
      <w:r>
        <w:rPr>
          <w:rFonts w:eastAsia="仿宋"/>
          <w:sz w:val="30"/>
          <w:szCs w:val="30"/>
        </w:rPr>
        <w:t>》（以下简称“报告表”）收悉。根据《中华人民共和国环境影响评价法》《建设项目环境保护管理条例》及有关法律、法规规定，经研究，批复如下：</w:t>
      </w:r>
    </w:p>
    <w:p>
      <w:pPr>
        <w:numPr>
          <w:ilvl w:val="0"/>
          <w:numId w:val="1"/>
        </w:numPr>
        <w:adjustRightInd w:val="0"/>
        <w:snapToGrid w:val="0"/>
        <w:spacing w:line="360" w:lineRule="auto"/>
        <w:ind w:firstLine="600" w:firstLineChars="200"/>
        <w:rPr>
          <w:rFonts w:eastAsia="仿宋"/>
          <w:sz w:val="30"/>
          <w:szCs w:val="30"/>
        </w:rPr>
      </w:pPr>
      <w:r>
        <w:rPr>
          <w:rFonts w:hint="eastAsia" w:eastAsia="仿宋"/>
          <w:sz w:val="30"/>
          <w:szCs w:val="30"/>
        </w:rPr>
        <w:t>广东清新水泥有限公司隔圳村水泥用石灰岩矿开采项目（二期）（以下简称“该项目”）位于清远市清新区石潭镇隔圳村水泥用石灰岩矿区，本次项目在现有工程基础上扩建，增加矿山开采生产设施设备、输运系统，扩大年开采规模</w:t>
      </w:r>
      <w:r>
        <w:rPr>
          <w:rFonts w:hint="eastAsia" w:eastAsia="仿宋"/>
          <w:sz w:val="30"/>
          <w:szCs w:val="30"/>
          <w:lang w:eastAsia="zh-CN"/>
        </w:rPr>
        <w:t>。</w:t>
      </w:r>
      <w:r>
        <w:rPr>
          <w:rFonts w:hint="eastAsia" w:eastAsia="仿宋"/>
          <w:sz w:val="30"/>
          <w:szCs w:val="30"/>
          <w:lang w:val="en-US" w:eastAsia="zh-CN"/>
        </w:rPr>
        <w:t>扩建后</w:t>
      </w:r>
      <w:r>
        <w:rPr>
          <w:rFonts w:hint="eastAsia" w:eastAsia="仿宋"/>
          <w:sz w:val="30"/>
          <w:szCs w:val="30"/>
        </w:rPr>
        <w:t>矿山</w:t>
      </w:r>
      <w:r>
        <w:rPr>
          <w:rFonts w:hint="eastAsia" w:eastAsia="仿宋"/>
          <w:sz w:val="30"/>
          <w:szCs w:val="30"/>
          <w:lang w:val="en-US" w:eastAsia="zh-CN"/>
        </w:rPr>
        <w:t>开采</w:t>
      </w:r>
      <w:r>
        <w:rPr>
          <w:rFonts w:hint="eastAsia" w:eastAsia="仿宋"/>
          <w:sz w:val="30"/>
          <w:szCs w:val="30"/>
        </w:rPr>
        <w:t>面积不变</w:t>
      </w:r>
      <w:r>
        <w:rPr>
          <w:rFonts w:hint="eastAsia" w:eastAsia="仿宋"/>
          <w:sz w:val="30"/>
          <w:szCs w:val="30"/>
          <w:lang w:eastAsia="zh-CN"/>
        </w:rPr>
        <w:t>，增加开采规模206万吨</w:t>
      </w:r>
      <w:r>
        <w:rPr>
          <w:rFonts w:hint="eastAsia" w:eastAsia="仿宋"/>
          <w:sz w:val="30"/>
          <w:szCs w:val="30"/>
          <w:lang w:val="en-US" w:eastAsia="zh-CN"/>
        </w:rPr>
        <w:t>/</w:t>
      </w:r>
      <w:r>
        <w:rPr>
          <w:rFonts w:hint="eastAsia" w:eastAsia="仿宋"/>
          <w:sz w:val="30"/>
          <w:szCs w:val="30"/>
          <w:lang w:eastAsia="zh-CN"/>
        </w:rPr>
        <w:t>年以满足广东清新水泥有限公司二期日产5000吨新型干法水泥熟料生产线工程项目对石灰石矿山的需求</w:t>
      </w:r>
      <w:r>
        <w:rPr>
          <w:rFonts w:hint="eastAsia" w:eastAsia="仿宋"/>
          <w:sz w:val="30"/>
          <w:szCs w:val="30"/>
        </w:rPr>
        <w:t>。</w:t>
      </w:r>
    </w:p>
    <w:p>
      <w:pPr>
        <w:numPr>
          <w:ilvl w:val="0"/>
          <w:numId w:val="1"/>
        </w:numPr>
        <w:adjustRightInd w:val="0"/>
        <w:snapToGrid w:val="0"/>
        <w:spacing w:line="360" w:lineRule="auto"/>
        <w:ind w:firstLine="600" w:firstLineChars="200"/>
        <w:rPr>
          <w:rFonts w:eastAsia="仿宋"/>
          <w:sz w:val="30"/>
          <w:szCs w:val="30"/>
        </w:rPr>
      </w:pPr>
      <w:r>
        <w:rPr>
          <w:rFonts w:eastAsia="仿宋"/>
          <w:color w:val="000000" w:themeColor="text1"/>
          <w:sz w:val="30"/>
          <w:szCs w:val="30"/>
          <w14:textFill>
            <w14:solidFill>
              <w14:schemeClr w14:val="tx1"/>
            </w14:solidFill>
          </w14:textFill>
        </w:rPr>
        <w:t>根据报告表的评价结论，在全面落实报告表提出的各项污染防治</w:t>
      </w:r>
      <w:r>
        <w:rPr>
          <w:rFonts w:hint="eastAsia" w:eastAsia="仿宋"/>
          <w:color w:val="000000" w:themeColor="text1"/>
          <w:sz w:val="30"/>
          <w:szCs w:val="30"/>
          <w14:textFill>
            <w14:solidFill>
              <w14:schemeClr w14:val="tx1"/>
            </w14:solidFill>
          </w14:textFill>
        </w:rPr>
        <w:t>和环境风险防范措施</w:t>
      </w:r>
      <w:r>
        <w:rPr>
          <w:rFonts w:eastAsia="仿宋"/>
          <w:color w:val="000000" w:themeColor="text1"/>
          <w:sz w:val="30"/>
          <w:szCs w:val="30"/>
          <w14:textFill>
            <w14:solidFill>
              <w14:schemeClr w14:val="tx1"/>
            </w14:solidFill>
          </w14:textFill>
        </w:rPr>
        <w:t>，</w:t>
      </w:r>
      <w:r>
        <w:rPr>
          <w:rFonts w:hint="eastAsia" w:eastAsia="仿宋"/>
          <w:color w:val="000000" w:themeColor="text1"/>
          <w:sz w:val="30"/>
          <w:szCs w:val="30"/>
          <w14:textFill>
            <w14:solidFill>
              <w14:schemeClr w14:val="tx1"/>
            </w14:solidFill>
          </w14:textFill>
        </w:rPr>
        <w:t>并</w:t>
      </w:r>
      <w:r>
        <w:rPr>
          <w:rFonts w:eastAsia="仿宋"/>
          <w:color w:val="000000" w:themeColor="text1"/>
          <w:sz w:val="30"/>
          <w:szCs w:val="30"/>
          <w14:textFill>
            <w14:solidFill>
              <w14:schemeClr w14:val="tx1"/>
            </w14:solidFill>
          </w14:textFill>
        </w:rPr>
        <w:t>确保各</w:t>
      </w:r>
      <w:r>
        <w:rPr>
          <w:rFonts w:hint="eastAsia" w:eastAsia="仿宋"/>
          <w:color w:val="000000" w:themeColor="text1"/>
          <w:sz w:val="30"/>
          <w:szCs w:val="30"/>
          <w14:textFill>
            <w14:solidFill>
              <w14:schemeClr w14:val="tx1"/>
            </w14:solidFill>
          </w14:textFill>
        </w:rPr>
        <w:t>类</w:t>
      </w:r>
      <w:r>
        <w:rPr>
          <w:rFonts w:eastAsia="仿宋"/>
          <w:color w:val="000000" w:themeColor="text1"/>
          <w:sz w:val="30"/>
          <w:szCs w:val="30"/>
          <w14:textFill>
            <w14:solidFill>
              <w14:schemeClr w14:val="tx1"/>
            </w14:solidFill>
          </w14:textFill>
        </w:rPr>
        <w:t>污染物</w:t>
      </w:r>
      <w:r>
        <w:rPr>
          <w:rFonts w:hint="eastAsia" w:eastAsia="仿宋"/>
          <w:color w:val="000000" w:themeColor="text1"/>
          <w:sz w:val="30"/>
          <w:szCs w:val="30"/>
          <w14:textFill>
            <w14:solidFill>
              <w14:schemeClr w14:val="tx1"/>
            </w14:solidFill>
          </w14:textFill>
        </w:rPr>
        <w:t>稳定</w:t>
      </w:r>
      <w:r>
        <w:rPr>
          <w:rFonts w:eastAsia="仿宋"/>
          <w:color w:val="000000" w:themeColor="text1"/>
          <w:sz w:val="30"/>
          <w:szCs w:val="30"/>
          <w14:textFill>
            <w14:solidFill>
              <w14:schemeClr w14:val="tx1"/>
            </w14:solidFill>
          </w14:textFill>
        </w:rPr>
        <w:t>达标排放</w:t>
      </w:r>
      <w:r>
        <w:rPr>
          <w:rFonts w:hint="eastAsia" w:eastAsia="仿宋"/>
          <w:color w:val="000000" w:themeColor="text1"/>
          <w:sz w:val="30"/>
          <w:szCs w:val="30"/>
          <w14:textFill>
            <w14:solidFill>
              <w14:schemeClr w14:val="tx1"/>
            </w14:solidFill>
          </w14:textFill>
        </w:rPr>
        <w:t>且符合总量控制要求</w:t>
      </w:r>
      <w:r>
        <w:rPr>
          <w:rFonts w:eastAsia="仿宋"/>
          <w:color w:val="000000" w:themeColor="text1"/>
          <w:sz w:val="30"/>
          <w:szCs w:val="30"/>
          <w14:textFill>
            <w14:solidFill>
              <w14:schemeClr w14:val="tx1"/>
            </w14:solidFill>
          </w14:textFill>
        </w:rPr>
        <w:t>的前提下，</w:t>
      </w:r>
      <w:r>
        <w:rPr>
          <w:rFonts w:hint="eastAsia" w:eastAsia="仿宋"/>
          <w:color w:val="000000" w:themeColor="text1"/>
          <w:sz w:val="30"/>
          <w:szCs w:val="30"/>
          <w14:textFill>
            <w14:solidFill>
              <w14:schemeClr w14:val="tx1"/>
            </w14:solidFill>
          </w14:textFill>
        </w:rPr>
        <w:t>项目按照报告表中所列性质、规模、地点、采用的生产工艺和防治污染、防止生态破坏的措施进行建设，从生态</w:t>
      </w:r>
      <w:r>
        <w:rPr>
          <w:rFonts w:eastAsia="仿宋"/>
          <w:color w:val="000000" w:themeColor="text1"/>
          <w:sz w:val="30"/>
          <w:szCs w:val="30"/>
          <w14:textFill>
            <w14:solidFill>
              <w14:schemeClr w14:val="tx1"/>
            </w14:solidFill>
          </w14:textFill>
        </w:rPr>
        <w:t>环境保护角度可行</w:t>
      </w:r>
      <w:r>
        <w:rPr>
          <w:rFonts w:hint="eastAsia" w:eastAsia="仿宋"/>
          <w:color w:val="000000" w:themeColor="text1"/>
          <w:sz w:val="30"/>
          <w:szCs w:val="30"/>
          <w14:textFill>
            <w14:solidFill>
              <w14:schemeClr w14:val="tx1"/>
            </w14:solidFill>
          </w14:textFill>
        </w:rPr>
        <w:t>。项目应按报告表内容组织实施，建设和运营中还应重点做好以下工作</w:t>
      </w:r>
      <w:r>
        <w:rPr>
          <w:rFonts w:hint="eastAsia" w:eastAsia="仿宋"/>
          <w:sz w:val="30"/>
          <w:szCs w:val="30"/>
        </w:rPr>
        <w:t>：</w:t>
      </w:r>
    </w:p>
    <w:p>
      <w:pPr>
        <w:adjustRightInd w:val="0"/>
        <w:snapToGrid w:val="0"/>
        <w:spacing w:line="360" w:lineRule="auto"/>
        <w:ind w:firstLine="600" w:firstLineChars="200"/>
        <w:rPr>
          <w:rFonts w:hint="eastAsia" w:eastAsia="仿宋"/>
          <w:sz w:val="30"/>
          <w:szCs w:val="30"/>
        </w:rPr>
      </w:pPr>
      <w:r>
        <w:rPr>
          <w:rFonts w:hint="eastAsia" w:eastAsia="仿宋"/>
          <w:sz w:val="30"/>
          <w:szCs w:val="30"/>
          <w:lang w:eastAsia="zh-CN"/>
        </w:rPr>
        <w:t>（</w:t>
      </w:r>
      <w:r>
        <w:rPr>
          <w:rFonts w:hint="eastAsia" w:eastAsia="仿宋"/>
          <w:sz w:val="30"/>
          <w:szCs w:val="30"/>
          <w:lang w:val="en-US" w:eastAsia="zh-CN"/>
        </w:rPr>
        <w:t>一</w:t>
      </w:r>
      <w:r>
        <w:rPr>
          <w:rFonts w:hint="eastAsia" w:eastAsia="仿宋"/>
          <w:sz w:val="30"/>
          <w:szCs w:val="30"/>
          <w:lang w:eastAsia="zh-CN"/>
        </w:rPr>
        <w:t>）</w:t>
      </w:r>
      <w:r>
        <w:rPr>
          <w:rFonts w:hint="eastAsia" w:eastAsia="仿宋"/>
          <w:sz w:val="30"/>
          <w:szCs w:val="30"/>
        </w:rPr>
        <w:t>落实生态保护措施。严格按项目红线矿界范围进行开采</w:t>
      </w:r>
      <w:r>
        <w:rPr>
          <w:rFonts w:hint="eastAsia" w:eastAsia="仿宋"/>
          <w:sz w:val="30"/>
          <w:szCs w:val="30"/>
          <w:lang w:eastAsia="zh-CN"/>
        </w:rPr>
        <w:t>，按照</w:t>
      </w:r>
      <w:r>
        <w:rPr>
          <w:rFonts w:hint="eastAsia" w:eastAsia="仿宋"/>
          <w:sz w:val="30"/>
          <w:szCs w:val="30"/>
        </w:rPr>
        <w:t>“边开采，边复垦”的要求</w:t>
      </w:r>
      <w:r>
        <w:rPr>
          <w:rFonts w:hint="eastAsia" w:eastAsia="仿宋"/>
          <w:sz w:val="30"/>
          <w:szCs w:val="30"/>
          <w:lang w:eastAsia="zh-CN"/>
        </w:rPr>
        <w:t>，同步推进生态修复工作，对采场边坡各裸露面已形成终采面的区域，在不影响生产活动的情况下，进行覆土绿化。</w:t>
      </w:r>
      <w:r>
        <w:rPr>
          <w:rFonts w:hint="eastAsia" w:eastAsia="仿宋"/>
          <w:sz w:val="30"/>
          <w:szCs w:val="30"/>
          <w:lang w:val="zh-CN" w:eastAsia="zh-CN"/>
        </w:rPr>
        <w:t>矿山服务期满后，应对矿区生态进行重建，进行生态恢复</w:t>
      </w:r>
      <w:r>
        <w:rPr>
          <w:rFonts w:hint="eastAsia" w:eastAsia="仿宋"/>
          <w:sz w:val="30"/>
          <w:szCs w:val="30"/>
        </w:rPr>
        <w:t>。</w:t>
      </w:r>
    </w:p>
    <w:p>
      <w:pPr>
        <w:adjustRightInd w:val="0"/>
        <w:snapToGrid w:val="0"/>
        <w:spacing w:line="360" w:lineRule="auto"/>
        <w:ind w:firstLine="600" w:firstLineChars="200"/>
        <w:rPr>
          <w:rFonts w:hint="eastAsia" w:eastAsia="仿宋"/>
          <w:sz w:val="30"/>
          <w:szCs w:val="30"/>
          <w:lang w:eastAsia="zh-CN"/>
        </w:rPr>
      </w:pPr>
      <w:r>
        <w:rPr>
          <w:rFonts w:hint="eastAsia" w:eastAsia="仿宋"/>
          <w:sz w:val="30"/>
          <w:szCs w:val="30"/>
        </w:rPr>
        <w:t>（二）落实</w:t>
      </w:r>
      <w:r>
        <w:rPr>
          <w:rFonts w:hint="eastAsia" w:eastAsia="仿宋"/>
          <w:sz w:val="30"/>
          <w:szCs w:val="30"/>
          <w:lang w:val="en-US" w:eastAsia="zh-CN"/>
        </w:rPr>
        <w:t>废水</w:t>
      </w:r>
      <w:r>
        <w:rPr>
          <w:rFonts w:hint="eastAsia" w:eastAsia="仿宋"/>
          <w:sz w:val="30"/>
          <w:szCs w:val="30"/>
        </w:rPr>
        <w:t>污染防治措施。运营期生活污水经一体化生活污水处理设备处理后用于矿区内绿地灌溉，不外排</w:t>
      </w:r>
      <w:r>
        <w:rPr>
          <w:rFonts w:hint="eastAsia" w:eastAsia="仿宋"/>
          <w:sz w:val="30"/>
          <w:szCs w:val="30"/>
          <w:lang w:eastAsia="zh-CN"/>
        </w:rPr>
        <w:t>。</w:t>
      </w:r>
    </w:p>
    <w:p>
      <w:pPr>
        <w:adjustRightInd w:val="0"/>
        <w:snapToGrid w:val="0"/>
        <w:spacing w:line="360" w:lineRule="auto"/>
        <w:ind w:firstLine="600" w:firstLineChars="200"/>
        <w:rPr>
          <w:rFonts w:hint="eastAsia" w:eastAsia="仿宋"/>
          <w:sz w:val="30"/>
          <w:szCs w:val="30"/>
        </w:rPr>
      </w:pPr>
      <w:r>
        <w:rPr>
          <w:rFonts w:hint="eastAsia" w:eastAsia="仿宋"/>
          <w:sz w:val="30"/>
          <w:szCs w:val="30"/>
        </w:rPr>
        <w:t>（三）落实大气污染防治措施</w:t>
      </w:r>
      <w:r>
        <w:rPr>
          <w:rFonts w:hint="eastAsia" w:eastAsia="仿宋"/>
          <w:sz w:val="30"/>
          <w:szCs w:val="30"/>
          <w:lang w:eastAsia="zh-CN"/>
        </w:rPr>
        <w:t>。开采、装载、运输工序产生的废气经“洒水抑尘、喷雾降尘”处理后无</w:t>
      </w:r>
      <w:r>
        <w:rPr>
          <w:rFonts w:hint="eastAsia" w:ascii="仿宋" w:hAnsi="仿宋" w:eastAsia="仿宋" w:cs="仿宋"/>
          <w:sz w:val="30"/>
          <w:szCs w:val="30"/>
          <w:lang w:eastAsia="zh-CN"/>
        </w:rPr>
        <w:t>组织排放；车间破碎、皮带运输工序产生的废气经除尘处理后引至不低于15米高排气筒排放</w:t>
      </w:r>
      <w:r>
        <w:rPr>
          <w:rFonts w:hint="eastAsia" w:ascii="仿宋" w:hAnsi="仿宋" w:eastAsia="仿宋" w:cs="仿宋"/>
          <w:sz w:val="30"/>
          <w:szCs w:val="30"/>
        </w:rPr>
        <w:t>。颗粒物排放执行广东省地方标准《水泥工业大气污染物排放标准》（DB44/818-2010）表2水泥工业大气污染物最高允许排放限值及表3作业场所颗粒物无组织排放限值和《水泥工业大气污染物排放标准》（GB4915-2013）表2大气污染</w:t>
      </w:r>
      <w:r>
        <w:rPr>
          <w:rFonts w:hint="eastAsia" w:eastAsia="仿宋"/>
          <w:sz w:val="30"/>
          <w:szCs w:val="30"/>
        </w:rPr>
        <w:t>物特别排放限值及表3大气污染物无组织排放限值要求的较严值</w:t>
      </w:r>
    </w:p>
    <w:p>
      <w:pPr>
        <w:adjustRightInd w:val="0"/>
        <w:snapToGrid w:val="0"/>
        <w:spacing w:line="360" w:lineRule="auto"/>
        <w:ind w:firstLine="600" w:firstLineChars="200"/>
        <w:rPr>
          <w:rFonts w:ascii="仿宋" w:hAnsi="仿宋" w:eastAsia="仿宋" w:cs="仿宋"/>
          <w:sz w:val="30"/>
          <w:szCs w:val="30"/>
        </w:rPr>
      </w:pPr>
      <w:r>
        <w:rPr>
          <w:rFonts w:hint="eastAsia" w:eastAsia="仿宋"/>
          <w:sz w:val="30"/>
          <w:szCs w:val="30"/>
        </w:rPr>
        <w:t>（四）落实其他污染防治措施。选用低噪声设备，合理安排爆破时间</w:t>
      </w:r>
      <w:r>
        <w:rPr>
          <w:rFonts w:hint="eastAsia" w:eastAsia="仿宋"/>
          <w:sz w:val="30"/>
          <w:szCs w:val="30"/>
          <w:lang w:eastAsia="zh-CN"/>
        </w:rPr>
        <w:t>，</w:t>
      </w:r>
      <w:r>
        <w:rPr>
          <w:rFonts w:hint="eastAsia" w:eastAsia="仿宋"/>
          <w:sz w:val="30"/>
          <w:szCs w:val="30"/>
        </w:rPr>
        <w:t>对噪声源采取消声、隔声、减振等降噪措施，确保场地厂界噪声达标排放。废机油、废机油桶等危险废物的须设置符合《危险废物贮存污染控制标准》要求的专用贮存场所存放并委托具备危险废物处理资质的机构处理。</w:t>
      </w:r>
    </w:p>
    <w:p>
      <w:pPr>
        <w:adjustRightInd w:val="0"/>
        <w:snapToGrid w:val="0"/>
        <w:spacing w:line="360" w:lineRule="auto"/>
        <w:ind w:firstLine="600" w:firstLineChars="200"/>
        <w:rPr>
          <w:rFonts w:eastAsia="仿宋"/>
          <w:sz w:val="30"/>
          <w:szCs w:val="30"/>
        </w:rPr>
      </w:pPr>
      <w:r>
        <w:rPr>
          <w:rFonts w:hint="eastAsia" w:ascii="仿宋" w:hAnsi="仿宋" w:eastAsia="仿宋" w:cs="仿宋"/>
          <w:sz w:val="30"/>
          <w:szCs w:val="30"/>
        </w:rPr>
        <w:t>三、</w:t>
      </w:r>
      <w:r>
        <w:rPr>
          <w:rFonts w:hint="eastAsia" w:ascii="仿宋" w:hAnsi="仿宋" w:eastAsia="仿宋" w:cs="仿宋"/>
          <w:color w:val="000000" w:themeColor="text1"/>
          <w:sz w:val="30"/>
          <w:szCs w:val="30"/>
          <w14:textFill>
            <w14:solidFill>
              <w14:schemeClr w14:val="tx1"/>
            </w14:solidFill>
          </w14:textFill>
        </w:rPr>
        <w:t>报告表经批准后，建设项目的性质</w:t>
      </w:r>
      <w:r>
        <w:rPr>
          <w:rFonts w:eastAsia="仿宋"/>
          <w:color w:val="000000" w:themeColor="text1"/>
          <w:sz w:val="30"/>
          <w:szCs w:val="30"/>
          <w14:textFill>
            <w14:solidFill>
              <w14:schemeClr w14:val="tx1"/>
            </w14:solidFill>
          </w14:textFill>
        </w:rPr>
        <w:t>、规模、地点、采用的生产工艺或者防治污染、防止生态破坏的措施发生重大变动的，建设单位应当重新报批建设项目的环境影响评价文件</w:t>
      </w:r>
      <w:r>
        <w:rPr>
          <w:rFonts w:hint="eastAsia" w:eastAsia="仿宋"/>
          <w:sz w:val="30"/>
          <w:szCs w:val="30"/>
        </w:rPr>
        <w:t>。</w:t>
      </w:r>
    </w:p>
    <w:p>
      <w:pPr>
        <w:adjustRightInd w:val="0"/>
        <w:snapToGrid w:val="0"/>
        <w:spacing w:line="360" w:lineRule="auto"/>
        <w:ind w:firstLine="600" w:firstLineChars="200"/>
        <w:rPr>
          <w:rFonts w:eastAsia="仿宋"/>
          <w:sz w:val="30"/>
          <w:szCs w:val="30"/>
        </w:rPr>
      </w:pPr>
      <w:r>
        <w:rPr>
          <w:rFonts w:hint="eastAsia" w:eastAsia="仿宋"/>
          <w:sz w:val="30"/>
          <w:szCs w:val="30"/>
        </w:rPr>
        <w:t>四、</w:t>
      </w:r>
      <w:r>
        <w:rPr>
          <w:rFonts w:hint="eastAsia" w:eastAsia="仿宋"/>
          <w:color w:val="000000" w:themeColor="text1"/>
          <w:sz w:val="30"/>
          <w:szCs w:val="30"/>
          <w14:textFill>
            <w14:solidFill>
              <w14:schemeClr w14:val="tx1"/>
            </w14:solidFill>
          </w14:textFill>
        </w:rPr>
        <w:t>严格执行排污许可管理制度</w:t>
      </w:r>
      <w:r>
        <w:rPr>
          <w:rFonts w:eastAsia="仿宋"/>
          <w:color w:val="000000" w:themeColor="text1"/>
          <w:sz w:val="30"/>
          <w:szCs w:val="30"/>
          <w14:textFill>
            <w14:solidFill>
              <w14:schemeClr w14:val="tx1"/>
            </w14:solidFill>
          </w14:textFill>
        </w:rPr>
        <w:t>，未</w:t>
      </w:r>
      <w:r>
        <w:rPr>
          <w:rFonts w:hint="eastAsia" w:eastAsia="仿宋"/>
          <w:color w:val="000000" w:themeColor="text1"/>
          <w:sz w:val="30"/>
          <w:szCs w:val="30"/>
          <w14:textFill>
            <w14:solidFill>
              <w14:schemeClr w14:val="tx1"/>
            </w14:solidFill>
          </w14:textFill>
        </w:rPr>
        <w:t>依法办理</w:t>
      </w:r>
      <w:r>
        <w:rPr>
          <w:rFonts w:eastAsia="仿宋"/>
          <w:color w:val="000000" w:themeColor="text1"/>
          <w:sz w:val="30"/>
          <w:szCs w:val="30"/>
          <w14:textFill>
            <w14:solidFill>
              <w14:schemeClr w14:val="tx1"/>
            </w14:solidFill>
          </w14:textFill>
        </w:rPr>
        <w:t>排污许可手续</w:t>
      </w:r>
      <w:r>
        <w:rPr>
          <w:rFonts w:hint="eastAsia" w:eastAsia="仿宋"/>
          <w:color w:val="000000" w:themeColor="text1"/>
          <w:sz w:val="30"/>
          <w:szCs w:val="30"/>
          <w14:textFill>
            <w14:solidFill>
              <w14:schemeClr w14:val="tx1"/>
            </w14:solidFill>
          </w14:textFill>
        </w:rPr>
        <w:t>的</w:t>
      </w:r>
      <w:r>
        <w:rPr>
          <w:rFonts w:eastAsia="仿宋"/>
          <w:color w:val="000000" w:themeColor="text1"/>
          <w:sz w:val="30"/>
          <w:szCs w:val="30"/>
          <w14:textFill>
            <w14:solidFill>
              <w14:schemeClr w14:val="tx1"/>
            </w14:solidFill>
          </w14:textFill>
        </w:rPr>
        <w:t>不得排放污染物</w:t>
      </w:r>
      <w:r>
        <w:rPr>
          <w:rFonts w:eastAsia="仿宋"/>
          <w:sz w:val="30"/>
          <w:szCs w:val="30"/>
        </w:rPr>
        <w:t>。</w:t>
      </w:r>
    </w:p>
    <w:p>
      <w:pPr>
        <w:adjustRightInd w:val="0"/>
        <w:snapToGrid w:val="0"/>
        <w:spacing w:line="360" w:lineRule="auto"/>
        <w:ind w:firstLine="600" w:firstLineChars="200"/>
        <w:rPr>
          <w:rFonts w:eastAsia="仿宋"/>
          <w:sz w:val="30"/>
          <w:szCs w:val="30"/>
        </w:rPr>
      </w:pPr>
      <w:r>
        <w:rPr>
          <w:rFonts w:hint="eastAsia" w:eastAsia="仿宋"/>
          <w:sz w:val="30"/>
          <w:szCs w:val="30"/>
        </w:rPr>
        <w:t>五、</w:t>
      </w:r>
      <w:r>
        <w:rPr>
          <w:rFonts w:eastAsia="仿宋"/>
          <w:color w:val="000000" w:themeColor="text1"/>
          <w:sz w:val="30"/>
          <w:szCs w:val="30"/>
          <w14:textFill>
            <w14:solidFill>
              <w14:schemeClr w14:val="tx1"/>
            </w14:solidFill>
          </w14:textFill>
        </w:rPr>
        <w:t>项目建设</w:t>
      </w:r>
      <w:r>
        <w:rPr>
          <w:rFonts w:hint="eastAsia" w:eastAsia="仿宋"/>
          <w:color w:val="000000" w:themeColor="text1"/>
          <w:sz w:val="30"/>
          <w:szCs w:val="30"/>
          <w14:textFill>
            <w14:solidFill>
              <w14:schemeClr w14:val="tx1"/>
            </w14:solidFill>
          </w14:textFill>
        </w:rPr>
        <w:t>应</w:t>
      </w:r>
      <w:r>
        <w:rPr>
          <w:rFonts w:eastAsia="仿宋"/>
          <w:color w:val="000000" w:themeColor="text1"/>
          <w:sz w:val="30"/>
          <w:szCs w:val="30"/>
          <w14:textFill>
            <w14:solidFill>
              <w14:schemeClr w14:val="tx1"/>
            </w14:solidFill>
          </w14:textFill>
        </w:rPr>
        <w:t>严格执行配套建设的环境保护设施与主体工程同时设计、同时施工、同时投产使用的</w:t>
      </w:r>
      <w:r>
        <w:rPr>
          <w:rFonts w:hint="eastAsia" w:eastAsia="仿宋"/>
          <w:color w:val="000000" w:themeColor="text1"/>
          <w:sz w:val="30"/>
          <w:szCs w:val="30"/>
          <w14:textFill>
            <w14:solidFill>
              <w14:schemeClr w14:val="tx1"/>
            </w14:solidFill>
          </w14:textFill>
        </w:rPr>
        <w:t>环境保护“</w:t>
      </w:r>
      <w:r>
        <w:rPr>
          <w:rFonts w:eastAsia="仿宋"/>
          <w:color w:val="000000" w:themeColor="text1"/>
          <w:sz w:val="30"/>
          <w:szCs w:val="30"/>
          <w14:textFill>
            <w14:solidFill>
              <w14:schemeClr w14:val="tx1"/>
            </w14:solidFill>
          </w14:textFill>
        </w:rPr>
        <w:t>三同时</w:t>
      </w:r>
      <w:r>
        <w:rPr>
          <w:rFonts w:hint="eastAsia" w:eastAsia="仿宋"/>
          <w:color w:val="000000" w:themeColor="text1"/>
          <w:sz w:val="30"/>
          <w:szCs w:val="30"/>
          <w14:textFill>
            <w14:solidFill>
              <w14:schemeClr w14:val="tx1"/>
            </w14:solidFill>
          </w14:textFill>
        </w:rPr>
        <w:t>”</w:t>
      </w:r>
      <w:r>
        <w:rPr>
          <w:rFonts w:eastAsia="仿宋"/>
          <w:color w:val="000000" w:themeColor="text1"/>
          <w:sz w:val="30"/>
          <w:szCs w:val="30"/>
          <w14:textFill>
            <w14:solidFill>
              <w14:schemeClr w14:val="tx1"/>
            </w14:solidFill>
          </w14:textFill>
        </w:rPr>
        <w:t>制度。项目竣工后，建设单位必须按照规定程序办理环境保护竣工验收</w:t>
      </w:r>
      <w:r>
        <w:rPr>
          <w:rFonts w:hint="eastAsia" w:eastAsia="仿宋"/>
          <w:color w:val="000000" w:themeColor="text1"/>
          <w:sz w:val="30"/>
          <w:szCs w:val="30"/>
          <w14:textFill>
            <w14:solidFill>
              <w14:schemeClr w14:val="tx1"/>
            </w14:solidFill>
          </w14:textFill>
        </w:rPr>
        <w:t>，</w:t>
      </w:r>
      <w:r>
        <w:rPr>
          <w:rFonts w:eastAsia="仿宋"/>
          <w:color w:val="000000" w:themeColor="text1"/>
          <w:sz w:val="30"/>
          <w:szCs w:val="30"/>
          <w14:textFill>
            <w14:solidFill>
              <w14:schemeClr w14:val="tx1"/>
            </w14:solidFill>
          </w14:textFill>
        </w:rPr>
        <w:t>验收合格后，项目方可正式投入生产</w:t>
      </w:r>
      <w:r>
        <w:rPr>
          <w:rFonts w:hint="eastAsia" w:eastAsia="仿宋"/>
          <w:sz w:val="30"/>
          <w:szCs w:val="30"/>
        </w:rPr>
        <w:t>。</w:t>
      </w:r>
    </w:p>
    <w:p>
      <w:pPr>
        <w:adjustRightInd w:val="0"/>
        <w:snapToGrid w:val="0"/>
        <w:spacing w:line="360" w:lineRule="auto"/>
        <w:ind w:firstLine="600" w:firstLineChars="200"/>
        <w:rPr>
          <w:rFonts w:eastAsia="仿宋"/>
          <w:sz w:val="30"/>
          <w:szCs w:val="30"/>
        </w:rPr>
      </w:pPr>
      <w:r>
        <w:rPr>
          <w:rFonts w:hint="eastAsia" w:eastAsia="仿宋"/>
          <w:sz w:val="30"/>
          <w:szCs w:val="30"/>
        </w:rPr>
        <w:t>六、</w:t>
      </w:r>
      <w:r>
        <w:rPr>
          <w:rFonts w:hint="eastAsia" w:eastAsia="仿宋"/>
          <w:color w:val="000000" w:themeColor="text1"/>
          <w:sz w:val="30"/>
          <w:szCs w:val="30"/>
          <w14:textFill>
            <w14:solidFill>
              <w14:schemeClr w14:val="tx1"/>
            </w14:solidFill>
          </w14:textFill>
        </w:rPr>
        <w:t>该项目建设和运行过程中如涉及规划、土地利用、建设、水务、消防、安全等问题，应遵照相关法律法规要求到相应的行政主管部门办理有关手续</w:t>
      </w:r>
      <w:r>
        <w:rPr>
          <w:rFonts w:hint="eastAsia" w:eastAsia="仿宋"/>
          <w:sz w:val="30"/>
          <w:szCs w:val="30"/>
        </w:rPr>
        <w:t>。</w:t>
      </w:r>
    </w:p>
    <w:p>
      <w:pPr>
        <w:adjustRightInd w:val="0"/>
        <w:snapToGrid w:val="0"/>
        <w:spacing w:line="360" w:lineRule="auto"/>
        <w:ind w:firstLine="600" w:firstLineChars="200"/>
        <w:rPr>
          <w:rFonts w:eastAsia="仿宋"/>
          <w:sz w:val="30"/>
          <w:szCs w:val="30"/>
        </w:rPr>
      </w:pPr>
      <w:r>
        <w:rPr>
          <w:rFonts w:hint="eastAsia" w:eastAsia="仿宋"/>
          <w:sz w:val="30"/>
          <w:szCs w:val="30"/>
        </w:rPr>
        <w:t>七、</w:t>
      </w:r>
      <w:r>
        <w:rPr>
          <w:rFonts w:eastAsia="仿宋"/>
          <w:color w:val="000000" w:themeColor="text1"/>
          <w:sz w:val="30"/>
          <w:szCs w:val="30"/>
          <w14:textFill>
            <w14:solidFill>
              <w14:schemeClr w14:val="tx1"/>
            </w14:solidFill>
          </w14:textFill>
        </w:rPr>
        <w:t>以后国家或地方颁布新标准、行业新规定时，按新标准、新规定执行</w:t>
      </w:r>
      <w:r>
        <w:rPr>
          <w:rFonts w:eastAsia="仿宋"/>
          <w:sz w:val="30"/>
          <w:szCs w:val="30"/>
        </w:rPr>
        <w:t>。</w:t>
      </w:r>
    </w:p>
    <w:p>
      <w:pPr>
        <w:adjustRightInd w:val="0"/>
        <w:snapToGrid w:val="0"/>
        <w:spacing w:line="360" w:lineRule="auto"/>
        <w:ind w:firstLine="600" w:firstLineChars="200"/>
        <w:rPr>
          <w:rFonts w:eastAsia="仿宋"/>
          <w:sz w:val="30"/>
          <w:szCs w:val="30"/>
        </w:rPr>
      </w:pPr>
      <w:r>
        <w:rPr>
          <w:rFonts w:hint="eastAsia" w:eastAsia="仿宋"/>
          <w:sz w:val="30"/>
          <w:szCs w:val="30"/>
        </w:rPr>
        <w:t xml:space="preserve">                            </w:t>
      </w:r>
      <w:r>
        <w:rPr>
          <w:rFonts w:hint="eastAsia" w:eastAsia="仿宋"/>
          <w:sz w:val="30"/>
          <w:szCs w:val="30"/>
          <w:lang w:val="en-US" w:eastAsia="zh-CN"/>
        </w:rPr>
        <w:t xml:space="preserve">      </w:t>
      </w:r>
    </w:p>
    <w:p>
      <w:pPr>
        <w:adjustRightInd w:val="0"/>
        <w:snapToGrid w:val="0"/>
        <w:spacing w:line="360" w:lineRule="auto"/>
        <w:ind w:firstLine="600" w:firstLineChars="200"/>
        <w:rPr>
          <w:rFonts w:eastAsia="仿宋"/>
          <w:sz w:val="30"/>
          <w:szCs w:val="30"/>
        </w:rPr>
      </w:pPr>
      <w:bookmarkStart w:id="0" w:name="_GoBack"/>
      <w:bookmarkEnd w:id="0"/>
    </w:p>
    <w:p>
      <w:pPr>
        <w:adjustRightInd w:val="0"/>
        <w:snapToGrid w:val="0"/>
        <w:spacing w:line="360" w:lineRule="auto"/>
        <w:ind w:firstLine="600" w:firstLineChars="200"/>
        <w:rPr>
          <w:rFonts w:eastAsia="仿宋"/>
          <w:sz w:val="30"/>
          <w:szCs w:val="30"/>
        </w:rPr>
      </w:pPr>
    </w:p>
    <w:p>
      <w:pPr>
        <w:adjustRightInd w:val="0"/>
        <w:snapToGrid w:val="0"/>
        <w:spacing w:line="360" w:lineRule="auto"/>
        <w:ind w:firstLine="600" w:firstLineChars="200"/>
        <w:rPr>
          <w:rFonts w:eastAsia="仿宋"/>
          <w:sz w:val="30"/>
          <w:szCs w:val="30"/>
        </w:rPr>
      </w:pPr>
    </w:p>
    <w:p>
      <w:pPr>
        <w:adjustRightInd w:val="0"/>
        <w:snapToGrid w:val="0"/>
        <w:spacing w:line="360" w:lineRule="auto"/>
        <w:ind w:firstLine="600" w:firstLineChars="200"/>
        <w:rPr>
          <w:rFonts w:eastAsia="仿宋"/>
          <w:sz w:val="30"/>
          <w:szCs w:val="30"/>
        </w:rPr>
      </w:pPr>
    </w:p>
    <w:sectPr>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D97FB"/>
    <w:multiLevelType w:val="singleLevel"/>
    <w:tmpl w:val="670D97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zkxMmJlYTgyZjE3ZjY0NTQ1NzY0MjAzOWNjMjEifQ=="/>
  </w:docVars>
  <w:rsids>
    <w:rsidRoot w:val="45891FB3"/>
    <w:rsid w:val="00075F7F"/>
    <w:rsid w:val="00201588"/>
    <w:rsid w:val="005F4E31"/>
    <w:rsid w:val="064A5629"/>
    <w:rsid w:val="07506C6F"/>
    <w:rsid w:val="07554868"/>
    <w:rsid w:val="0C2674CA"/>
    <w:rsid w:val="0D0310AE"/>
    <w:rsid w:val="113C3131"/>
    <w:rsid w:val="1DE84147"/>
    <w:rsid w:val="1F012634"/>
    <w:rsid w:val="245257F6"/>
    <w:rsid w:val="28424610"/>
    <w:rsid w:val="2C752B50"/>
    <w:rsid w:val="2D8F2C7C"/>
    <w:rsid w:val="3125088D"/>
    <w:rsid w:val="33B3712A"/>
    <w:rsid w:val="347D07F4"/>
    <w:rsid w:val="399C171C"/>
    <w:rsid w:val="3A304090"/>
    <w:rsid w:val="438A0837"/>
    <w:rsid w:val="45891FB3"/>
    <w:rsid w:val="469A68D7"/>
    <w:rsid w:val="48192CA4"/>
    <w:rsid w:val="48607E74"/>
    <w:rsid w:val="4CEA5FEB"/>
    <w:rsid w:val="4D9E78F3"/>
    <w:rsid w:val="50F262D9"/>
    <w:rsid w:val="56A2584E"/>
    <w:rsid w:val="578F08E3"/>
    <w:rsid w:val="58DA27A4"/>
    <w:rsid w:val="65742FC1"/>
    <w:rsid w:val="67640C65"/>
    <w:rsid w:val="6B2A2BA9"/>
    <w:rsid w:val="6C8133DC"/>
    <w:rsid w:val="6EEB5D7F"/>
    <w:rsid w:val="73B1673D"/>
    <w:rsid w:val="73B66687"/>
    <w:rsid w:val="7A46684B"/>
    <w:rsid w:val="7C835496"/>
    <w:rsid w:val="7DD8226F"/>
    <w:rsid w:val="7E1136EE"/>
    <w:rsid w:val="7E147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tabs>
        <w:tab w:val="left" w:pos="58"/>
      </w:tabs>
      <w:autoSpaceDE w:val="0"/>
      <w:autoSpaceDN w:val="0"/>
    </w:pPr>
    <w:rPr>
      <w:rFonts w:hint="eastAsia" w:ascii="黑体" w:hAnsi="黑体" w:eastAsia="黑体"/>
      <w:color w:val="000000"/>
      <w:sz w:val="24"/>
      <w:szCs w:val="22"/>
    </w:rPr>
  </w:style>
  <w:style w:type="paragraph" w:customStyle="1" w:styleId="3">
    <w:name w:val="纯文本1"/>
    <w:basedOn w:val="1"/>
    <w:qFormat/>
    <w:uiPriority w:val="0"/>
    <w:pPr>
      <w:tabs>
        <w:tab w:val="left" w:pos="58"/>
      </w:tabs>
      <w:adjustRightInd w:val="0"/>
      <w:textAlignment w:val="baseline"/>
    </w:pPr>
    <w:rPr>
      <w:rFonts w:ascii="宋体" w:hAnsi="Courier New"/>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1308</Words>
  <Characters>1351</Characters>
  <Lines>10</Lines>
  <Paragraphs>3</Paragraphs>
  <TotalTime>0</TotalTime>
  <ScaleCrop>false</ScaleCrop>
  <LinksUpToDate>false</LinksUpToDate>
  <CharactersWithSpaces>1418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2022-07-08T01:57:00Z</dcterms:created>
  <dc:creator>Administrator</dc:creator>
  <cp:lastModifiedBy>84363</cp:lastModifiedBy>
  <dcterms:modified xsi:type="dcterms:W3CDTF">2023-11-08T07:29:38Z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C6B5E0DC4DCA4E1599AB46B4743E036F</vt:lpwstr>
  </property>
</Properties>
</file>