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6"/>
          <w:szCs w:val="36"/>
        </w:rPr>
      </w:pPr>
      <w:r>
        <w:rPr>
          <w:rFonts w:ascii="Times New Roman" w:hAnsi="Times New Roman" w:eastAsia="黑体" w:cs="Times New Roman"/>
          <w:sz w:val="36"/>
          <w:szCs w:val="36"/>
        </w:rPr>
        <w:t>关于《</w:t>
      </w:r>
      <w:r>
        <w:rPr>
          <w:rFonts w:hint="eastAsia" w:ascii="Times New Roman" w:hAnsi="Times New Roman" w:eastAsia="黑体" w:cs="Times New Roman"/>
          <w:sz w:val="36"/>
          <w:szCs w:val="36"/>
        </w:rPr>
        <w:t>国家消防产品质量检验检测中心（广东）消防产品检测基地建设项目环境影响报告表</w:t>
      </w:r>
      <w:r>
        <w:rPr>
          <w:rFonts w:ascii="Times New Roman" w:hAnsi="Times New Roman" w:eastAsia="黑体" w:cs="Times New Roman"/>
          <w:sz w:val="36"/>
          <w:szCs w:val="36"/>
        </w:rPr>
        <w:t>》的批复</w:t>
      </w:r>
    </w:p>
    <w:p>
      <w:pPr>
        <w:rPr>
          <w:rFonts w:ascii="Times New Roman" w:hAnsi="Times New Roman" w:eastAsia="仿宋" w:cs="Times New Roman"/>
          <w:sz w:val="30"/>
          <w:szCs w:val="30"/>
        </w:rPr>
      </w:pPr>
    </w:p>
    <w:p>
      <w:pPr>
        <w:rPr>
          <w:rFonts w:ascii="Times New Roman" w:hAnsi="Times New Roman" w:eastAsia="仿宋" w:cs="Times New Roman"/>
          <w:sz w:val="30"/>
          <w:szCs w:val="30"/>
        </w:rPr>
      </w:pPr>
      <w:r>
        <w:rPr>
          <w:rFonts w:hint="eastAsia" w:ascii="Times New Roman" w:hAnsi="Times New Roman" w:eastAsia="仿宋" w:cs="Times New Roman"/>
          <w:sz w:val="30"/>
          <w:szCs w:val="30"/>
        </w:rPr>
        <w:t>广东粤检消防产品检测中心有限公司：</w:t>
      </w:r>
    </w:p>
    <w:p>
      <w:pPr>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ascii="Times New Roman" w:hAnsi="Times New Roman" w:eastAsia="仿宋" w:cs="Times New Roman"/>
          <w:color w:val="000000" w:themeColor="text1"/>
          <w:sz w:val="30"/>
          <w:szCs w:val="30"/>
          <w14:textFill>
            <w14:solidFill>
              <w14:schemeClr w14:val="tx1"/>
            </w14:solidFill>
          </w14:textFill>
        </w:rPr>
        <w:t>你公司报批的《</w:t>
      </w:r>
      <w:r>
        <w:rPr>
          <w:rFonts w:hint="eastAsia" w:ascii="Times New Roman" w:hAnsi="Times New Roman" w:eastAsia="仿宋" w:cs="Times New Roman"/>
          <w:color w:val="000000" w:themeColor="text1"/>
          <w:sz w:val="30"/>
          <w:szCs w:val="30"/>
          <w14:textFill>
            <w14:solidFill>
              <w14:schemeClr w14:val="tx1"/>
            </w14:solidFill>
          </w14:textFill>
        </w:rPr>
        <w:t>国家消防产品质量检验检测中心（广东）消防产品检测基地建设项目环境影响报告表</w:t>
      </w:r>
      <w:r>
        <w:rPr>
          <w:rFonts w:ascii="Times New Roman" w:hAnsi="Times New Roman" w:eastAsia="仿宋" w:cs="Times New Roman"/>
          <w:color w:val="000000" w:themeColor="text1"/>
          <w:sz w:val="30"/>
          <w:szCs w:val="30"/>
          <w14:textFill>
            <w14:solidFill>
              <w14:schemeClr w14:val="tx1"/>
            </w14:solidFill>
          </w14:textFill>
        </w:rPr>
        <w:t>》（以下简称</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ascii="Times New Roman" w:hAnsi="Times New Roman" w:eastAsia="仿宋" w:cs="Times New Roman"/>
          <w:color w:val="000000" w:themeColor="text1"/>
          <w:sz w:val="30"/>
          <w:szCs w:val="30"/>
          <w14:textFill>
            <w14:solidFill>
              <w14:schemeClr w14:val="tx1"/>
            </w14:solidFill>
          </w14:textFill>
        </w:rPr>
        <w:t>报告表</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ascii="Times New Roman" w:hAnsi="Times New Roman" w:eastAsia="仿宋" w:cs="Times New Roman"/>
          <w:color w:val="000000" w:themeColor="text1"/>
          <w:sz w:val="30"/>
          <w:szCs w:val="30"/>
          <w14:textFill>
            <w14:solidFill>
              <w14:schemeClr w14:val="tx1"/>
            </w14:solidFill>
          </w14:textFill>
        </w:rPr>
        <w:t>）等材料收悉。根据《中华人民共和国环境影响评价法》《建设项目环境保护管理条例》及有关法律、法规规定，经研究，批复如下：</w:t>
      </w:r>
    </w:p>
    <w:p>
      <w:pPr>
        <w:numPr>
          <w:ilvl w:val="0"/>
          <w:numId w:val="2"/>
        </w:numPr>
        <w:spacing w:line="560" w:lineRule="exact"/>
        <w:ind w:firstLine="600" w:firstLineChars="200"/>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国家消防产品质量检验检测中心（广东）消防产品检测基地建设项目（以下简称“该项目”）位于清远市清新区禾云镇广州花都（清新）产业转移工业园内，</w:t>
      </w:r>
      <w:r>
        <w:rPr>
          <w:rFonts w:hint="eastAsia" w:ascii="仿宋" w:hAnsi="仿宋" w:eastAsia="仿宋" w:cs="仿宋"/>
          <w:color w:val="000000" w:themeColor="text1"/>
          <w:sz w:val="30"/>
          <w:szCs w:val="30"/>
          <w:lang w:val="en-US" w:eastAsia="zh-CN"/>
          <w14:textFill>
            <w14:solidFill>
              <w14:schemeClr w14:val="tx1"/>
            </w14:solidFill>
          </w14:textFill>
        </w:rPr>
        <w:t>项目内容为</w:t>
      </w:r>
      <w:r>
        <w:rPr>
          <w:rFonts w:hint="eastAsia" w:ascii="仿宋" w:hAnsi="仿宋" w:eastAsia="仿宋" w:cs="仿宋"/>
          <w:color w:val="000000" w:themeColor="text1"/>
          <w:sz w:val="30"/>
          <w:szCs w:val="30"/>
          <w:lang w:eastAsia="zh-CN"/>
          <w14:textFill>
            <w14:solidFill>
              <w14:schemeClr w14:val="tx1"/>
            </w14:solidFill>
          </w14:textFill>
        </w:rPr>
        <w:t>年检测防火门1500樘、防火窗500樘、防火排烟阀门1500台、耐火砖及砂石200吨、消防风机1500台、钢结构防火涂料5000千克、木质家具及建材200千克、饰面型防火涂料100千克、消防车侧倾500台、消防车雨淋500台、消防车水系统（泵）500台、泡沫消防车100台。</w:t>
      </w:r>
    </w:p>
    <w:p>
      <w:pPr>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ascii="Times New Roman" w:hAnsi="Times New Roman" w:eastAsia="仿宋" w:cs="Times New Roman"/>
          <w:color w:val="000000" w:themeColor="text1"/>
          <w:sz w:val="30"/>
          <w:szCs w:val="30"/>
          <w14:textFill>
            <w14:solidFill>
              <w14:schemeClr w14:val="tx1"/>
            </w14:solidFill>
          </w14:textFill>
        </w:rPr>
        <w:t>二、</w:t>
      </w:r>
      <w:r>
        <w:rPr>
          <w:rFonts w:hint="eastAsia" w:ascii="仿宋" w:hAnsi="仿宋" w:eastAsia="仿宋" w:cs="仿宋"/>
          <w:bCs/>
          <w:sz w:val="30"/>
          <w:szCs w:val="30"/>
          <w:lang w:eastAsia="zh-CN"/>
        </w:rPr>
        <w:t>根据报告表的评价结论</w:t>
      </w:r>
      <w:r>
        <w:rPr>
          <w:rFonts w:hint="eastAsia" w:ascii="仿宋" w:hAnsi="仿宋" w:eastAsia="仿宋" w:cs="仿宋"/>
          <w:bCs/>
          <w:sz w:val="30"/>
          <w:szCs w:val="30"/>
          <w:lang w:val="en-US" w:eastAsia="zh-CN"/>
        </w:rPr>
        <w:t>和广州青蓝环保科技有限公司的技术评估意见</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r>
        <w:rPr>
          <w:rFonts w:ascii="Times New Roman" w:hAnsi="Times New Roman" w:eastAsia="仿宋" w:cs="Times New Roman"/>
          <w:color w:val="000000" w:themeColor="text1"/>
          <w:sz w:val="30"/>
          <w:szCs w:val="30"/>
          <w14:textFill>
            <w14:solidFill>
              <w14:schemeClr w14:val="tx1"/>
            </w14:solidFill>
          </w14:textFill>
        </w:rPr>
        <w:t>在全面落实报告表提出的各项污染防治和环境风险防范措施，并确保各类污染物稳定达标排放</w:t>
      </w:r>
      <w:r>
        <w:rPr>
          <w:rFonts w:hint="eastAsia" w:ascii="Times New Roman" w:hAnsi="Times New Roman" w:eastAsia="仿宋" w:cs="Times New Roman"/>
          <w:color w:val="000000" w:themeColor="text1"/>
          <w:sz w:val="30"/>
          <w:szCs w:val="30"/>
          <w:lang w:val="en-US" w:eastAsia="zh-CN"/>
          <w14:textFill>
            <w14:solidFill>
              <w14:schemeClr w14:val="tx1"/>
            </w14:solidFill>
          </w14:textFill>
        </w:rPr>
        <w:t>的</w:t>
      </w:r>
      <w:r>
        <w:rPr>
          <w:rFonts w:ascii="Times New Roman" w:hAnsi="Times New Roman" w:eastAsia="仿宋" w:cs="Times New Roman"/>
          <w:color w:val="000000" w:themeColor="text1"/>
          <w:sz w:val="30"/>
          <w:szCs w:val="30"/>
          <w14:textFill>
            <w14:solidFill>
              <w14:schemeClr w14:val="tx1"/>
            </w14:solidFill>
          </w14:textFill>
        </w:rPr>
        <w:t>前提下，项目按照报告表中所列性质、规模、地点、采用的生产工艺和防治污染、防止生态破坏的措施进行建设，从生态环境保护角度可行。项目应按报告表内容组织实施，建设和运营中还应重点做好以下工作：</w:t>
      </w:r>
    </w:p>
    <w:p>
      <w:pPr>
        <w:rPr>
          <w:rFonts w:hint="eastAsia" w:ascii="仿宋" w:hAnsi="仿宋" w:eastAsia="仿宋" w:cs="仿宋"/>
          <w:sz w:val="30"/>
          <w:szCs w:val="30"/>
        </w:rPr>
      </w:pPr>
      <w:r>
        <w:rPr>
          <w:rFonts w:ascii="Times New Roman" w:hAnsi="Times New Roman" w:eastAsia="仿宋" w:cs="Times New Roman"/>
          <w:sz w:val="30"/>
          <w:szCs w:val="30"/>
        </w:rPr>
        <w:t xml:space="preserve">    （一）</w:t>
      </w:r>
      <w:r>
        <w:rPr>
          <w:rFonts w:hint="eastAsia" w:ascii="Times New Roman" w:hAnsi="Times New Roman" w:eastAsia="仿宋" w:cs="Times New Roman"/>
          <w:color w:val="000000"/>
          <w:sz w:val="30"/>
          <w:szCs w:val="30"/>
          <w:lang w:val="en-US" w:eastAsia="zh-CN"/>
        </w:rPr>
        <w:t>严格落实水污染防治措施</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生活污水经三级化粪池预处理后通过市政污水管进入禾云污水处理厂深度处理</w:t>
      </w:r>
      <w:r>
        <w:rPr>
          <w:rFonts w:hint="eastAsia" w:ascii="Times New Roman" w:hAnsi="Times New Roman" w:eastAsia="仿宋" w:cs="Times New Roman"/>
          <w:color w:val="000000" w:themeColor="text1"/>
          <w:sz w:val="30"/>
          <w:szCs w:val="30"/>
          <w14:textFill>
            <w14:solidFill>
              <w14:schemeClr w14:val="tx1"/>
            </w14:solidFill>
          </w14:textFill>
        </w:rPr>
        <w:t>。</w:t>
      </w:r>
    </w:p>
    <w:p>
      <w:pPr>
        <w:numPr>
          <w:ilvl w:val="0"/>
          <w:numId w:val="0"/>
        </w:num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color w:val="000000"/>
          <w:sz w:val="30"/>
          <w:szCs w:val="30"/>
          <w:lang w:val="en-US" w:eastAsia="zh-CN"/>
        </w:rPr>
        <w:t>严格落实大气污染防治措施</w:t>
      </w:r>
      <w:r>
        <w:rPr>
          <w:rFonts w:hint="eastAsia" w:ascii="仿宋" w:hAnsi="仿宋" w:eastAsia="仿宋" w:cs="仿宋"/>
          <w:sz w:val="30"/>
          <w:szCs w:val="30"/>
          <w:lang w:eastAsia="zh-CN"/>
        </w:rPr>
        <w:t>。SO2、NOx、颗粒物、CO有组织排放执行《工业炉窑大气污染物排放标准》（GB 9078-1996）表2中其他炉窑二级排放限值及广东省地方标准《大气污染物排放限值》（DB 44/27-2001）第二时段二级标准较严值，无组织排放执行广东省地方标准《大气污染物排放限值》（DB 44/27-2001）第二时段无组织排放监控浓度限值</w:t>
      </w:r>
      <w:r>
        <w:rPr>
          <w:rFonts w:hint="eastAsia" w:ascii="仿宋" w:hAnsi="仿宋" w:eastAsia="仿宋" w:cs="仿宋"/>
          <w:color w:val="000000"/>
          <w:sz w:val="30"/>
          <w:szCs w:val="30"/>
          <w:lang w:val="en-US" w:eastAsia="zh-CN"/>
        </w:rPr>
        <w:t>。</w:t>
      </w:r>
      <w:r>
        <w:rPr>
          <w:rFonts w:hint="eastAsia" w:ascii="仿宋" w:hAnsi="仿宋" w:eastAsia="仿宋" w:cs="仿宋"/>
          <w:color w:val="auto"/>
          <w:sz w:val="30"/>
          <w:szCs w:val="30"/>
        </w:rPr>
        <w:t>VOCs</w:t>
      </w:r>
      <w:r>
        <w:rPr>
          <w:rFonts w:hint="eastAsia" w:ascii="仿宋" w:hAnsi="仿宋" w:eastAsia="仿宋" w:cs="仿宋"/>
          <w:sz w:val="30"/>
          <w:szCs w:val="30"/>
          <w:lang w:eastAsia="zh-CN"/>
        </w:rPr>
        <w:t>有组织</w:t>
      </w:r>
      <w:r>
        <w:rPr>
          <w:rFonts w:hint="eastAsia" w:ascii="仿宋" w:hAnsi="仿宋" w:eastAsia="仿宋" w:cs="仿宋"/>
          <w:color w:val="auto"/>
          <w:sz w:val="30"/>
          <w:szCs w:val="30"/>
          <w:lang w:val="en-US" w:eastAsia="zh-CN"/>
        </w:rPr>
        <w:t>排放</w:t>
      </w:r>
      <w:r>
        <w:rPr>
          <w:rFonts w:hint="eastAsia" w:ascii="仿宋" w:hAnsi="仿宋" w:eastAsia="仿宋" w:cs="仿宋"/>
          <w:color w:val="auto"/>
          <w:sz w:val="30"/>
          <w:szCs w:val="30"/>
          <w:lang w:eastAsia="zh-CN"/>
        </w:rPr>
        <w:t>执行</w:t>
      </w:r>
      <w:r>
        <w:rPr>
          <w:rFonts w:hint="eastAsia" w:ascii="仿宋" w:hAnsi="仿宋" w:eastAsia="仿宋" w:cs="仿宋"/>
          <w:color w:val="auto"/>
          <w:sz w:val="30"/>
          <w:szCs w:val="30"/>
          <w:lang w:val="en-US" w:eastAsia="zh-CN"/>
        </w:rPr>
        <w:t>广东省地方标准《固定污染源挥发性有机物综合排放标准》（DB44/2367-2022）表1挥发性有机物排放限值，</w:t>
      </w:r>
      <w:r>
        <w:rPr>
          <w:rFonts w:hint="eastAsia" w:ascii="仿宋" w:hAnsi="仿宋" w:eastAsia="仿宋" w:cs="仿宋"/>
          <w:sz w:val="30"/>
          <w:szCs w:val="30"/>
          <w:lang w:eastAsia="zh-CN"/>
        </w:rPr>
        <w:t>无组织排放</w:t>
      </w:r>
      <w:r>
        <w:rPr>
          <w:rFonts w:hint="eastAsia" w:ascii="仿宋" w:hAnsi="仿宋" w:eastAsia="仿宋" w:cs="仿宋"/>
          <w:sz w:val="30"/>
          <w:szCs w:val="30"/>
          <w:lang w:val="en-US" w:eastAsia="zh-CN"/>
        </w:rPr>
        <w:t>参照执行</w:t>
      </w:r>
      <w:r>
        <w:rPr>
          <w:rFonts w:hint="eastAsia" w:ascii="仿宋" w:hAnsi="仿宋" w:eastAsia="仿宋" w:cs="仿宋"/>
          <w:color w:val="auto"/>
          <w:sz w:val="30"/>
          <w:szCs w:val="30"/>
          <w:lang w:val="en-US" w:eastAsia="zh-CN"/>
        </w:rPr>
        <w:t>广东省地方标准《家具制造行业挥发性有机化合物排放标准》（DB44/814-2010）表2无组织排放监控点浓度限值。</w:t>
      </w:r>
      <w:bookmarkStart w:id="0" w:name="_GoBack"/>
      <w:bookmarkEnd w:id="0"/>
      <w:r>
        <w:rPr>
          <w:rFonts w:hint="eastAsia" w:ascii="仿宋" w:hAnsi="仿宋" w:eastAsia="仿宋" w:cs="仿宋"/>
          <w:color w:val="auto"/>
          <w:sz w:val="30"/>
          <w:szCs w:val="30"/>
          <w:lang w:val="en-US" w:eastAsia="zh-CN"/>
        </w:rPr>
        <w:t>厂区内无组织非甲烷总烃执行广东省地方标准《固定污染源挥发性有机物综合排放标准》（DB44/2367-2022）表3厂区内VOCs无组织排放限值。臭气浓度执行《恶臭污染物排放标准》（GB14554-93）表2 恶臭污染物排放标准值和表1恶臭污染物厂界标准值二级新扩改建标准。</w:t>
      </w:r>
    </w:p>
    <w:p>
      <w:pPr>
        <w:spacing w:line="560" w:lineRule="exact"/>
        <w:ind w:firstLine="600" w:firstLineChars="200"/>
        <w:rPr>
          <w:rFonts w:ascii="Times New Roman" w:hAnsi="Times New Roman" w:eastAsia="仿宋" w:cs="Times New Roman"/>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）严格落实噪声污染防治措施。确保边界噪声符合《工业企业厂界环境噪声排放标准》（GB12348-2008）3类标准。</w:t>
      </w:r>
    </w:p>
    <w:p>
      <w:pPr>
        <w:spacing w:line="560" w:lineRule="exact"/>
        <w:ind w:firstLine="600" w:firstLineChars="200"/>
        <w:rPr>
          <w:rFonts w:hint="eastAsia" w:ascii="仿宋" w:hAnsi="仿宋" w:eastAsia="仿宋" w:cs="仿宋"/>
          <w:sz w:val="30"/>
          <w:szCs w:val="30"/>
        </w:rPr>
      </w:pPr>
      <w:r>
        <w:rPr>
          <w:rFonts w:ascii="Times New Roman" w:hAnsi="Times New Roman" w:eastAsia="仿宋" w:cs="Times New Roman"/>
          <w:sz w:val="30"/>
          <w:szCs w:val="30"/>
        </w:rPr>
        <w:t>（</w:t>
      </w:r>
      <w:r>
        <w:rPr>
          <w:rFonts w:hint="eastAsia" w:ascii="Times New Roman" w:hAnsi="Times New Roman" w:eastAsia="仿宋" w:cs="Times New Roman"/>
          <w:sz w:val="30"/>
          <w:szCs w:val="30"/>
          <w:lang w:val="en-US" w:eastAsia="zh-CN"/>
        </w:rPr>
        <w:t>四</w:t>
      </w:r>
      <w:r>
        <w:rPr>
          <w:rFonts w:ascii="Times New Roman" w:hAnsi="Times New Roman" w:eastAsia="仿宋" w:cs="Times New Roman"/>
          <w:sz w:val="30"/>
          <w:szCs w:val="30"/>
        </w:rPr>
        <w:t>）</w:t>
      </w:r>
      <w:r>
        <w:rPr>
          <w:rFonts w:hint="eastAsia" w:ascii="仿宋" w:hAnsi="仿宋" w:eastAsia="仿宋" w:cs="仿宋"/>
          <w:sz w:val="30"/>
          <w:szCs w:val="30"/>
        </w:rPr>
        <w:t>固体废弃物要分类并及时规范处理，固体废物执行《一般工业固体废物贮存和填埋污染控制标准》及《危险废物贮存污染控制标准》的有关规定要求。</w:t>
      </w:r>
    </w:p>
    <w:p>
      <w:pPr>
        <w:spacing w:line="360" w:lineRule="auto"/>
        <w:ind w:firstLine="600" w:firstLineChars="200"/>
        <w:rPr>
          <w:rFonts w:hint="eastAsia"/>
          <w:sz w:val="30"/>
          <w:szCs w:val="30"/>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五</w:t>
      </w:r>
      <w:r>
        <w:rPr>
          <w:rFonts w:hint="eastAsia" w:ascii="仿宋" w:hAnsi="仿宋" w:eastAsia="仿宋" w:cs="仿宋"/>
          <w:color w:val="000000"/>
          <w:sz w:val="30"/>
          <w:szCs w:val="30"/>
          <w:lang w:eastAsia="zh-CN"/>
        </w:rPr>
        <w:t>）项目总量控制指标：VOCs总量控制指标为0.</w:t>
      </w:r>
      <w:r>
        <w:rPr>
          <w:rFonts w:hint="eastAsia" w:ascii="仿宋" w:hAnsi="仿宋" w:eastAsia="仿宋" w:cs="仿宋"/>
          <w:color w:val="000000"/>
          <w:sz w:val="30"/>
          <w:szCs w:val="30"/>
          <w:lang w:val="en-US" w:eastAsia="zh-CN"/>
        </w:rPr>
        <w:t>305</w:t>
      </w:r>
      <w:r>
        <w:rPr>
          <w:rFonts w:hint="eastAsia" w:ascii="仿宋" w:hAnsi="仿宋" w:eastAsia="仿宋" w:cs="仿宋"/>
          <w:color w:val="000000"/>
          <w:sz w:val="30"/>
          <w:szCs w:val="30"/>
          <w:lang w:eastAsia="zh-CN"/>
        </w:rPr>
        <w:t>t/a，NOx总量控制指标为3.854吨/年</w:t>
      </w:r>
      <w:r>
        <w:rPr>
          <w:rFonts w:hint="eastAsia" w:ascii="仿宋" w:hAnsi="仿宋" w:eastAsia="仿宋" w:cs="仿宋"/>
          <w:color w:val="000000"/>
          <w:sz w:val="30"/>
          <w:szCs w:val="30"/>
          <w:lang w:val="en-US" w:eastAsia="zh-CN"/>
        </w:rPr>
        <w:t xml:space="preserve">。   </w:t>
      </w:r>
    </w:p>
    <w:p>
      <w:pPr>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三、报告表经批准后，建设项目的性质、规模、地点、采用的生产工艺或者防治污染、防止生态破坏的措施发生重大变动的，建设单位应当重新报批建设项目的环境影响评价文件</w:t>
      </w:r>
      <w:r>
        <w:rPr>
          <w:rFonts w:hint="eastAsia" w:ascii="Times New Roman" w:hAnsi="Times New Roman" w:eastAsia="仿宋" w:cs="Times New Roman"/>
          <w:color w:val="000000" w:themeColor="text1"/>
          <w:sz w:val="30"/>
          <w:szCs w:val="30"/>
          <w:lang w:eastAsia="zh-CN"/>
          <w14:textFill>
            <w14:solidFill>
              <w14:schemeClr w14:val="tx1"/>
            </w14:solidFill>
          </w14:textFill>
        </w:rPr>
        <w:t>。</w:t>
      </w:r>
    </w:p>
    <w:p>
      <w:pPr>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四</w:t>
      </w:r>
      <w:r>
        <w:rPr>
          <w:rFonts w:ascii="Times New Roman" w:hAnsi="Times New Roman" w:eastAsia="仿宋" w:cs="Times New Roman"/>
          <w:color w:val="000000" w:themeColor="text1"/>
          <w:sz w:val="30"/>
          <w:szCs w:val="30"/>
          <w14:textFill>
            <w14:solidFill>
              <w14:schemeClr w14:val="tx1"/>
            </w14:solidFill>
          </w14:textFill>
        </w:rPr>
        <w:t>、</w:t>
      </w:r>
      <w:r>
        <w:rPr>
          <w:rFonts w:hint="eastAsia" w:ascii="Times New Roman" w:hAnsi="Times New Roman" w:eastAsia="仿宋" w:cs="Times New Roman"/>
          <w:color w:val="000000" w:themeColor="text1"/>
          <w:sz w:val="30"/>
          <w:szCs w:val="30"/>
          <w14:textFill>
            <w14:solidFill>
              <w14:schemeClr w14:val="tx1"/>
            </w14:solidFill>
          </w14:textFill>
        </w:rPr>
        <w:t>你单位应落实生态环境保护主体责任，加强生态环境管理，推进各项生态环境保护措施落实。项目建设必须严格执行环境保护设施与主体工程同时设计、同时施工、同时投产使用的环境保护“三同时”制度。你单位应按照《排污许可管理条例》有关规定，依法及时办理排污许可手续。项目建成运行后，应按规定程序实施竣工环境保护验收。</w:t>
      </w:r>
    </w:p>
    <w:p>
      <w:pPr>
        <w:spacing w:line="560" w:lineRule="exact"/>
        <w:ind w:firstLine="600" w:firstLineChars="200"/>
        <w:rPr>
          <w:rFonts w:ascii="Times New Roman" w:hAnsi="Times New Roman" w:eastAsia="仿宋" w:cs="Times New Roman"/>
          <w:color w:val="000000" w:themeColor="text1"/>
          <w:sz w:val="30"/>
          <w:szCs w:val="30"/>
          <w14:textFill>
            <w14:solidFill>
              <w14:schemeClr w14:val="tx1"/>
            </w14:solidFill>
          </w14:textFill>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五</w:t>
      </w:r>
      <w:r>
        <w:rPr>
          <w:rFonts w:ascii="Times New Roman" w:hAnsi="Times New Roman" w:eastAsia="仿宋" w:cs="Times New Roman"/>
          <w:color w:val="000000" w:themeColor="text1"/>
          <w:sz w:val="30"/>
          <w:szCs w:val="30"/>
          <w14:textFill>
            <w14:solidFill>
              <w14:schemeClr w14:val="tx1"/>
            </w14:solidFill>
          </w14:textFill>
        </w:rPr>
        <w:t>、该项目建设和运行过程中如涉及规划、土地利用、建设、水务、消防、安全等问题，应遵照相关法律法规要求到相应的行政主管部门办理有关手续。</w:t>
      </w:r>
    </w:p>
    <w:p>
      <w:pPr>
        <w:spacing w:line="560" w:lineRule="exact"/>
        <w:ind w:firstLine="600" w:firstLineChars="200"/>
        <w:rPr>
          <w:rFonts w:ascii="Times New Roman" w:hAnsi="Times New Roman" w:cs="Times New Roman"/>
        </w:rPr>
      </w:pPr>
      <w:r>
        <w:rPr>
          <w:rFonts w:hint="eastAsia" w:ascii="Times New Roman" w:hAnsi="Times New Roman" w:eastAsia="仿宋" w:cs="Times New Roman"/>
          <w:color w:val="000000" w:themeColor="text1"/>
          <w:sz w:val="30"/>
          <w:szCs w:val="30"/>
          <w:lang w:val="en-US" w:eastAsia="zh-CN"/>
          <w14:textFill>
            <w14:solidFill>
              <w14:schemeClr w14:val="tx1"/>
            </w14:solidFill>
          </w14:textFill>
        </w:rPr>
        <w:t>六</w:t>
      </w:r>
      <w:r>
        <w:rPr>
          <w:rFonts w:ascii="Times New Roman" w:hAnsi="Times New Roman" w:eastAsia="仿宋" w:cs="Times New Roman"/>
          <w:color w:val="000000" w:themeColor="text1"/>
          <w:sz w:val="30"/>
          <w:szCs w:val="30"/>
          <w14:textFill>
            <w14:solidFill>
              <w14:schemeClr w14:val="tx1"/>
            </w14:solidFill>
          </w14:textFill>
        </w:rPr>
        <w:t xml:space="preserve">、以后国家或地方颁布新标准、行业新规定时，按新标准、新规定执行。  </w:t>
      </w:r>
    </w:p>
    <w:p>
      <w:pPr>
        <w:pStyle w:val="3"/>
        <w:spacing w:line="560" w:lineRule="exact"/>
        <w:rPr>
          <w:rFonts w:hint="default" w:ascii="Times New Roman" w:hAnsi="Times New Roman"/>
        </w:rPr>
      </w:pPr>
    </w:p>
    <w:p>
      <w:pPr>
        <w:spacing w:line="560" w:lineRule="exact"/>
        <w:ind w:firstLine="5100" w:firstLineChars="1700"/>
        <w:rPr>
          <w:rFonts w:ascii="Times New Roman" w:hAnsi="Times New Roman" w:eastAsia="仿宋" w:cs="Times New Roman"/>
          <w:sz w:val="30"/>
          <w:szCs w:val="30"/>
        </w:rPr>
      </w:pPr>
      <w:r>
        <w:rPr>
          <w:rFonts w:ascii="Times New Roman" w:hAnsi="Times New Roman" w:eastAsia="仿宋" w:cs="Times New Roman"/>
          <w:sz w:val="30"/>
          <w:szCs w:val="30"/>
        </w:rPr>
        <w:t>清远市生态环境局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8F2CC"/>
    <w:multiLevelType w:val="singleLevel"/>
    <w:tmpl w:val="E048F2CC"/>
    <w:lvl w:ilvl="0" w:tentative="0">
      <w:start w:val="1"/>
      <w:numFmt w:val="chineseCounting"/>
      <w:suff w:val="nothing"/>
      <w:lvlText w:val="%1、"/>
      <w:lvlJc w:val="left"/>
      <w:rPr>
        <w:rFonts w:hint="eastAsia"/>
      </w:rPr>
    </w:lvl>
  </w:abstractNum>
  <w:abstractNum w:abstractNumId="1">
    <w:nsid w:val="6A64AF6B"/>
    <w:multiLevelType w:val="singleLevel"/>
    <w:tmpl w:val="6A64AF6B"/>
    <w:lvl w:ilvl="0" w:tentative="0">
      <w:start w:val="1"/>
      <w:numFmt w:val="bullet"/>
      <w:pStyle w:val="15"/>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YzkxMmJlYTgyZjE3ZjY0NTQ1NzY0MjAzOWNjMjEifQ=="/>
  </w:docVars>
  <w:rsids>
    <w:rsidRoot w:val="611E0DD8"/>
    <w:rsid w:val="0131118A"/>
    <w:rsid w:val="01C15FF7"/>
    <w:rsid w:val="02662BDD"/>
    <w:rsid w:val="068C3E93"/>
    <w:rsid w:val="085569DA"/>
    <w:rsid w:val="099F62B9"/>
    <w:rsid w:val="0E534C0A"/>
    <w:rsid w:val="10922959"/>
    <w:rsid w:val="12551685"/>
    <w:rsid w:val="15D25BB5"/>
    <w:rsid w:val="174B2F1A"/>
    <w:rsid w:val="1AFD06AA"/>
    <w:rsid w:val="1C4A2EA5"/>
    <w:rsid w:val="1D295B40"/>
    <w:rsid w:val="1D437369"/>
    <w:rsid w:val="1E677EBF"/>
    <w:rsid w:val="202B4E25"/>
    <w:rsid w:val="2288435D"/>
    <w:rsid w:val="2B2152D3"/>
    <w:rsid w:val="2C2A24E5"/>
    <w:rsid w:val="2F4A3550"/>
    <w:rsid w:val="30A65D28"/>
    <w:rsid w:val="36A80DA9"/>
    <w:rsid w:val="3E834C59"/>
    <w:rsid w:val="4081373D"/>
    <w:rsid w:val="40CB0B39"/>
    <w:rsid w:val="469A4A7F"/>
    <w:rsid w:val="472C4F7A"/>
    <w:rsid w:val="499542B3"/>
    <w:rsid w:val="507E7856"/>
    <w:rsid w:val="552D769A"/>
    <w:rsid w:val="56AE238A"/>
    <w:rsid w:val="573633BE"/>
    <w:rsid w:val="57ED0501"/>
    <w:rsid w:val="5A09683C"/>
    <w:rsid w:val="5B121DD7"/>
    <w:rsid w:val="5D596CA1"/>
    <w:rsid w:val="60E51BA8"/>
    <w:rsid w:val="611E0DD8"/>
    <w:rsid w:val="6144186A"/>
    <w:rsid w:val="61C50A3D"/>
    <w:rsid w:val="63585E05"/>
    <w:rsid w:val="65757142"/>
    <w:rsid w:val="693E79D1"/>
    <w:rsid w:val="69972205"/>
    <w:rsid w:val="6B3F14B8"/>
    <w:rsid w:val="71050FAB"/>
    <w:rsid w:val="71D247CC"/>
    <w:rsid w:val="745E0CB4"/>
    <w:rsid w:val="76F0566D"/>
    <w:rsid w:val="782704D8"/>
    <w:rsid w:val="783B7D77"/>
    <w:rsid w:val="786810B6"/>
    <w:rsid w:val="79CE6A8D"/>
    <w:rsid w:val="7D5B0747"/>
    <w:rsid w:val="7EA7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1">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Plain Text"/>
    <w:basedOn w:val="1"/>
    <w:next w:val="3"/>
    <w:autoRedefine/>
    <w:qFormat/>
    <w:uiPriority w:val="0"/>
    <w:rPr>
      <w:rFonts w:hint="eastAsia" w:ascii="宋体" w:hAnsi="Courier New"/>
      <w:sz w:val="28"/>
    </w:rPr>
  </w:style>
  <w:style w:type="paragraph" w:customStyle="1" w:styleId="3">
    <w:name w:val="Default"/>
    <w:basedOn w:val="4"/>
    <w:next w:val="5"/>
    <w:autoRedefine/>
    <w:unhideWhenUsed/>
    <w:qFormat/>
    <w:uiPriority w:val="99"/>
    <w:pPr>
      <w:tabs>
        <w:tab w:val="left" w:pos="58"/>
      </w:tabs>
      <w:autoSpaceDE w:val="0"/>
      <w:autoSpaceDN w:val="0"/>
    </w:pPr>
    <w:rPr>
      <w:rFonts w:hint="eastAsia" w:ascii="黑体" w:hAnsi="黑体" w:eastAsia="黑体" w:cs="Times New Roman"/>
      <w:color w:val="000000"/>
      <w:sz w:val="24"/>
      <w:szCs w:val="22"/>
    </w:rPr>
  </w:style>
  <w:style w:type="paragraph" w:customStyle="1" w:styleId="4">
    <w:name w:val="纯文本1"/>
    <w:basedOn w:val="1"/>
    <w:next w:val="1"/>
    <w:autoRedefine/>
    <w:qFormat/>
    <w:uiPriority w:val="0"/>
    <w:pPr>
      <w:tabs>
        <w:tab w:val="left" w:pos="58"/>
      </w:tabs>
      <w:adjustRightInd w:val="0"/>
      <w:textAlignment w:val="baseline"/>
    </w:pPr>
    <w:rPr>
      <w:rFonts w:ascii="宋体" w:hAnsi="Courier New"/>
      <w:szCs w:val="20"/>
    </w:rPr>
  </w:style>
  <w:style w:type="paragraph" w:customStyle="1" w:styleId="5">
    <w:name w:val="样式35"/>
    <w:basedOn w:val="6"/>
    <w:next w:val="7"/>
    <w:autoRedefine/>
    <w:qFormat/>
    <w:uiPriority w:val="0"/>
    <w:pPr>
      <w:tabs>
        <w:tab w:val="left" w:pos="180"/>
      </w:tabs>
      <w:adjustRightInd w:val="0"/>
      <w:snapToGrid w:val="0"/>
      <w:spacing w:line="360" w:lineRule="auto"/>
      <w:ind w:firstLine="1995" w:firstLineChars="950"/>
      <w:jc w:val="both"/>
    </w:pPr>
    <w:rPr>
      <w:rFonts w:ascii="黑体" w:eastAsia="黑体"/>
      <w:sz w:val="21"/>
      <w:szCs w:val="21"/>
    </w:rPr>
  </w:style>
  <w:style w:type="paragraph" w:customStyle="1" w:styleId="6">
    <w:name w:val="表 内容"/>
    <w:basedOn w:val="1"/>
    <w:autoRedefine/>
    <w:qFormat/>
    <w:uiPriority w:val="0"/>
    <w:pPr>
      <w:spacing w:line="240" w:lineRule="atLeast"/>
      <w:jc w:val="center"/>
    </w:pPr>
    <w:rPr>
      <w:sz w:val="21"/>
      <w:szCs w:val="21"/>
    </w:rPr>
  </w:style>
  <w:style w:type="paragraph" w:customStyle="1" w:styleId="7">
    <w:name w:val="font6"/>
    <w:basedOn w:val="1"/>
    <w:next w:val="8"/>
    <w:autoRedefine/>
    <w:qFormat/>
    <w:uiPriority w:val="0"/>
    <w:pPr>
      <w:widowControl/>
      <w:spacing w:before="100" w:beforeAutospacing="1" w:after="100" w:afterAutospacing="1"/>
      <w:jc w:val="left"/>
    </w:pPr>
    <w:rPr>
      <w:rFonts w:hint="eastAsia" w:ascii="宋体" w:hAnsi="宋体"/>
      <w:kern w:val="0"/>
      <w:sz w:val="18"/>
      <w:szCs w:val="18"/>
    </w:rPr>
  </w:style>
  <w:style w:type="paragraph" w:styleId="8">
    <w:name w:val="toc 2"/>
    <w:basedOn w:val="1"/>
    <w:next w:val="9"/>
    <w:autoRedefine/>
    <w:qFormat/>
    <w:uiPriority w:val="0"/>
    <w:pPr>
      <w:ind w:left="420" w:leftChars="200"/>
    </w:pPr>
  </w:style>
  <w:style w:type="paragraph" w:styleId="9">
    <w:name w:val="E-mail Signature"/>
    <w:basedOn w:val="1"/>
    <w:next w:val="10"/>
    <w:autoRedefine/>
    <w:qFormat/>
    <w:uiPriority w:val="0"/>
    <w:pPr>
      <w:spacing w:line="360" w:lineRule="auto"/>
      <w:ind w:firstLine="420"/>
      <w:jc w:val="left"/>
    </w:pPr>
    <w:rPr>
      <w:sz w:val="24"/>
    </w:rPr>
  </w:style>
  <w:style w:type="paragraph" w:customStyle="1" w:styleId="10">
    <w:name w:val="文章"/>
    <w:basedOn w:val="11"/>
    <w:next w:val="14"/>
    <w:autoRedefine/>
    <w:qFormat/>
    <w:uiPriority w:val="0"/>
    <w:pPr>
      <w:widowControl/>
      <w:ind w:firstLine="480"/>
      <w:jc w:val="center"/>
    </w:pPr>
    <w:rPr>
      <w:sz w:val="26"/>
    </w:rPr>
  </w:style>
  <w:style w:type="paragraph" w:styleId="11">
    <w:name w:val="Body Text Indent"/>
    <w:basedOn w:val="1"/>
    <w:next w:val="12"/>
    <w:autoRedefine/>
    <w:qFormat/>
    <w:uiPriority w:val="0"/>
    <w:pPr>
      <w:spacing w:after="120"/>
      <w:ind w:left="420" w:leftChars="200"/>
    </w:pPr>
    <w:rPr>
      <w:kern w:val="0"/>
      <w:sz w:val="24"/>
      <w:szCs w:val="20"/>
    </w:rPr>
  </w:style>
  <w:style w:type="paragraph" w:styleId="12">
    <w:name w:val="Body Text"/>
    <w:basedOn w:val="1"/>
    <w:next w:val="13"/>
    <w:autoRedefine/>
    <w:qFormat/>
    <w:uiPriority w:val="0"/>
    <w:pPr>
      <w:widowControl/>
      <w:snapToGrid w:val="0"/>
      <w:spacing w:line="360" w:lineRule="auto"/>
      <w:ind w:right="0" w:firstLine="720" w:firstLineChars="200"/>
    </w:pPr>
    <w:rPr>
      <w:rFonts w:ascii="Times New Roman" w:hAnsi="Times New Roman"/>
      <w:kern w:val="0"/>
      <w:szCs w:val="20"/>
    </w:rPr>
  </w:style>
  <w:style w:type="paragraph" w:customStyle="1" w:styleId="13">
    <w:name w:val="xl27"/>
    <w:basedOn w:val="1"/>
    <w:next w:val="12"/>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4">
    <w:name w:val="List"/>
    <w:basedOn w:val="1"/>
    <w:next w:val="15"/>
    <w:autoRedefine/>
    <w:qFormat/>
    <w:uiPriority w:val="0"/>
    <w:pPr>
      <w:ind w:left="200" w:hanging="200" w:hangingChars="200"/>
    </w:pPr>
  </w:style>
  <w:style w:type="paragraph" w:styleId="15">
    <w:name w:val="List Bullet 2"/>
    <w:basedOn w:val="1"/>
    <w:next w:val="16"/>
    <w:autoRedefine/>
    <w:qFormat/>
    <w:uiPriority w:val="0"/>
    <w:pPr>
      <w:numPr>
        <w:ilvl w:val="0"/>
        <w:numId w:val="1"/>
      </w:numPr>
    </w:pPr>
  </w:style>
  <w:style w:type="paragraph" w:customStyle="1" w:styleId="16">
    <w:name w:val="xl70"/>
    <w:basedOn w:val="1"/>
    <w:next w:val="17"/>
    <w:autoRedefine/>
    <w:qFormat/>
    <w:uiPriority w:val="0"/>
    <w:pPr>
      <w:widowControl/>
      <w:spacing w:before="100" w:beforeAutospacing="1" w:after="100" w:afterAutospacing="1"/>
      <w:jc w:val="left"/>
    </w:pPr>
    <w:rPr>
      <w:rFonts w:ascii="Arial" w:hAnsi="Arial" w:cs="Arial"/>
      <w:kern w:val="0"/>
      <w:sz w:val="24"/>
      <w:szCs w:val="24"/>
    </w:rPr>
  </w:style>
  <w:style w:type="paragraph" w:customStyle="1" w:styleId="17">
    <w:name w:val="正文缩进1"/>
    <w:basedOn w:val="18"/>
    <w:next w:val="19"/>
    <w:autoRedefine/>
    <w:qFormat/>
    <w:uiPriority w:val="0"/>
    <w:pPr>
      <w:spacing w:line="240" w:lineRule="auto"/>
      <w:ind w:firstLine="420" w:firstLineChars="0"/>
    </w:pPr>
    <w:rPr>
      <w:sz w:val="21"/>
      <w:szCs w:val="20"/>
    </w:rPr>
  </w:style>
  <w:style w:type="paragraph" w:styleId="18">
    <w:name w:val="Normal Indent"/>
    <w:basedOn w:val="1"/>
    <w:next w:val="1"/>
    <w:autoRedefine/>
    <w:qFormat/>
    <w:uiPriority w:val="0"/>
    <w:pPr>
      <w:ind w:firstLine="420" w:firstLineChars="200"/>
    </w:pPr>
    <w:rPr>
      <w:sz w:val="24"/>
    </w:rPr>
  </w:style>
  <w:style w:type="paragraph" w:customStyle="1" w:styleId="19">
    <w:name w:val="td1"/>
    <w:basedOn w:val="1"/>
    <w:next w:val="1"/>
    <w:autoRedefine/>
    <w:qFormat/>
    <w:uiPriority w:val="0"/>
    <w:pPr>
      <w:widowControl/>
      <w:spacing w:before="280" w:after="280" w:line="300" w:lineRule="atLeast"/>
      <w:ind w:firstLine="200"/>
    </w:pPr>
    <w:rPr>
      <w:color w:val="000000"/>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1454</Characters>
  <Lines>0</Lines>
  <Paragraphs>0</Paragraphs>
  <TotalTime>0</TotalTime>
  <ScaleCrop>false</ScaleCrop>
  <LinksUpToDate>false</LinksUpToDate>
  <CharactersWithSpaces>1460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2022-10-11T08:25:00Z</dcterms:created>
  <dc:creator>84363</dc:creator>
  <cp:lastModifiedBy>84363</cp:lastModifiedBy>
  <cp:lastPrinted>2024-03-29T00:43:00Z</cp:lastPrinted>
  <dcterms:modified xsi:type="dcterms:W3CDTF">2024-05-13T08:34:31Z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393827D316E745E4BC17CE1E0077400E</vt:lpwstr>
  </property>
</Properties>
</file>