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2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清远市公安局清新分局2024年治安视频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监控系统升级改造项目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实施方案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（征求意见稿）</w:t>
      </w:r>
    </w:p>
    <w:bookmarkEnd w:id="12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ind w:left="638" w:leftChars="304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清远市公安局清新分局治安监控系统于201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建设完成并</w:t>
      </w:r>
      <w:r>
        <w:rPr>
          <w:rFonts w:hint="eastAsia" w:ascii="仿宋" w:hAnsi="仿宋" w:eastAsia="仿宋" w:cs="仿宋"/>
          <w:sz w:val="32"/>
          <w:szCs w:val="32"/>
        </w:rPr>
        <w:t>投入使用。项目前端建设有一类监控点、违停监控、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治安</w:t>
      </w:r>
      <w:r>
        <w:rPr>
          <w:rFonts w:hint="eastAsia" w:ascii="仿宋" w:hAnsi="仿宋" w:eastAsia="仿宋" w:cs="仿宋"/>
          <w:sz w:val="32"/>
          <w:szCs w:val="32"/>
        </w:rPr>
        <w:t>卡口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点位</w:t>
      </w:r>
      <w:r>
        <w:rPr>
          <w:rFonts w:hint="eastAsia" w:ascii="仿宋" w:hAnsi="仿宋" w:eastAsia="仿宋" w:cs="仿宋"/>
          <w:sz w:val="32"/>
          <w:szCs w:val="32"/>
        </w:rPr>
        <w:t>覆盖清新区各乡镇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项目建成投入使用以来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公安机关在预测预警、侦查破案、指挥调度及预防犯罪等公安工作中起到了不可或缺的作用，提升了清新区社会治安现代化管理水平。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该批视频监控每天24小时无间断运行近9年，设备稳定性、清晰度、智能化等方面已不能满足公安工作需要。本期项目建设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主要针对</w:t>
      </w:r>
      <w:r>
        <w:rPr>
          <w:rFonts w:hint="eastAsia" w:ascii="仿宋" w:hAnsi="仿宋" w:eastAsia="仿宋" w:cs="仿宋"/>
          <w:sz w:val="32"/>
          <w:szCs w:val="32"/>
        </w:rPr>
        <w:t>治安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监控系统进行存量升级改造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充分应用人工智能、云计算、大数据等新技术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不断加强社会治安防控体系建设，从更多维度整合视频图像资源，更大限度挖掘视频图像数据价值，充分发挥视频图像信息资源及相关智能技术服务公安实战的作用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进一步提升社会面的防控能力和精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打击犯罪能力。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整体性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以“兼容已有、立足现在、着眼未来”的整体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sz w:val="32"/>
          <w:szCs w:val="32"/>
        </w:rPr>
        <w:t>设计本方案，在系统架构、业务融合和实战应用等方面既考虑已有资源接入和兼容、又能运用成熟的先进技术满足本期服务要求，还为将来的扩容、扩展和升级打下基础。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先进性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采用领先的科学技术水平，在保证整个系统功能和性能的前提下，最大限度地采用成熟、可继承、具备广阔发展前景的先进技术。努力保证整个系统功能的科学合理性，防止片面追求某一局部的高指标与先进性。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可靠性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在允许的范围内能有效应对环境、入侵干扰、人为失误等各种影响因素，可长时间无故障运行；系统具有容错措施，单点、局部设备故障等不影响系统功能和性能，故障排除后可快速恢复；保障可靠性和稳定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可扩展性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无论在系统软件、硬件的设计和选型上，都充分考虑其后期的可扩展性，结构上应易于扩充，以便于后期新功能的扩充。在硬件的接口上也比较丰富，能适应后期更多设备的接入控制。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兼容性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严格遵循国家与行业在视图数据等方面的技术标准，并完全符合公安部相关技术规范与指导性意见，实现数据的互联互通。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符合国家和公安部、省厅及地方的相关政策、标准和规范，对方案实施过程进行严格的控制与监管，在工程实施过程中，逐步形成运维的管理规范，并不断修订以趋完善，做到风险可控制、可管理。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项目的建设</w:t>
      </w:r>
      <w:r>
        <w:rPr>
          <w:rFonts w:hint="eastAsia" w:ascii="仿宋" w:hAnsi="仿宋" w:eastAsia="仿宋" w:cs="仿宋"/>
          <w:sz w:val="32"/>
          <w:szCs w:val="32"/>
        </w:rPr>
        <w:t>目标是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</w:t>
      </w:r>
      <w:r>
        <w:rPr>
          <w:rFonts w:hint="eastAsia" w:ascii="仿宋" w:hAnsi="仿宋" w:eastAsia="仿宋" w:cs="仿宋"/>
          <w:sz w:val="32"/>
          <w:szCs w:val="32"/>
        </w:rPr>
        <w:t>清远市公安局清新分局治安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监控系统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的前端监控点进行设备升级更换，保障通信链路及设备供电，后端实现平台扩容升级。</w:t>
      </w:r>
      <w:r>
        <w:rPr>
          <w:rFonts w:hint="eastAsia" w:ascii="仿宋" w:hAnsi="仿宋" w:eastAsia="仿宋" w:cs="仿宋"/>
          <w:sz w:val="32"/>
          <w:szCs w:val="32"/>
        </w:rPr>
        <w:t>建立一个以视频图像为主、多种资源关联叠加的视频资源服务体系，实现视频专网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Ⅰ类图像</w:t>
      </w:r>
      <w:r>
        <w:rPr>
          <w:rFonts w:hint="eastAsia" w:ascii="仿宋" w:hAnsi="仿宋" w:eastAsia="仿宋" w:cs="仿宋"/>
          <w:sz w:val="32"/>
          <w:szCs w:val="32"/>
        </w:rPr>
        <w:t>、车辆等物联数据的整合和汇聚，解析加工后，进行轨迹查询、布控告警等基本应用，以支撑案事件的处理和研判。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依托现有的视频网络，通过更换老旧视频监控摄像设备，对全区范围内重点人流密集场所、治安敏感区域建立以视频图像为核心的多维感知智能防控圈。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结合治安和刑侦等业务警种对视频应用的需求，整合各类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Ⅰ类图像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和车辆信息，结合视频智能解析技术，实现“视频数据化、数据信息化、信息知识化、知识智慧化”，提升公安实战效率。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面向业务警种典型业务场景，建设以视频大数据防控、视频大数据侦查和视频大数据挖掘为核心的视频云业务应用，创新警务视频大数据应用新模式，确保“视频主动发现、视频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挖掘”。让视频应用从被动的事后取证转变为更主动的事前防范、预测预警。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42763102"/>
      <w:bookmarkStart w:id="1" w:name="_Toc17149"/>
      <w:bookmarkStart w:id="2" w:name="_Toc2940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（一）前端视频监控更换设备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本项目包含，但不仅限于</w:t>
      </w:r>
      <w:r>
        <w:rPr>
          <w:rFonts w:hint="eastAsia" w:ascii="仿宋" w:hAnsi="仿宋" w:eastAsia="仿宋" w:cs="仿宋"/>
          <w:sz w:val="32"/>
          <w:szCs w:val="32"/>
        </w:rPr>
        <w:t>更换1134台摄像机、276个锁芯，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</w:t>
      </w:r>
      <w:r>
        <w:rPr>
          <w:rFonts w:hint="eastAsia" w:ascii="仿宋" w:hAnsi="仿宋" w:eastAsia="仿宋" w:cs="仿宋"/>
          <w:sz w:val="32"/>
          <w:szCs w:val="32"/>
        </w:rPr>
        <w:t>203个监控箱（以及监控箱配套设备），203个零地排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203个工业柜配电柜散热风扇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203个空气开关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203个防雷保护器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479个自动重合闸漏电保护器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203个电插座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0台交换机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159个不锈钢抱箍、729个吊装支架、405个抱箍万向节、35套1.5米横臂、35套1.5米借杆横臂、2套3.0米监控立杆+地笼、368块前端标志牌、368套标识牌抱箍、4790米网线、4790米RVV2*0.5mm²电源线、1200米RVV3*2.5mm²电源线、479米波纹管、2个电表、2套穿线手井、1000米PVC管（φ25mm）、200米钢管（φ25mm）、2套3.0米监控立杆基础、开挖总长1200米，100米混凝土路面，20米大理石路面，200米水泥花砖路面，80米沥青路面，400米绿化带路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" w:name="_Toc24587"/>
      <w:bookmarkStart w:id="4" w:name="_Toc249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（二）清新智能视频云平台改造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1.硬件部分共建设10台服务器，150块18T硬盘，以及相关平台配件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包含三年维护费用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.软件部分升级改造1套智能视频云平台，1套智能视频综合业务管理平台，以及1套智能视频云平台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包含三年维护费用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5" w:name="_Toc19802"/>
      <w:bookmarkStart w:id="6" w:name="_Toc1496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（三）清新各派出所链路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7" w:name="_Toc42763105"/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17个派出所（含警务区）</w:t>
      </w:r>
      <w:r>
        <w:rPr>
          <w:rFonts w:hint="eastAsia" w:ascii="仿宋" w:hAnsi="仿宋" w:eastAsia="仿宋" w:cs="仿宋"/>
          <w:sz w:val="32"/>
          <w:szCs w:val="32"/>
        </w:rPr>
        <w:t>的机房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市公安局清新分局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机房三年链路费用。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卡口的监控点至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市公安局清新分局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机房三年链路费用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5个交警中队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机房至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市公安局清新分局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机房三年链路费用。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8" w:name="_Toc26226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（四）前端视频监控链路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211条前端视频监控三年链路费用。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9" w:name="_Toc259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（五）前端视频监控电费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479个前端视频监控点位三年电费。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10" w:name="_Toc9496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（六）清新雪亮工程配套设备运维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含17个派出所或警务区显示系统三年维护（共99台拼接屏、17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矩阵、29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视频传输板卡、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17块主制板卡、17块控制板卡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11" w:name="_Toc12078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（七）清新雪亮工程平台运维</w:t>
      </w:r>
      <w:bookmarkEnd w:id="11"/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清新区“雪亮工程”分平台三年运维，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市公安局清新分局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视频联网管理平台及配套设备运维服务，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提供巡检服务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投资预算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预算不超过6731600</w:t>
      </w:r>
      <w:r>
        <w:rPr>
          <w:rFonts w:hint="eastAsia" w:ascii="仿宋" w:hAnsi="仿宋" w:eastAsia="仿宋" w:cs="仿宋"/>
          <w:sz w:val="32"/>
          <w:szCs w:val="32"/>
        </w:rPr>
        <w:t>元人民币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708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清远市公安局清新分局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0" w:firstLine="42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2024年7月24日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23F5B"/>
    <w:multiLevelType w:val="singleLevel"/>
    <w:tmpl w:val="42923F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30B3"/>
    <w:rsid w:val="7FC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2024-07-26T08:43:00Z</dcterms:created>
  <dc:creator>Administrator</dc:creator>
  <cp:lastModifiedBy>Administrator</cp:lastModifiedBy>
  <dcterms:modified xsi:type="dcterms:W3CDTF">2024-07-26T08:45:23Z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