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方正小标宋_GBK" w:eastAsia="方正小标宋_GBK" w:cs="Times New Roman"/>
          <w:sz w:val="44"/>
          <w:szCs w:val="20"/>
        </w:rPr>
      </w:pPr>
      <w:r>
        <w:rPr>
          <w:rFonts w:hint="eastAsia" w:ascii="方正小标宋_GBK" w:hAnsi="方正小标宋_GBK" w:eastAsia="方正小标宋_GBK" w:cs="Times New Roman"/>
          <w:sz w:val="44"/>
          <w:szCs w:val="20"/>
        </w:rPr>
        <w:t>清远市清新区桂花鱼养殖保险实施方案</w:t>
      </w:r>
    </w:p>
    <w:p>
      <w:pPr>
        <w:spacing w:line="560" w:lineRule="exact"/>
        <w:rPr>
          <w:rFonts w:ascii="仿宋_GB2312" w:hAnsi="仿宋_GB2312" w:eastAsia="仿宋_GB2312" w:cs="仿宋_GB2312"/>
          <w:sz w:val="32"/>
          <w:szCs w:val="32"/>
        </w:rPr>
      </w:pPr>
      <w:bookmarkStart w:id="0" w:name="_GoBack"/>
      <w:bookmarkEnd w:id="0"/>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为贯彻落实省委“1310”具体部署，</w:t>
      </w:r>
      <w:r>
        <w:rPr>
          <w:rFonts w:hint="eastAsia" w:ascii="仿宋_GB2312" w:hAnsi="仿宋_GB2312" w:eastAsia="仿宋_GB2312" w:cs="仿宋_GB2312"/>
          <w:sz w:val="32"/>
          <w:szCs w:val="32"/>
        </w:rPr>
        <w:t>提速推进“百千万工程”，加快清新区桂花鱼产业高质量发展，进一步增强桂花鱼养殖产业综合生产能力，降低饲料桂花鱼养殖风险，提高</w:t>
      </w:r>
      <w:r>
        <w:rPr>
          <w:rFonts w:hint="eastAsia" w:ascii="仿宋_GB2312" w:hAnsi="仿宋_GB2312" w:eastAsia="仿宋_GB2312" w:cs="仿宋_GB2312"/>
          <w:sz w:val="32"/>
          <w:szCs w:val="32"/>
          <w:lang w:eastAsia="zh-CN"/>
        </w:rPr>
        <w:t>农户养殖模式转型的</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，结合我区桂花鱼产业发展情况，制定本方案。</w:t>
      </w:r>
    </w:p>
    <w:p>
      <w:pPr>
        <w:widowControl/>
        <w:spacing w:line="560" w:lineRule="exact"/>
        <w:ind w:firstLine="640" w:firstLineChars="200"/>
        <w:rPr>
          <w:rFonts w:ascii="方正黑体_GBK" w:hAnsi="方正黑体_GBK" w:eastAsia="方正黑体_GBK" w:cs="Times New Roman"/>
          <w:sz w:val="32"/>
          <w:szCs w:val="20"/>
        </w:rPr>
      </w:pPr>
      <w:r>
        <w:rPr>
          <w:rFonts w:hint="eastAsia" w:ascii="黑体" w:hAnsi="黑体" w:eastAsia="黑体" w:cs="黑体"/>
          <w:sz w:val="32"/>
          <w:szCs w:val="20"/>
        </w:rPr>
        <w:t>一、指导思想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贯彻习近平生态文明思想，践行绿水青山就是金山银山的理念，聚焦农业产业发展，提升农业生态惠民富民能力，增强生态系统功能和生态产品供给能力，完善以政策性农业保险为基础的农业保险保障体系，构筑多层次的农业保险风险分散机制，服务清新区经济高质量发展助推乡村振兴。</w:t>
      </w:r>
    </w:p>
    <w:p>
      <w:pPr>
        <w:widowControl/>
        <w:spacing w:line="560" w:lineRule="exact"/>
        <w:ind w:firstLine="640" w:firstLineChars="200"/>
        <w:rPr>
          <w:rFonts w:ascii="方正黑体_GBK" w:hAnsi="方正黑体_GBK" w:eastAsia="方正黑体_GBK" w:cs="Times New Roman"/>
          <w:sz w:val="32"/>
          <w:szCs w:val="20"/>
        </w:rPr>
      </w:pPr>
      <w:r>
        <w:rPr>
          <w:rFonts w:hint="eastAsia" w:ascii="黑体" w:hAnsi="黑体" w:eastAsia="黑体" w:cs="黑体"/>
          <w:sz w:val="32"/>
          <w:szCs w:val="20"/>
        </w:rPr>
        <w:t>二、基本原则</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（一）政府引导</w:t>
      </w:r>
      <w:r>
        <w:rPr>
          <w:rFonts w:hint="eastAsia" w:ascii="仿宋_GB2312" w:hAnsi="仿宋_GB2312" w:eastAsia="仿宋_GB2312" w:cs="仿宋_GB2312"/>
          <w:sz w:val="32"/>
          <w:szCs w:val="32"/>
        </w:rPr>
        <w:t>。更好发挥政府引导和推动作用，通过加大政策扶持力度，落实财政配套补贴资金，强化理赔监管服务，推动桂花鱼产业高质量发展。</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（二）市场运作。</w:t>
      </w:r>
      <w:r>
        <w:rPr>
          <w:rFonts w:hint="eastAsia" w:ascii="仿宋_GB2312" w:hAnsi="仿宋_GB2312" w:eastAsia="仿宋_GB2312" w:cs="仿宋_GB2312"/>
          <w:sz w:val="32"/>
          <w:szCs w:val="32"/>
        </w:rPr>
        <w:t>与农业保险发展内在规律相适应，充分发挥市场配置资源的决定性作用，坚持以需求为导向，强化创新引领，发挥好保险机构在农业保险经营中的自主性和创造性。</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（三）自主自愿</w:t>
      </w:r>
      <w:r>
        <w:rPr>
          <w:rFonts w:hint="eastAsia" w:ascii="仿宋_GB2312" w:hAnsi="仿宋_GB2312" w:eastAsia="仿宋_GB2312" w:cs="仿宋_GB2312"/>
          <w:sz w:val="32"/>
          <w:szCs w:val="32"/>
        </w:rPr>
        <w:t>。充分尊重农民和农业生产经营组织意愿，结合实际探索不同的农业保险经营模式，通过政策引导、保费补贴、理赔服务等方式，充分调动农业保险各参与方的积极性，促进自主自愿投保。</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协同推进</w:t>
      </w:r>
      <w:r>
        <w:rPr>
          <w:rFonts w:hint="eastAsia" w:ascii="仿宋_GB2312" w:hAnsi="仿宋_GB2312" w:eastAsia="仿宋_GB2312" w:cs="仿宋_GB2312"/>
          <w:sz w:val="32"/>
          <w:szCs w:val="32"/>
        </w:rPr>
        <w:t>，各有关部门按照职责分工，加强协同配合，积极稳妥地推进饲料桂花鱼养殖保险工作，发挥农业保险经济补偿和风险管理功能，又注重融入社会治理，确保政策落到实处。</w:t>
      </w:r>
    </w:p>
    <w:p>
      <w:pPr>
        <w:widowControl/>
        <w:spacing w:line="560" w:lineRule="exact"/>
        <w:ind w:firstLine="640" w:firstLineChars="200"/>
        <w:rPr>
          <w:rFonts w:ascii="方正黑体_GBK" w:hAnsi="方正黑体_GBK" w:eastAsia="方正黑体_GBK" w:cs="Times New Roman"/>
          <w:sz w:val="32"/>
          <w:szCs w:val="20"/>
        </w:rPr>
      </w:pPr>
      <w:r>
        <w:rPr>
          <w:rFonts w:hint="eastAsia" w:ascii="黑体" w:hAnsi="黑体" w:eastAsia="黑体" w:cs="黑体"/>
          <w:sz w:val="32"/>
          <w:szCs w:val="20"/>
        </w:rPr>
        <w:t>三、工作目标</w:t>
      </w:r>
    </w:p>
    <w:p>
      <w:pPr>
        <w:snapToGrid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力争实现全区范围内饲料桂花鱼保险全覆盖，做到</w:t>
      </w:r>
      <w:r>
        <w:rPr>
          <w:rFonts w:hint="eastAsia" w:ascii="仿宋_GB2312" w:hAnsi="仿宋_GB2312" w:eastAsia="仿宋_GB2312" w:cs="仿宋_GB2312"/>
          <w:sz w:val="32"/>
          <w:szCs w:val="32"/>
        </w:rPr>
        <w:t>农业生产经营组织</w:t>
      </w:r>
      <w:r>
        <w:rPr>
          <w:rFonts w:hint="eastAsia" w:ascii="仿宋_GB2312" w:hAnsi="宋体" w:eastAsia="仿宋_GB2312" w:cs="Times New Roman"/>
          <w:sz w:val="32"/>
          <w:szCs w:val="32"/>
        </w:rPr>
        <w:t>“应保尽保”，一般养殖户达到“愿保尽保”。</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20"/>
        </w:rPr>
        <w:t>四、承保机构管理</w:t>
      </w:r>
    </w:p>
    <w:p>
      <w:pPr>
        <w:snapToGrid w:val="0"/>
        <w:spacing w:line="560" w:lineRule="exact"/>
        <w:ind w:firstLine="640" w:firstLineChars="200"/>
        <w:jc w:val="left"/>
        <w:rPr>
          <w:rFonts w:ascii="仿宋_GB2312" w:hAnsi="宋体" w:eastAsia="仿宋_GB2312" w:cs="Times New Roman"/>
          <w:sz w:val="32"/>
          <w:szCs w:val="32"/>
        </w:rPr>
      </w:pPr>
      <w:r>
        <w:rPr>
          <w:rFonts w:ascii="仿宋_GB2312" w:hAnsi="宋体" w:eastAsia="仿宋_GB2312" w:cs="Times New Roman"/>
          <w:sz w:val="32"/>
          <w:szCs w:val="32"/>
        </w:rPr>
        <w:t>1.</w:t>
      </w:r>
      <w:r>
        <w:rPr>
          <w:rFonts w:hint="eastAsia" w:ascii="仿宋_GB2312" w:hAnsi="宋体" w:eastAsia="仿宋_GB2312" w:cs="Times New Roman"/>
          <w:sz w:val="32"/>
          <w:szCs w:val="32"/>
        </w:rPr>
        <w:t>简化程序。由区农业农村局会同有关部门根据《政府采购法》等有关法律法规，通过公开招标方式引入商业保险运营机构进行经营管理。结合产业实际，只由1 家保险公司承保。招标工作争取在本《方案》通过区政府审定并正式印发后的</w:t>
      </w:r>
      <w:r>
        <w:rPr>
          <w:rFonts w:ascii="仿宋_GB2312" w:hAnsi="宋体" w:eastAsia="仿宋_GB2312" w:cs="Times New Roman"/>
          <w:sz w:val="32"/>
          <w:szCs w:val="32"/>
        </w:rPr>
        <w:t xml:space="preserve">40 </w:t>
      </w:r>
      <w:r>
        <w:rPr>
          <w:rFonts w:hint="eastAsia" w:ascii="仿宋_GB2312" w:hAnsi="宋体" w:eastAsia="仿宋_GB2312" w:cs="Times New Roman"/>
          <w:sz w:val="32"/>
          <w:szCs w:val="32"/>
        </w:rPr>
        <w:t>天内完成。</w:t>
      </w:r>
    </w:p>
    <w:p>
      <w:pPr>
        <w:snapToGrid w:val="0"/>
        <w:spacing w:line="560" w:lineRule="exact"/>
        <w:ind w:firstLine="640" w:firstLineChars="200"/>
        <w:jc w:val="left"/>
        <w:rPr>
          <w:rFonts w:ascii="仿宋_GB2312" w:hAnsi="宋体" w:eastAsia="仿宋_GB2312" w:cs="Times New Roman"/>
          <w:sz w:val="32"/>
          <w:szCs w:val="32"/>
        </w:rPr>
      </w:pPr>
      <w:r>
        <w:rPr>
          <w:rFonts w:ascii="仿宋_GB2312" w:hAnsi="宋体" w:eastAsia="仿宋_GB2312" w:cs="Times New Roman"/>
          <w:sz w:val="32"/>
          <w:szCs w:val="32"/>
        </w:rPr>
        <w:t>2.</w:t>
      </w:r>
      <w:r>
        <w:rPr>
          <w:rFonts w:hint="eastAsia" w:ascii="仿宋_GB2312" w:hAnsi="宋体" w:eastAsia="仿宋_GB2312" w:cs="Times New Roman"/>
          <w:sz w:val="32"/>
          <w:szCs w:val="32"/>
        </w:rPr>
        <w:t>招标方式。结合我区实际，拟将全区饲料桂花鱼养殖保险单独招标。</w:t>
      </w:r>
    </w:p>
    <w:p>
      <w:pPr>
        <w:snapToGrid w:val="0"/>
        <w:spacing w:line="560" w:lineRule="exact"/>
        <w:ind w:firstLine="640" w:firstLineChars="200"/>
        <w:jc w:val="left"/>
        <w:rPr>
          <w:rFonts w:ascii="仿宋_GB2312" w:hAnsi="宋体" w:eastAsia="仿宋_GB2312" w:cs="Times New Roman"/>
          <w:sz w:val="32"/>
          <w:szCs w:val="32"/>
        </w:rPr>
      </w:pPr>
      <w:r>
        <w:rPr>
          <w:rFonts w:ascii="仿宋_GB2312" w:hAnsi="宋体" w:eastAsia="仿宋_GB2312" w:cs="Times New Roman"/>
          <w:sz w:val="32"/>
          <w:szCs w:val="32"/>
        </w:rPr>
        <w:t>3.</w:t>
      </w:r>
      <w:r>
        <w:rPr>
          <w:rFonts w:hint="eastAsia" w:ascii="仿宋_GB2312" w:hAnsi="宋体" w:eastAsia="仿宋_GB2312" w:cs="Times New Roman"/>
          <w:sz w:val="32"/>
          <w:szCs w:val="32"/>
        </w:rPr>
        <w:t>承保机构准入要求。参与投标的保险公司，应符合国务院《农业保险条例》及中国保监会相关监管规定，偿付能力充足。</w:t>
      </w:r>
    </w:p>
    <w:p>
      <w:pPr>
        <w:snapToGrid w:val="0"/>
        <w:spacing w:line="560" w:lineRule="exact"/>
        <w:ind w:firstLine="640" w:firstLineChars="200"/>
        <w:jc w:val="left"/>
        <w:rPr>
          <w:rFonts w:hint="eastAsia" w:ascii="仿宋_GB2312" w:hAnsi="宋体" w:eastAsia="仿宋_GB2312" w:cs="Times New Roman"/>
          <w:sz w:val="32"/>
          <w:szCs w:val="32"/>
          <w:lang w:eastAsia="zh-CN"/>
        </w:rPr>
      </w:pPr>
      <w:r>
        <w:rPr>
          <w:rFonts w:ascii="仿宋_GB2312" w:hAnsi="宋体" w:eastAsia="仿宋_GB2312" w:cs="Times New Roman"/>
          <w:sz w:val="32"/>
          <w:szCs w:val="32"/>
        </w:rPr>
        <w:t>4.</w:t>
      </w:r>
      <w:r>
        <w:rPr>
          <w:rFonts w:hint="eastAsia" w:ascii="仿宋_GB2312" w:hAnsi="宋体" w:eastAsia="仿宋_GB2312" w:cs="Times New Roman"/>
          <w:sz w:val="32"/>
          <w:szCs w:val="32"/>
        </w:rPr>
        <w:t>本次招标承保周期为两年</w:t>
      </w:r>
      <w:r>
        <w:rPr>
          <w:rFonts w:hint="eastAsia" w:ascii="仿宋_GB2312" w:hAnsi="宋体" w:eastAsia="仿宋_GB2312" w:cs="Times New Roman"/>
          <w:sz w:val="32"/>
          <w:szCs w:val="32"/>
          <w:lang w:eastAsia="zh-CN"/>
        </w:rPr>
        <w:t>。</w:t>
      </w:r>
    </w:p>
    <w:p>
      <w:pPr>
        <w:snapToGrid w:val="0"/>
        <w:spacing w:line="560" w:lineRule="exact"/>
        <w:ind w:firstLine="640" w:firstLineChars="200"/>
        <w:jc w:val="left"/>
        <w:rPr>
          <w:rFonts w:ascii="仿宋_GB2312" w:hAnsi="宋体" w:eastAsia="仿宋_GB2312" w:cs="Times New Roman"/>
          <w:sz w:val="32"/>
          <w:szCs w:val="32"/>
        </w:rPr>
      </w:pPr>
      <w:r>
        <w:rPr>
          <w:rFonts w:ascii="仿宋_GB2312" w:hAnsi="宋体" w:eastAsia="仿宋_GB2312" w:cs="Times New Roman"/>
          <w:sz w:val="32"/>
          <w:szCs w:val="32"/>
        </w:rPr>
        <w:t>5.</w:t>
      </w:r>
      <w:r>
        <w:rPr>
          <w:rFonts w:hint="eastAsia" w:ascii="仿宋_GB2312" w:hAnsi="宋体" w:eastAsia="仿宋_GB2312" w:cs="Times New Roman"/>
          <w:sz w:val="32"/>
          <w:szCs w:val="32"/>
        </w:rPr>
        <w:t>其他说明。为防止出现脱保情况，在未完成新一轮招</w:t>
      </w:r>
    </w:p>
    <w:p>
      <w:pPr>
        <w:snapToGrid w:val="0"/>
        <w:spacing w:line="560" w:lineRule="exact"/>
        <w:jc w:val="left"/>
        <w:rPr>
          <w:rFonts w:ascii="仿宋_GB2312" w:hAnsi="宋体" w:eastAsia="仿宋_GB2312" w:cs="Times New Roman"/>
          <w:sz w:val="32"/>
          <w:szCs w:val="32"/>
        </w:rPr>
      </w:pPr>
      <w:r>
        <w:rPr>
          <w:rFonts w:hint="eastAsia" w:ascii="仿宋_GB2312" w:hAnsi="宋体" w:eastAsia="仿宋_GB2312" w:cs="Times New Roman"/>
          <w:sz w:val="32"/>
          <w:szCs w:val="32"/>
        </w:rPr>
        <w:t>标工作之前，由2023年负责承保的保险公司继续承保直至完成招标工作。然后由新确定的中标公司，按照本《方案》新标准承保。</w:t>
      </w:r>
    </w:p>
    <w:p>
      <w:pPr>
        <w:widowControl/>
        <w:spacing w:line="560" w:lineRule="exact"/>
        <w:ind w:firstLine="640" w:firstLineChars="200"/>
        <w:rPr>
          <w:rFonts w:hint="eastAsia" w:ascii="黑体" w:hAnsi="黑体" w:eastAsia="黑体" w:cs="黑体"/>
          <w:sz w:val="32"/>
          <w:szCs w:val="20"/>
        </w:rPr>
      </w:pPr>
      <w:r>
        <w:rPr>
          <w:rFonts w:hint="eastAsia" w:ascii="黑体" w:hAnsi="黑体" w:eastAsia="黑体" w:cs="黑体"/>
          <w:sz w:val="32"/>
          <w:szCs w:val="20"/>
        </w:rPr>
        <w:t>五、实施内容</w:t>
      </w:r>
    </w:p>
    <w:p>
      <w:pPr>
        <w:numPr>
          <w:ilvl w:val="255"/>
          <w:numId w:val="0"/>
        </w:num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（一）实施范围：</w:t>
      </w:r>
      <w:r>
        <w:rPr>
          <w:rFonts w:hint="eastAsia" w:ascii="仿宋_GB2312" w:hAnsi="仿宋_GB2312" w:eastAsia="仿宋_GB2312" w:cs="仿宋_GB2312"/>
          <w:sz w:val="32"/>
          <w:szCs w:val="32"/>
        </w:rPr>
        <w:t>清远市清新区行政区域，除军事管理区。</w:t>
      </w:r>
    </w:p>
    <w:p>
      <w:pPr>
        <w:numPr>
          <w:ilvl w:val="255"/>
          <w:numId w:val="0"/>
        </w:num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（二）实施期限：</w:t>
      </w:r>
      <w:r>
        <w:rPr>
          <w:rFonts w:hint="eastAsia" w:ascii="仿宋_GB2312" w:hAnsi="仿宋_GB2312" w:eastAsia="仿宋_GB2312" w:cs="仿宋_GB2312"/>
          <w:sz w:val="32"/>
          <w:szCs w:val="32"/>
        </w:rPr>
        <w:t>2024年6月-202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（三）保险品种</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饲料桂花鱼养殖。</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（四）参保条件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同时符合下列条件的饲料桂花鱼可作为本保险合同的保险标的（以下简称“保险水产”）：</w:t>
      </w:r>
    </w:p>
    <w:p>
      <w:pPr>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1.养殖模式为桂花鱼饲料化养殖；</w:t>
      </w:r>
    </w:p>
    <w:p>
      <w:pPr>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2.养殖地点、放养规格、养殖密度、混养比例、养殖设施等均符合桂花鱼水产行业养殖技术规范；</w:t>
      </w:r>
    </w:p>
    <w:p>
      <w:pPr>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3.苗种须要有检疫结果；</w:t>
      </w:r>
    </w:p>
    <w:p>
      <w:pPr>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4.养殖场所不在当地禁养区；</w:t>
      </w:r>
    </w:p>
    <w:p>
      <w:pPr>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5.养殖场所在当地洪水水位线以上的非蓄洪、行洪区。</w:t>
      </w:r>
    </w:p>
    <w:p>
      <w:pPr>
        <w:widowControl/>
        <w:spacing w:line="560" w:lineRule="exact"/>
        <w:ind w:firstLine="643" w:firstLineChars="2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（五）参保对象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清新区养殖饲料桂花鱼的所有农户、企业、农场、合作社、乡镇（街、社区）等农业经营者。</w:t>
      </w:r>
    </w:p>
    <w:p>
      <w:pPr>
        <w:numPr>
          <w:ilvl w:val="255"/>
          <w:numId w:val="0"/>
        </w:numPr>
        <w:spacing w:line="560" w:lineRule="exact"/>
        <w:ind w:firstLine="643" w:firstLineChars="2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（六）保险责任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在保险期间内，发生下列保险事故的，保险人按照本保险合同的约定负责赔偿：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1.因暴风、暴雨、台风、龙卷风、洪水、雷击直接造成水产所在池塘中保险水产的死亡，且按每口池塘计算的每次事故死亡率在20%（不含）以上；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2.因遭受本条第1款列明的自然灾害事故而发生溃堤，且每次事故溃堤程度（出险堤长占堤周长的比例）在0.5％（不含）以上，致使保险水产逃逸；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3.因遭受本条第1款列明的自然灾害事故而发生漫坎，致使保险水产逃逸；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4.因连续低温天气造成水产所在池塘中保险水产的死亡，且按每口池塘计算的每次事故死亡率在20%（不含）以上。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5.因遭受下列病毒性疾病直接造成保险桂花鱼的死亡，且按每口池塘计算的每次事故死亡率在20%（不含）以上的：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鳜鱼传染性脾肾坏死病，病毒性神经坏死病、鳜鱼蛙虹彩病毒，鳜鱼弹状病毒。</w:t>
      </w:r>
    </w:p>
    <w:p>
      <w:pPr>
        <w:numPr>
          <w:ilvl w:val="255"/>
          <w:numId w:val="0"/>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6.责任免除</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（1）投保人及其家庭成员、被保险人及其家庭成员、雇用人员的故意行为；</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（2）被盗；</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（3）鱼塘设施发生保险责任外的事故，导致的</w:t>
      </w:r>
      <w:r>
        <w:rPr>
          <w:rFonts w:hint="eastAsia" w:ascii="仿宋_GB2312" w:hAnsi="仿宋_GB2312" w:eastAsia="仿宋_GB2312" w:cs="仿宋_GB2312"/>
          <w:sz w:val="32"/>
          <w:szCs w:val="32"/>
        </w:rPr>
        <w:t>保险水产</w:t>
      </w:r>
      <w:r>
        <w:rPr>
          <w:rFonts w:hint="eastAsia" w:ascii="仿宋_GB2312" w:hAnsi="宋体" w:eastAsia="仿宋_GB2312" w:cs="Times New Roman"/>
          <w:sz w:val="32"/>
          <w:szCs w:val="32"/>
        </w:rPr>
        <w:t>损失；</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（4）淘汰</w:t>
      </w:r>
      <w:r>
        <w:rPr>
          <w:rFonts w:hint="eastAsia" w:ascii="仿宋_GB2312" w:hAnsi="仿宋_GB2312" w:eastAsia="仿宋_GB2312" w:cs="仿宋_GB2312"/>
          <w:sz w:val="32"/>
          <w:szCs w:val="32"/>
        </w:rPr>
        <w:t>保险水产</w:t>
      </w:r>
      <w:r>
        <w:rPr>
          <w:rFonts w:hint="eastAsia" w:ascii="仿宋_GB2312" w:hAnsi="宋体" w:eastAsia="仿宋_GB2312" w:cs="Times New Roman"/>
          <w:sz w:val="32"/>
          <w:szCs w:val="32"/>
        </w:rPr>
        <w:t>宰杀；</w:t>
      </w:r>
    </w:p>
    <w:p>
      <w:pPr>
        <w:widowControl/>
        <w:spacing w:line="560" w:lineRule="exact"/>
        <w:ind w:firstLine="640" w:firstLineChars="200"/>
        <w:rPr>
          <w:rFonts w:ascii="仿宋_GB2312" w:hAnsi="仿宋_GB2312" w:eastAsia="仿宋_GB2312" w:cs="仿宋_GB2312"/>
          <w:b/>
          <w:bCs/>
          <w:sz w:val="32"/>
          <w:szCs w:val="32"/>
        </w:rPr>
      </w:pPr>
      <w:r>
        <w:rPr>
          <w:rFonts w:hint="eastAsia" w:ascii="仿宋_GB2312" w:hAnsi="宋体" w:eastAsia="仿宋_GB2312" w:cs="Times New Roman"/>
          <w:sz w:val="32"/>
          <w:szCs w:val="32"/>
        </w:rPr>
        <w:t>其他不属于本保险合同责任范围内的损失、费用，保险人也不负责赔偿。</w:t>
      </w:r>
    </w:p>
    <w:p>
      <w:pPr>
        <w:spacing w:after="156" w:afterLines="50" w:line="560" w:lineRule="exact"/>
        <w:ind w:firstLine="643" w:firstLineChars="200"/>
        <w:rPr>
          <w:rFonts w:ascii="Times New Roman" w:hAnsi="Times New Roman" w:eastAsia="宋体" w:cs="Times New Roman"/>
          <w:b/>
        </w:rPr>
      </w:pPr>
      <w:r>
        <w:rPr>
          <w:rFonts w:hint="eastAsia" w:ascii="楷体_GB2312" w:hAnsi="楷体_GB2312" w:eastAsia="楷体_GB2312" w:cs="Times New Roman"/>
          <w:b/>
          <w:bCs/>
          <w:sz w:val="32"/>
          <w:szCs w:val="20"/>
        </w:rPr>
        <w:t>（七）</w:t>
      </w:r>
      <w:r>
        <w:rPr>
          <w:rFonts w:ascii="楷体_GB2312" w:hAnsi="楷体_GB2312" w:eastAsia="楷体_GB2312" w:cs="Times New Roman"/>
          <w:b/>
          <w:bCs/>
          <w:sz w:val="32"/>
          <w:szCs w:val="20"/>
        </w:rPr>
        <w:t>保险期间</w:t>
      </w:r>
      <w:r>
        <w:rPr>
          <w:rFonts w:hint="eastAsia" w:ascii="楷体_GB2312" w:hAnsi="楷体_GB2312" w:eastAsia="楷体_GB2312" w:cs="Times New Roman"/>
          <w:b/>
          <w:bCs/>
          <w:sz w:val="32"/>
          <w:szCs w:val="20"/>
        </w:rPr>
        <w:t>和观察期</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保险水产可以按批次投保或按年出塘量投保，按批次投保的保险期间为一个生长周期，按年出塘量投保的保险期为1年。（具体可农户与承包机构商定，以保单为准）。</w:t>
      </w:r>
    </w:p>
    <w:p>
      <w:pPr>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自保险期间开始之日起10日（含）内为保险水产的疾病、疫病观察期。在观察期内因保险责任中的疾病、疫病所致的保险标的死亡，保险人不负责赔偿。</w:t>
      </w:r>
    </w:p>
    <w:p>
      <w:pPr>
        <w:spacing w:line="560" w:lineRule="exact"/>
        <w:ind w:firstLine="643" w:firstLineChars="2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（八）保险金额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保险水产的每尾保险金额参照其饲养成本，由投保人与保险人协商确定，并在保险单中载明。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每尾保险金额=22元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总保险金额=每尾保险金额×投保数量</w:t>
      </w:r>
    </w:p>
    <w:p>
      <w:pPr>
        <w:spacing w:line="560" w:lineRule="exact"/>
        <w:ind w:left="319" w:leftChars="152" w:firstLine="321" w:firstLineChars="1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（九）保险费率：</w:t>
      </w:r>
      <w:r>
        <w:rPr>
          <w:rFonts w:hint="eastAsia" w:ascii="仿宋_GB2312" w:hAnsi="仿宋_GB2312" w:eastAsia="仿宋_GB2312" w:cs="仿宋_GB2312"/>
          <w:sz w:val="32"/>
          <w:szCs w:val="32"/>
        </w:rPr>
        <w:t>按批次投保的保险费率为4.5%，按年出塘量投保的保险费率为6%。</w:t>
      </w:r>
    </w:p>
    <w:p>
      <w:pPr>
        <w:spacing w:line="560" w:lineRule="exact"/>
        <w:ind w:left="319" w:leftChars="152" w:firstLine="321" w:firstLineChars="1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（十）保险保费</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保费=保险金额×保费率×投保数量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按批次投保的每尾保费＝22×4.5%＝0.99元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按年出塘量投保的每尾保费=22×6%=1.32元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投保数量以保险单载明为准。</w:t>
      </w:r>
    </w:p>
    <w:p>
      <w:pPr>
        <w:spacing w:line="560" w:lineRule="exact"/>
        <w:ind w:left="319" w:leftChars="152" w:firstLine="321" w:firstLineChars="1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（十一）保费承担比例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1.承保期为一个生长周期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区级财政补贴75%，即0.7425元/尾，农户自缴25%，即0.247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元/尾。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2.承保期为1年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区级财政补贴75%，即</w:t>
      </w:r>
      <w:r>
        <w:rPr>
          <w:rFonts w:hint="eastAsia" w:ascii="仿宋_GB2312" w:hAnsi="仿宋_GB2312" w:eastAsia="仿宋_GB2312" w:cs="仿宋_GB2312"/>
          <w:sz w:val="32"/>
          <w:szCs w:val="32"/>
          <w:lang w:val="en-US" w:eastAsia="zh-CN"/>
        </w:rPr>
        <w:t>0.99</w:t>
      </w:r>
      <w:r>
        <w:rPr>
          <w:rFonts w:hint="eastAsia" w:ascii="仿宋_GB2312" w:hAnsi="仿宋_GB2312" w:eastAsia="仿宋_GB2312" w:cs="仿宋_GB2312"/>
          <w:sz w:val="32"/>
          <w:szCs w:val="32"/>
        </w:rPr>
        <w:t>元/尾，农户自缴25%，即</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元/尾。</w:t>
      </w:r>
    </w:p>
    <w:p>
      <w:pPr>
        <w:spacing w:line="560" w:lineRule="exact"/>
        <w:ind w:left="319" w:leftChars="152" w:firstLine="321" w:firstLineChars="1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（十二）保险赔付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发生条款列明的保险责任事故，赔付金额计算如下：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1.发生非自然灾害约定的保险水产损失，赔偿金额计算如下：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赔偿金额＝（损失数量×每尾种苗成本＋损失总尸重×单位重量养殖费用成本）×不同生长期赔付比例</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赔付金额列表</w:t>
      </w:r>
    </w:p>
    <w:tbl>
      <w:tblPr>
        <w:tblStyle w:val="6"/>
        <w:tblW w:w="8931" w:type="dxa"/>
        <w:jc w:val="center"/>
        <w:tblLayout w:type="autofit"/>
        <w:tblCellMar>
          <w:top w:w="0" w:type="dxa"/>
          <w:left w:w="108" w:type="dxa"/>
          <w:bottom w:w="0" w:type="dxa"/>
          <w:right w:w="108" w:type="dxa"/>
        </w:tblCellMar>
      </w:tblPr>
      <w:tblGrid>
        <w:gridCol w:w="2127"/>
        <w:gridCol w:w="105"/>
        <w:gridCol w:w="2233"/>
        <w:gridCol w:w="497"/>
        <w:gridCol w:w="1736"/>
        <w:gridCol w:w="2233"/>
      </w:tblGrid>
      <w:tr>
        <w:tblPrEx>
          <w:tblCellMar>
            <w:top w:w="0" w:type="dxa"/>
            <w:left w:w="108" w:type="dxa"/>
            <w:bottom w:w="0" w:type="dxa"/>
            <w:right w:w="108" w:type="dxa"/>
          </w:tblCellMar>
        </w:tblPrEx>
        <w:trPr>
          <w:trHeight w:val="713" w:hRule="atLeast"/>
          <w:jc w:val="center"/>
        </w:trPr>
        <w:tc>
          <w:tcPr>
            <w:tcW w:w="21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2835" w:type="dxa"/>
            <w:gridSpan w:val="3"/>
            <w:tcBorders>
              <w:top w:val="single" w:color="auto" w:sz="4" w:space="0"/>
              <w:left w:val="nil"/>
              <w:bottom w:val="single" w:color="auto" w:sz="4" w:space="0"/>
              <w:right w:val="single" w:color="auto" w:sz="4" w:space="0"/>
            </w:tcBorders>
            <w:shd w:val="clear" w:color="auto" w:fill="auto"/>
            <w:noWrap/>
          </w:tcPr>
          <w:p>
            <w:pPr>
              <w:widowControl/>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种苗成本</w:t>
            </w:r>
          </w:p>
        </w:tc>
        <w:tc>
          <w:tcPr>
            <w:tcW w:w="3969" w:type="dxa"/>
            <w:gridSpan w:val="2"/>
            <w:tcBorders>
              <w:top w:val="single" w:color="auto" w:sz="4" w:space="0"/>
              <w:left w:val="nil"/>
              <w:bottom w:val="single" w:color="auto" w:sz="4" w:space="0"/>
              <w:right w:val="single" w:color="auto" w:sz="4" w:space="0"/>
            </w:tcBorders>
            <w:shd w:val="clear" w:color="auto" w:fill="auto"/>
            <w:noWrap/>
          </w:tcPr>
          <w:p>
            <w:pPr>
              <w:widowControl/>
              <w:spacing w:line="56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4元/尾</w:t>
            </w:r>
          </w:p>
        </w:tc>
      </w:tr>
      <w:tr>
        <w:tblPrEx>
          <w:tblCellMar>
            <w:top w:w="0" w:type="dxa"/>
            <w:left w:w="108" w:type="dxa"/>
            <w:bottom w:w="0" w:type="dxa"/>
            <w:right w:w="108" w:type="dxa"/>
          </w:tblCellMar>
        </w:tblPrEx>
        <w:trPr>
          <w:trHeight w:val="727" w:hRule="atLeast"/>
          <w:jc w:val="center"/>
        </w:trPr>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p>
        </w:tc>
        <w:tc>
          <w:tcPr>
            <w:tcW w:w="2835" w:type="dxa"/>
            <w:gridSpan w:val="3"/>
            <w:tcBorders>
              <w:top w:val="nil"/>
              <w:left w:val="nil"/>
              <w:bottom w:val="single" w:color="auto" w:sz="4" w:space="0"/>
              <w:right w:val="single" w:color="auto" w:sz="4" w:space="0"/>
            </w:tcBorders>
            <w:shd w:val="clear" w:color="auto" w:fill="auto"/>
            <w:noWrap/>
            <w:vAlign w:val="center"/>
          </w:tcPr>
          <w:p>
            <w:pPr>
              <w:widowControl/>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单位养殖费用成本</w:t>
            </w:r>
          </w:p>
        </w:tc>
        <w:tc>
          <w:tcPr>
            <w:tcW w:w="3969" w:type="dxa"/>
            <w:gridSpan w:val="2"/>
            <w:tcBorders>
              <w:top w:val="nil"/>
              <w:left w:val="nil"/>
              <w:bottom w:val="single" w:color="auto" w:sz="4" w:space="0"/>
              <w:right w:val="single" w:color="auto" w:sz="4" w:space="0"/>
            </w:tcBorders>
            <w:shd w:val="clear" w:color="auto" w:fill="auto"/>
            <w:noWrap/>
            <w:vAlign w:val="center"/>
          </w:tcPr>
          <w:p>
            <w:pPr>
              <w:widowControl/>
              <w:spacing w:line="56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15元/斤</w:t>
            </w:r>
          </w:p>
        </w:tc>
      </w:tr>
      <w:tr>
        <w:tblPrEx>
          <w:tblCellMar>
            <w:top w:w="0" w:type="dxa"/>
            <w:left w:w="108" w:type="dxa"/>
            <w:bottom w:w="0" w:type="dxa"/>
            <w:right w:w="108" w:type="dxa"/>
          </w:tblCellMar>
        </w:tblPrEx>
        <w:trPr>
          <w:trHeight w:val="677" w:hRule="atLeast"/>
          <w:jc w:val="center"/>
        </w:trPr>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p>
        </w:tc>
        <w:tc>
          <w:tcPr>
            <w:tcW w:w="2835" w:type="dxa"/>
            <w:gridSpan w:val="3"/>
            <w:tcBorders>
              <w:top w:val="nil"/>
              <w:left w:val="nil"/>
              <w:bottom w:val="single" w:color="auto" w:sz="4" w:space="0"/>
              <w:right w:val="single" w:color="auto" w:sz="4" w:space="0"/>
            </w:tcBorders>
            <w:shd w:val="clear" w:color="auto" w:fill="auto"/>
            <w:noWrap/>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鱼获重量</w:t>
            </w:r>
          </w:p>
        </w:tc>
        <w:tc>
          <w:tcPr>
            <w:tcW w:w="3969" w:type="dxa"/>
            <w:gridSpan w:val="2"/>
            <w:tcBorders>
              <w:top w:val="nil"/>
              <w:left w:val="nil"/>
              <w:bottom w:val="single" w:color="auto" w:sz="4" w:space="0"/>
              <w:right w:val="single" w:color="auto" w:sz="4" w:space="0"/>
            </w:tcBorders>
            <w:shd w:val="clear" w:color="auto" w:fill="auto"/>
            <w:noWrap/>
            <w:vAlign w:val="center"/>
          </w:tcPr>
          <w:p>
            <w:pPr>
              <w:widowControl/>
              <w:spacing w:line="56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1.2斤/尾</w:t>
            </w:r>
          </w:p>
        </w:tc>
      </w:tr>
      <w:tr>
        <w:tblPrEx>
          <w:tblCellMar>
            <w:top w:w="0" w:type="dxa"/>
            <w:left w:w="108" w:type="dxa"/>
            <w:bottom w:w="0" w:type="dxa"/>
            <w:right w:w="108" w:type="dxa"/>
          </w:tblCellMar>
        </w:tblPrEx>
        <w:trPr>
          <w:trHeight w:val="90" w:hRule="atLeast"/>
          <w:jc w:val="center"/>
        </w:trPr>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p>
        </w:tc>
        <w:tc>
          <w:tcPr>
            <w:tcW w:w="2835" w:type="dxa"/>
            <w:gridSpan w:val="3"/>
            <w:tcBorders>
              <w:top w:val="nil"/>
              <w:left w:val="nil"/>
              <w:bottom w:val="nil"/>
              <w:right w:val="single" w:color="auto" w:sz="4" w:space="0"/>
            </w:tcBorders>
            <w:shd w:val="clear" w:color="auto" w:fill="auto"/>
            <w:noWrap/>
            <w:vAlign w:val="center"/>
          </w:tcPr>
          <w:p>
            <w:pPr>
              <w:widowControl/>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赔付比例</w:t>
            </w:r>
          </w:p>
        </w:tc>
        <w:tc>
          <w:tcPr>
            <w:tcW w:w="3969" w:type="dxa"/>
            <w:gridSpan w:val="2"/>
            <w:tcBorders>
              <w:top w:val="nil"/>
              <w:left w:val="nil"/>
              <w:bottom w:val="nil"/>
              <w:right w:val="single" w:color="auto" w:sz="4" w:space="0"/>
            </w:tcBorders>
            <w:shd w:val="clear" w:color="auto" w:fill="auto"/>
            <w:vAlign w:val="center"/>
          </w:tcPr>
          <w:p>
            <w:pPr>
              <w:widowControl/>
              <w:spacing w:line="56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鱼苗期：0.9</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成长期：1</w:t>
            </w:r>
          </w:p>
        </w:tc>
      </w:tr>
      <w:tr>
        <w:tblPrEx>
          <w:tblCellMar>
            <w:top w:w="0" w:type="dxa"/>
            <w:left w:w="108" w:type="dxa"/>
            <w:bottom w:w="0" w:type="dxa"/>
            <w:right w:w="108" w:type="dxa"/>
          </w:tblCellMar>
        </w:tblPrEx>
        <w:trPr>
          <w:trHeight w:val="676" w:hRule="atLeast"/>
          <w:jc w:val="center"/>
        </w:trPr>
        <w:tc>
          <w:tcPr>
            <w:tcW w:w="8931" w:type="dxa"/>
            <w:gridSpan w:val="6"/>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各阶段鱼损失赔付金额</w:t>
            </w:r>
          </w:p>
        </w:tc>
      </w:tr>
      <w:tr>
        <w:tblPrEx>
          <w:tblCellMar>
            <w:top w:w="0" w:type="dxa"/>
            <w:left w:w="108" w:type="dxa"/>
            <w:bottom w:w="0" w:type="dxa"/>
            <w:right w:w="108" w:type="dxa"/>
          </w:tblCellMar>
        </w:tblPrEx>
        <w:trPr>
          <w:trHeight w:val="683" w:hRule="atLeast"/>
          <w:jc w:val="center"/>
        </w:trPr>
        <w:tc>
          <w:tcPr>
            <w:tcW w:w="4465" w:type="dxa"/>
            <w:gridSpan w:val="3"/>
            <w:tcBorders>
              <w:top w:val="single" w:color="auto" w:sz="4" w:space="0"/>
              <w:left w:val="single" w:color="auto" w:sz="4" w:space="0"/>
              <w:bottom w:val="single" w:color="auto" w:sz="4" w:space="0"/>
              <w:right w:val="double" w:color="auto" w:sz="4" w:space="0"/>
            </w:tcBorders>
            <w:vAlign w:val="center"/>
          </w:tcPr>
          <w:p>
            <w:pPr>
              <w:widowControl/>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鱼苗期</w:t>
            </w:r>
          </w:p>
        </w:tc>
        <w:tc>
          <w:tcPr>
            <w:tcW w:w="4466" w:type="dxa"/>
            <w:gridSpan w:val="3"/>
            <w:tcBorders>
              <w:top w:val="single" w:color="auto" w:sz="4" w:space="0"/>
              <w:left w:val="double" w:color="auto" w:sz="4" w:space="0"/>
              <w:bottom w:val="single" w:color="auto" w:sz="4" w:space="0"/>
              <w:right w:val="single" w:color="auto" w:sz="4" w:space="0"/>
            </w:tcBorders>
            <w:vAlign w:val="center"/>
          </w:tcPr>
          <w:p>
            <w:pPr>
              <w:widowControl/>
              <w:spacing w:line="56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成长期</w:t>
            </w:r>
          </w:p>
        </w:tc>
      </w:tr>
      <w:tr>
        <w:tblPrEx>
          <w:tblCellMar>
            <w:top w:w="0" w:type="dxa"/>
            <w:left w:w="108" w:type="dxa"/>
            <w:bottom w:w="0" w:type="dxa"/>
            <w:right w:w="108" w:type="dxa"/>
          </w:tblCellMar>
        </w:tblPrEx>
        <w:trPr>
          <w:trHeight w:val="750"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损失尸重（斤）</w:t>
            </w:r>
          </w:p>
        </w:tc>
        <w:tc>
          <w:tcPr>
            <w:tcW w:w="2233" w:type="dxa"/>
            <w:tcBorders>
              <w:top w:val="single" w:color="auto" w:sz="4" w:space="0"/>
              <w:left w:val="single" w:color="auto" w:sz="4" w:space="0"/>
              <w:bottom w:val="single" w:color="auto" w:sz="4" w:space="0"/>
              <w:right w:val="double" w:color="auto" w:sz="4" w:space="0"/>
            </w:tcBorders>
            <w:vAlign w:val="center"/>
          </w:tcPr>
          <w:p>
            <w:pPr>
              <w:widowControl/>
              <w:spacing w:line="56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赔偿金额（元）</w:t>
            </w:r>
          </w:p>
        </w:tc>
        <w:tc>
          <w:tcPr>
            <w:tcW w:w="2233" w:type="dxa"/>
            <w:gridSpan w:val="2"/>
            <w:tcBorders>
              <w:top w:val="single" w:color="auto" w:sz="4" w:space="0"/>
              <w:left w:val="double" w:color="auto" w:sz="4" w:space="0"/>
              <w:bottom w:val="single" w:color="auto" w:sz="4" w:space="0"/>
              <w:right w:val="single" w:color="auto" w:sz="4" w:space="0"/>
            </w:tcBorders>
            <w:vAlign w:val="center"/>
          </w:tcPr>
          <w:p>
            <w:pPr>
              <w:widowControl/>
              <w:spacing w:line="56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损失尸重（斤）</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赔偿金额（元）</w:t>
            </w:r>
          </w:p>
        </w:tc>
      </w:tr>
      <w:tr>
        <w:tblPrEx>
          <w:tblCellMar>
            <w:top w:w="0" w:type="dxa"/>
            <w:left w:w="108" w:type="dxa"/>
            <w:bottom w:w="0" w:type="dxa"/>
            <w:right w:w="108" w:type="dxa"/>
          </w:tblCellMar>
        </w:tblPrEx>
        <w:trPr>
          <w:trHeight w:val="60"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w:t>
            </w:r>
          </w:p>
        </w:tc>
        <w:tc>
          <w:tcPr>
            <w:tcW w:w="2233" w:type="dxa"/>
            <w:tcBorders>
              <w:top w:val="single" w:color="auto" w:sz="4" w:space="0"/>
              <w:left w:val="single" w:color="auto" w:sz="4" w:space="0"/>
              <w:bottom w:val="single" w:color="auto" w:sz="4" w:space="0"/>
              <w:right w:val="doub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4.95</w:t>
            </w:r>
          </w:p>
        </w:tc>
        <w:tc>
          <w:tcPr>
            <w:tcW w:w="2233" w:type="dxa"/>
            <w:gridSpan w:val="2"/>
            <w:tcBorders>
              <w:top w:val="single" w:color="auto" w:sz="4" w:space="0"/>
              <w:left w:val="doub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0.7</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14.5</w:t>
            </w:r>
          </w:p>
        </w:tc>
      </w:tr>
      <w:tr>
        <w:tblPrEx>
          <w:tblCellMar>
            <w:top w:w="0" w:type="dxa"/>
            <w:left w:w="108" w:type="dxa"/>
            <w:bottom w:w="0" w:type="dxa"/>
            <w:right w:w="108" w:type="dxa"/>
          </w:tblCellMar>
        </w:tblPrEx>
        <w:trPr>
          <w:trHeight w:val="60"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w:t>
            </w:r>
          </w:p>
        </w:tc>
        <w:tc>
          <w:tcPr>
            <w:tcW w:w="2233" w:type="dxa"/>
            <w:tcBorders>
              <w:top w:val="single" w:color="auto" w:sz="4" w:space="0"/>
              <w:left w:val="single" w:color="auto" w:sz="4" w:space="0"/>
              <w:bottom w:val="single" w:color="auto" w:sz="4" w:space="0"/>
              <w:right w:val="doub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6.3</w:t>
            </w:r>
          </w:p>
        </w:tc>
        <w:tc>
          <w:tcPr>
            <w:tcW w:w="2233" w:type="dxa"/>
            <w:gridSpan w:val="2"/>
            <w:tcBorders>
              <w:top w:val="single" w:color="auto" w:sz="4" w:space="0"/>
              <w:left w:val="doub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0.8</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16</w:t>
            </w:r>
          </w:p>
        </w:tc>
      </w:tr>
      <w:tr>
        <w:tblPrEx>
          <w:tblCellMar>
            <w:top w:w="0" w:type="dxa"/>
            <w:left w:w="108" w:type="dxa"/>
            <w:bottom w:w="0" w:type="dxa"/>
            <w:right w:w="108" w:type="dxa"/>
          </w:tblCellMar>
        </w:tblPrEx>
        <w:trPr>
          <w:trHeight w:val="60"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0.3</w:t>
            </w:r>
          </w:p>
        </w:tc>
        <w:tc>
          <w:tcPr>
            <w:tcW w:w="2233" w:type="dxa"/>
            <w:tcBorders>
              <w:top w:val="single" w:color="auto" w:sz="4" w:space="0"/>
              <w:left w:val="single" w:color="auto" w:sz="4" w:space="0"/>
              <w:bottom w:val="single" w:color="auto" w:sz="4" w:space="0"/>
              <w:right w:val="doub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7.65</w:t>
            </w:r>
          </w:p>
        </w:tc>
        <w:tc>
          <w:tcPr>
            <w:tcW w:w="2233" w:type="dxa"/>
            <w:gridSpan w:val="2"/>
            <w:tcBorders>
              <w:top w:val="single" w:color="auto" w:sz="4" w:space="0"/>
              <w:left w:val="doub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0.9</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17.5</w:t>
            </w:r>
          </w:p>
        </w:tc>
      </w:tr>
      <w:tr>
        <w:tblPrEx>
          <w:tblCellMar>
            <w:top w:w="0" w:type="dxa"/>
            <w:left w:w="108" w:type="dxa"/>
            <w:bottom w:w="0" w:type="dxa"/>
            <w:right w:w="108" w:type="dxa"/>
          </w:tblCellMar>
        </w:tblPrEx>
        <w:trPr>
          <w:trHeight w:val="60"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0.4</w:t>
            </w:r>
          </w:p>
        </w:tc>
        <w:tc>
          <w:tcPr>
            <w:tcW w:w="2233" w:type="dxa"/>
            <w:tcBorders>
              <w:top w:val="single" w:color="auto" w:sz="4" w:space="0"/>
              <w:left w:val="single" w:color="auto" w:sz="4" w:space="0"/>
              <w:bottom w:val="single" w:color="auto" w:sz="4" w:space="0"/>
              <w:right w:val="doub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9</w:t>
            </w:r>
          </w:p>
        </w:tc>
        <w:tc>
          <w:tcPr>
            <w:tcW w:w="2233" w:type="dxa"/>
            <w:gridSpan w:val="2"/>
            <w:tcBorders>
              <w:top w:val="single" w:color="auto" w:sz="4" w:space="0"/>
              <w:left w:val="doub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19</w:t>
            </w:r>
          </w:p>
        </w:tc>
      </w:tr>
      <w:tr>
        <w:tblPrEx>
          <w:tblCellMar>
            <w:top w:w="0" w:type="dxa"/>
            <w:left w:w="108" w:type="dxa"/>
            <w:bottom w:w="0" w:type="dxa"/>
            <w:right w:w="108" w:type="dxa"/>
          </w:tblCellMar>
        </w:tblPrEx>
        <w:trPr>
          <w:trHeight w:val="60"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0.5</w:t>
            </w:r>
          </w:p>
        </w:tc>
        <w:tc>
          <w:tcPr>
            <w:tcW w:w="2233" w:type="dxa"/>
            <w:tcBorders>
              <w:top w:val="single" w:color="auto" w:sz="4" w:space="0"/>
              <w:left w:val="single" w:color="auto" w:sz="4" w:space="0"/>
              <w:bottom w:val="single" w:color="auto" w:sz="4" w:space="0"/>
              <w:right w:val="doub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10.35</w:t>
            </w:r>
          </w:p>
        </w:tc>
        <w:tc>
          <w:tcPr>
            <w:tcW w:w="2233" w:type="dxa"/>
            <w:gridSpan w:val="2"/>
            <w:tcBorders>
              <w:top w:val="single" w:color="auto" w:sz="4" w:space="0"/>
              <w:left w:val="doub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20.5</w:t>
            </w:r>
          </w:p>
        </w:tc>
      </w:tr>
      <w:tr>
        <w:tblPrEx>
          <w:tblCellMar>
            <w:top w:w="0" w:type="dxa"/>
            <w:left w:w="108" w:type="dxa"/>
            <w:bottom w:w="0" w:type="dxa"/>
            <w:right w:w="108" w:type="dxa"/>
          </w:tblCellMar>
        </w:tblPrEx>
        <w:trPr>
          <w:trHeight w:val="60" w:hRule="atLeast"/>
          <w:jc w:val="center"/>
        </w:trPr>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0.6</w:t>
            </w:r>
          </w:p>
        </w:tc>
        <w:tc>
          <w:tcPr>
            <w:tcW w:w="2233" w:type="dxa"/>
            <w:tcBorders>
              <w:top w:val="single" w:color="auto" w:sz="4" w:space="0"/>
              <w:left w:val="single" w:color="auto" w:sz="4" w:space="0"/>
              <w:bottom w:val="single" w:color="auto" w:sz="4" w:space="0"/>
              <w:right w:val="doub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11.7</w:t>
            </w:r>
          </w:p>
        </w:tc>
        <w:tc>
          <w:tcPr>
            <w:tcW w:w="2233" w:type="dxa"/>
            <w:gridSpan w:val="2"/>
            <w:tcBorders>
              <w:top w:val="single" w:color="auto" w:sz="4" w:space="0"/>
              <w:left w:val="doub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22</w:t>
            </w:r>
          </w:p>
        </w:tc>
      </w:tr>
      <w:tr>
        <w:tblPrEx>
          <w:tblCellMar>
            <w:top w:w="0" w:type="dxa"/>
            <w:left w:w="108" w:type="dxa"/>
            <w:bottom w:w="0" w:type="dxa"/>
            <w:right w:w="108" w:type="dxa"/>
          </w:tblCellMar>
        </w:tblPrEx>
        <w:trPr>
          <w:trHeight w:val="1913" w:hRule="atLeast"/>
          <w:jc w:val="center"/>
        </w:trPr>
        <w:tc>
          <w:tcPr>
            <w:tcW w:w="8931" w:type="dxa"/>
            <w:gridSpan w:val="6"/>
            <w:tcBorders>
              <w:top w:val="single" w:color="auto" w:sz="4" w:space="0"/>
              <w:left w:val="single" w:color="auto" w:sz="4" w:space="0"/>
              <w:bottom w:val="single" w:color="auto" w:sz="4" w:space="0"/>
              <w:right w:val="single" w:color="auto" w:sz="4" w:space="0"/>
            </w:tcBorders>
            <w:vAlign w:val="center"/>
          </w:tcPr>
          <w:p>
            <w:pPr>
              <w:widowControl/>
              <w:spacing w:after="0" w:afterLines="-2147483648"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备注：本方案桂花鱼损失平均尸重最高赔付为1.2斤/尾，保险桂花鱼损失平均尸重超过1.2斤/尾的，按1.2斤/尾计算赔偿金额。</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方案桂花鱼损失平均尸重最高赔付为1.2斤/尾，保险桂花鱼损失平均尸重超过1.2斤/尾的，按1.2斤/尾计算赔偿金额。以7天为一个理赔结算周期，计算单次保险事故的损失数量，当单次保险事故的持续时间超过7天时，以7天为一个理赔结算周期计算损失数量，每个事故周期单独计算起赔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2.发生因自然灾害导致的保险水产溃坎损失，赔偿金额计算如下：赔偿金额＝溃堤池塘内的保险水产保险金额×（出险时已养殖天数/保险责任期间）×损失程度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损失程度根据溃堤池塘内保险水产实际损失情况由被保险人与保险人协商确定。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3.发生因自然灾害导致的保险水产漫坎损失，赔偿金额计算如下：赔偿金额＝漫坎池塘内的保险水产保险金额×（出险时保险水产已养殖天数/保险责任期间）×损失程度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损失程度根据漫坎池塘内保险水产实际损失情况由被保险人与保险人协商确定。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在保险期间内，投保池塘同时发生保险责任范围内的溃堤和漫坎事故且无法区分时，赔偿金额不重复计算，但应依据溃堤和漫坎的不同计算结果，选择较高一项赔偿给被保险人。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4.发生本合同保险责任范围内的疾（疫）病死亡损失，保险人按以下方式计算赔偿（金额参照第（第十二）条第1项“赔付金额列表”）：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赔偿金额＝（损失数量×每尾种苗成本＋损失总尸重×单位重量养殖费用成本）×不同生长期赔付比例</w:t>
      </w:r>
    </w:p>
    <w:p>
      <w:pPr>
        <w:widowControl/>
        <w:spacing w:line="560" w:lineRule="exact"/>
        <w:ind w:firstLine="640" w:firstLineChars="200"/>
        <w:rPr>
          <w:rFonts w:ascii="方正黑体_GBK" w:hAnsi="方正黑体_GBK" w:eastAsia="方正黑体_GBK" w:cs="Times New Roman"/>
          <w:sz w:val="32"/>
          <w:szCs w:val="20"/>
        </w:rPr>
      </w:pPr>
      <w:r>
        <w:rPr>
          <w:rFonts w:hint="eastAsia" w:ascii="黑体" w:hAnsi="黑体" w:eastAsia="黑体" w:cs="黑体"/>
          <w:sz w:val="32"/>
          <w:szCs w:val="20"/>
        </w:rPr>
        <w:t>六、实施办法</w:t>
      </w:r>
    </w:p>
    <w:p>
      <w:pPr>
        <w:spacing w:line="560" w:lineRule="exact"/>
        <w:ind w:left="319" w:leftChars="152" w:firstLine="321" w:firstLineChars="1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（一）承保流程</w:t>
      </w:r>
      <w:r>
        <w:rPr>
          <w:rFonts w:ascii="楷体_GB2312" w:hAnsi="楷体_GB2312" w:eastAsia="楷体_GB2312" w:cs="Times New Roman"/>
          <w:b/>
          <w:bCs/>
          <w:sz w:val="32"/>
          <w:szCs w:val="20"/>
        </w:rPr>
        <w:t xml:space="preserve"> </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Times New Roman"/>
          <w:b/>
          <w:bCs/>
          <w:sz w:val="32"/>
          <w:szCs w:val="20"/>
        </w:rPr>
        <w:t>1.单独投保：</w:t>
      </w:r>
      <w:r>
        <w:rPr>
          <w:rFonts w:hint="eastAsia" w:ascii="仿宋_GB2312" w:hAnsi="仿宋_GB2312" w:eastAsia="仿宋_GB2312" w:cs="仿宋_GB2312"/>
          <w:sz w:val="32"/>
          <w:szCs w:val="32"/>
        </w:rPr>
        <w:t>由农户（含养殖大户、家庭农场等新型农业经营主体）、农业生产经营组织（含省属农场、龙头企业、专业合作社等）自行投保，投保人、被保险人应为农户或农业生产经营组织。</w:t>
      </w:r>
    </w:p>
    <w:p>
      <w:pPr>
        <w:spacing w:line="560" w:lineRule="exact"/>
        <w:ind w:firstLine="643" w:firstLineChars="200"/>
        <w:rPr>
          <w:rFonts w:hint="eastAsia" w:ascii="仿宋_GB2312" w:hAnsi="仿宋_GB2312" w:eastAsia="仿宋_GB2312" w:cs="仿宋_GB2312"/>
          <w:sz w:val="32"/>
          <w:szCs w:val="32"/>
          <w:lang w:eastAsia="zh-CN"/>
        </w:rPr>
      </w:pPr>
      <w:r>
        <w:rPr>
          <w:rFonts w:ascii="仿宋_GB2312" w:hAnsi="仿宋_GB2312" w:eastAsia="仿宋_GB2312" w:cs="Times New Roman"/>
          <w:b/>
          <w:bCs/>
          <w:sz w:val="32"/>
          <w:szCs w:val="20"/>
        </w:rPr>
        <w:t>2.集体投保：</w:t>
      </w:r>
      <w:r>
        <w:rPr>
          <w:rFonts w:hint="eastAsia" w:ascii="仿宋_GB2312" w:hAnsi="仿宋_GB2312" w:eastAsia="仿宋_GB2312" w:cs="仿宋_GB2312"/>
          <w:sz w:val="32"/>
          <w:szCs w:val="32"/>
        </w:rPr>
        <w:t>由村民委员会、农业生产经营组织等单位组织农民投保的，投保组织者应为村民委员会或农业生产经营组织等单位，被保险人为参保的每个农户</w:t>
      </w:r>
      <w:r>
        <w:rPr>
          <w:rFonts w:hint="eastAsia" w:ascii="仿宋_GB2312" w:hAnsi="仿宋_GB2312" w:eastAsia="仿宋_GB2312" w:cs="仿宋_GB2312"/>
          <w:sz w:val="32"/>
          <w:szCs w:val="32"/>
          <w:lang w:eastAsia="zh-CN"/>
        </w:rPr>
        <w:t>。</w:t>
      </w:r>
    </w:p>
    <w:p>
      <w:pPr>
        <w:widowControl/>
        <w:spacing w:line="560" w:lineRule="exact"/>
        <w:ind w:firstLine="643" w:firstLineChars="200"/>
        <w:rPr>
          <w:rFonts w:ascii="仿宋_GB2312" w:hAnsi="仿宋_GB2312" w:eastAsia="仿宋_GB2312" w:cs="Times New Roman"/>
          <w:b/>
          <w:bCs/>
          <w:sz w:val="32"/>
          <w:szCs w:val="20"/>
        </w:rPr>
      </w:pPr>
      <w:r>
        <w:rPr>
          <w:rFonts w:ascii="仿宋_GB2312" w:hAnsi="仿宋_GB2312" w:eastAsia="仿宋_GB2312" w:cs="Times New Roman"/>
          <w:b/>
          <w:bCs/>
          <w:sz w:val="32"/>
          <w:szCs w:val="20"/>
        </w:rPr>
        <w:t>3.承保流程图：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桂花鱼养殖保险业务管理，简化承保流程，按照保险公司农业保险投保资料线上化采集功能，实现承保全流程线上化。同时为保障桂花鱼养殖保险持续健康发展，结合清远市清新区实际情况，承保流程具体如下：</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华文楷体" w:hAnsi="华文楷体" w:eastAsia="华文楷体" w:cs="仿宋_GB2312"/>
          <w:kern w:val="0"/>
          <w:sz w:val="28"/>
          <w:szCs w:val="28"/>
        </w:rPr>
        <w:drawing>
          <wp:anchor distT="0" distB="0" distL="0" distR="0" simplePos="0" relativeHeight="251660288" behindDoc="1" locked="0" layoutInCell="1" allowOverlap="1">
            <wp:simplePos x="0" y="0"/>
            <wp:positionH relativeFrom="column">
              <wp:posOffset>80645</wp:posOffset>
            </wp:positionH>
            <wp:positionV relativeFrom="paragraph">
              <wp:posOffset>-43180</wp:posOffset>
            </wp:positionV>
            <wp:extent cx="5099050" cy="3888105"/>
            <wp:effectExtent l="0" t="0" r="6350" b="17145"/>
            <wp:wrapTight wrapText="bothSides">
              <wp:wrapPolygon>
                <wp:start x="0" y="0"/>
                <wp:lineTo x="0" y="21484"/>
                <wp:lineTo x="21546" y="21484"/>
                <wp:lineTo x="2154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099050" cy="3888105"/>
                    </a:xfrm>
                    <a:prstGeom prst="rect">
                      <a:avLst/>
                    </a:prstGeom>
                  </pic:spPr>
                </pic:pic>
              </a:graphicData>
            </a:graphic>
          </wp:anchor>
        </w:drawing>
      </w:r>
    </w:p>
    <w:p>
      <w:pPr>
        <w:spacing w:line="560" w:lineRule="exact"/>
        <w:ind w:left="319" w:leftChars="152" w:firstLine="321" w:firstLineChars="1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（二）查勘定损</w:t>
      </w:r>
    </w:p>
    <w:p>
      <w:pPr>
        <w:numPr>
          <w:ilvl w:val="255"/>
          <w:numId w:val="0"/>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保险公司接到报案后，根据案情可采取自查或委托查勘方式进行查勘。查勘人员应在接案后24小时内到达现场，对损失进行确认，查明受损原因、收集图片信息、核定受损数量，</w:t>
      </w:r>
      <w:r>
        <w:rPr>
          <w:rFonts w:hint="eastAsia" w:ascii="仿宋_GB2312" w:hAnsi="宋体" w:eastAsia="仿宋_GB2312" w:cs="Times New Roman"/>
          <w:sz w:val="32"/>
          <w:szCs w:val="32"/>
        </w:rPr>
        <w:t>并将结果交于养殖业主签字确认。</w:t>
      </w:r>
    </w:p>
    <w:p>
      <w:pPr>
        <w:spacing w:line="560" w:lineRule="exact"/>
        <w:ind w:left="319" w:leftChars="152" w:firstLine="321" w:firstLineChars="1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（三）赔偿处理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保险公司理赔流程可简单分为：报案、查勘定损、立案、理赔公示、核赔、赔款支付、回访共计七个步骤。</w:t>
      </w:r>
    </w:p>
    <w:p>
      <w:pPr>
        <w:widowControl/>
        <w:snapToGrid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经查勘定损确定受损数量及标准后，由保险经办机构与被保险人确定理赔金额，如无异议，由保险经办机构委托相关金融机构，通过养殖企业（场、户）账户拨付理赔款。对不属于保险责任的，应自做出核定之日起3日内向被保险人发出拒赔通知书，并说明理由；属保险责任的，承保公司应在与养殖企业（场、户）达成有关赔偿协议后在10个工作日内，将赔款及时划到被保险人账户上。</w:t>
      </w:r>
    </w:p>
    <w:p>
      <w:pPr>
        <w:spacing w:line="560" w:lineRule="exact"/>
        <w:ind w:left="319" w:leftChars="152" w:firstLine="321" w:firstLineChars="100"/>
        <w:rPr>
          <w:rFonts w:ascii="楷体_GB2312" w:hAnsi="楷体_GB2312" w:eastAsia="楷体_GB2312" w:cs="Times New Roman"/>
          <w:b/>
          <w:bCs/>
          <w:sz w:val="32"/>
          <w:szCs w:val="20"/>
        </w:rPr>
      </w:pPr>
      <w:r>
        <w:rPr>
          <w:rFonts w:hint="eastAsia" w:ascii="楷体_GB2312" w:hAnsi="楷体_GB2312" w:eastAsia="楷体_GB2312" w:cs="Times New Roman"/>
          <w:b/>
          <w:bCs/>
          <w:sz w:val="32"/>
          <w:szCs w:val="20"/>
        </w:rPr>
        <w:t>（四）理赔公示</w:t>
      </w:r>
    </w:p>
    <w:p>
      <w:pPr>
        <w:widowControl/>
        <w:snapToGrid w:val="0"/>
        <w:spacing w:line="56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对集体投保的，承保公司对投保饲料桂花鱼理赔后，需在养殖场所在村、社定期进行公示。严禁恶意拖赔、惜赔、无理拒赔等损害养殖户合法权益的行为，严禁弄虚作假骗保、骗险、骗费等违法违规行为。</w:t>
      </w:r>
    </w:p>
    <w:p>
      <w:pPr>
        <w:widowControl/>
        <w:spacing w:line="560" w:lineRule="exact"/>
        <w:ind w:firstLine="640" w:firstLineChars="200"/>
        <w:rPr>
          <w:rFonts w:ascii="方正黑体_GBK" w:hAnsi="方正黑体_GBK" w:eastAsia="方正黑体_GBK" w:cs="Times New Roman"/>
          <w:sz w:val="32"/>
          <w:szCs w:val="20"/>
        </w:rPr>
      </w:pPr>
      <w:r>
        <w:rPr>
          <w:rFonts w:hint="eastAsia" w:ascii="方正黑体_GBK" w:hAnsi="方正黑体_GBK" w:eastAsia="方正黑体_GBK" w:cs="Times New Roman"/>
          <w:sz w:val="32"/>
          <w:szCs w:val="20"/>
        </w:rPr>
        <w:t>七、保障措施和要求</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（一）加强组织领导。</w:t>
      </w:r>
      <w:r>
        <w:rPr>
          <w:rFonts w:hint="eastAsia" w:ascii="仿宋_GB2312" w:hAnsi="仿宋_GB2312" w:eastAsia="仿宋_GB2312" w:cs="仿宋_GB2312"/>
          <w:sz w:val="32"/>
          <w:szCs w:val="32"/>
        </w:rPr>
        <w:t>建立饲料桂花鱼养殖保险沟通协调、监督考核工作机制，及时通报情况，研究解决问题，加强各级政府对饲料桂花鱼养殖保险的领导和监督，确保饲料桂花鱼养殖保险保险工作顺利推进。</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（二）加强协调配合。</w:t>
      </w:r>
      <w:r>
        <w:rPr>
          <w:rFonts w:hint="eastAsia" w:ascii="仿宋_GB2312" w:hAnsi="仿宋_GB2312" w:eastAsia="仿宋_GB2312" w:cs="仿宋_GB2312"/>
          <w:sz w:val="32"/>
          <w:szCs w:val="32"/>
        </w:rPr>
        <w:t>有关部门要加强沟通，明确分工，各司其职，密切配合，建立资源、信息共享的工作机制。</w:t>
      </w:r>
    </w:p>
    <w:p>
      <w:pPr>
        <w:pStyle w:val="8"/>
        <w:spacing w:line="560" w:lineRule="exact"/>
        <w:ind w:firstLine="640"/>
        <w:rPr>
          <w:rFonts w:ascii="仿宋_GB2312" w:hAnsi="仿宋_GB2312" w:eastAsia="仿宋_GB2312" w:cs="Times New Roman"/>
          <w:sz w:val="32"/>
          <w:szCs w:val="32"/>
        </w:rPr>
      </w:pPr>
      <w:r>
        <w:rPr>
          <w:rFonts w:hint="eastAsia" w:ascii="仿宋_GB2312" w:hAnsi="仿宋_GB2312" w:eastAsia="仿宋_GB2312" w:cs="Times New Roman"/>
          <w:sz w:val="32"/>
          <w:szCs w:val="32"/>
        </w:rPr>
        <w:t>农业农村部门主要负责种饲料桂花鱼养殖保险的组织协调、管理监督、宣传发动、指导服务，审核承保数量，协助查勘定损，向各有关部门通报情况。</w:t>
      </w:r>
    </w:p>
    <w:p>
      <w:pPr>
        <w:pStyle w:val="8"/>
        <w:spacing w:line="560" w:lineRule="exact"/>
        <w:ind w:firstLine="640"/>
        <w:rPr>
          <w:rFonts w:ascii="仿宋_GB2312" w:hAnsi="仿宋_GB2312" w:eastAsia="仿宋_GB2312" w:cs="Times New Roman"/>
          <w:sz w:val="32"/>
          <w:szCs w:val="32"/>
        </w:rPr>
      </w:pPr>
      <w:r>
        <w:rPr>
          <w:rFonts w:hint="eastAsia" w:ascii="仿宋_GB2312" w:hAnsi="仿宋_GB2312" w:eastAsia="仿宋_GB2312" w:cs="Times New Roman"/>
          <w:sz w:val="32"/>
          <w:szCs w:val="32"/>
        </w:rPr>
        <w:t>财政部门主要负责做好财政补贴资金的预算、拨付、管理、结算、监督等工作，确保财政补贴资金及时足额安排。</w:t>
      </w:r>
    </w:p>
    <w:p>
      <w:pPr>
        <w:pStyle w:val="8"/>
        <w:spacing w:line="560" w:lineRule="exact"/>
        <w:ind w:firstLine="640"/>
        <w:rPr>
          <w:rFonts w:ascii="仿宋_GB2312" w:hAnsi="仿宋_GB2312" w:eastAsia="仿宋_GB2312" w:cs="Times New Roman"/>
          <w:sz w:val="32"/>
          <w:szCs w:val="32"/>
        </w:rPr>
      </w:pPr>
      <w:r>
        <w:rPr>
          <w:rFonts w:hint="eastAsia" w:ascii="仿宋_GB2312" w:hAnsi="仿宋_GB2312" w:eastAsia="仿宋_GB2312" w:cs="Times New Roman"/>
          <w:sz w:val="32"/>
          <w:szCs w:val="32"/>
        </w:rPr>
        <w:t>气象部门主要负责及时分析天气形势，预报可能出现的农业灾情，提供有关气象灾害数据。</w:t>
      </w:r>
    </w:p>
    <w:p>
      <w:pPr>
        <w:pStyle w:val="8"/>
        <w:spacing w:line="560" w:lineRule="exact"/>
        <w:ind w:firstLine="640"/>
        <w:rPr>
          <w:rFonts w:ascii="仿宋_GB2312" w:hAnsi="仿宋_GB2312" w:eastAsia="仿宋_GB2312" w:cs="Times New Roman"/>
          <w:sz w:val="32"/>
          <w:szCs w:val="32"/>
        </w:rPr>
      </w:pPr>
      <w:r>
        <w:rPr>
          <w:rFonts w:hint="eastAsia" w:ascii="仿宋_GB2312" w:hAnsi="仿宋_GB2312" w:eastAsia="仿宋_GB2312" w:cs="Times New Roman"/>
          <w:sz w:val="32"/>
          <w:szCs w:val="32"/>
        </w:rPr>
        <w:t>保险监管部门根据监管职能，加强对承保、理赔、服务等环节的监督，督促保险经办机构履行保险赔偿责任、提高服务水平等。</w:t>
      </w:r>
    </w:p>
    <w:p>
      <w:pPr>
        <w:pStyle w:val="8"/>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Times New Roman"/>
          <w:sz w:val="32"/>
          <w:szCs w:val="32"/>
        </w:rPr>
        <w:t>保险经办机构要做好农户档案资料的收集、审核、保存和管理工作，加强承保、防灾防损、查勘定损、理赔等专业化服务，把维护农民合法权益放在首位，做到理赔服务“三到户”，即查勘定损到户、赔款支付到户、理赔信息公开到户。</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（三）加强宣传发动。</w:t>
      </w:r>
      <w:r>
        <w:rPr>
          <w:rFonts w:hint="eastAsia" w:ascii="仿宋_GB2312" w:hAnsi="仿宋_GB2312" w:eastAsia="仿宋_GB2312" w:cs="仿宋_GB2312"/>
          <w:sz w:val="32"/>
          <w:szCs w:val="32"/>
        </w:rPr>
        <w:t>加大宣传力度，充分利用电视、电台、报刊、网络等新闻媒体，通过召开专题会议、编印、张贴、发放宣传资料等多种形式，广泛宣传饲料桂花鱼养殖保险工作的重要意义和政策内容，增强农业经营者的保险意识、风险防范意识。</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（四）加强防灾减灾投入。</w:t>
      </w:r>
      <w:r>
        <w:rPr>
          <w:rFonts w:hint="eastAsia" w:ascii="仿宋_GB2312" w:hAnsi="仿宋_GB2312" w:eastAsia="仿宋_GB2312" w:cs="仿宋_GB2312"/>
          <w:sz w:val="32"/>
          <w:szCs w:val="32"/>
        </w:rPr>
        <w:t>建立政府、保险机构、协会多方联合机制，加大防灾减灾工作投入，共同开展桂花鱼生长情况诊断和监测研究，建立桂花鱼生长情况诊断和监测量化指标体系。</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Times New Roman"/>
          <w:b/>
          <w:bCs/>
          <w:sz w:val="32"/>
          <w:szCs w:val="20"/>
        </w:rPr>
        <w:t>（五）加强督促落实执行力度。</w:t>
      </w:r>
      <w:r>
        <w:rPr>
          <w:rFonts w:hint="eastAsia" w:ascii="仿宋_GB2312" w:hAnsi="仿宋_GB2312" w:eastAsia="仿宋_GB2312" w:cs="仿宋_GB2312"/>
          <w:sz w:val="32"/>
          <w:szCs w:val="32"/>
        </w:rPr>
        <w:t>各相关部门要加大对保险工作的督促落实执行力度。建立并落实定期督办、检查的工作制度，强化对保险公司的监督，不断提高农业保险的办理质量和水平，更好的服务“三农”工作。</w:t>
      </w:r>
    </w:p>
    <w:p>
      <w:pPr>
        <w:spacing w:line="560" w:lineRule="exact"/>
        <w:ind w:firstLine="640" w:firstLineChars="200"/>
        <w:rPr>
          <w:rFonts w:ascii="黑体" w:hAnsi="黑体" w:eastAsia="黑体" w:cs="黑体"/>
          <w:sz w:val="32"/>
          <w:szCs w:val="32"/>
        </w:rPr>
      </w:pPr>
    </w:p>
    <w:sectPr>
      <w:footerReference r:id="rId3" w:type="default"/>
      <w:pgSz w:w="11906" w:h="16838"/>
      <w:pgMar w:top="1610" w:right="1800" w:bottom="155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5CAB"/>
    <w:multiLevelType w:val="singleLevel"/>
    <w:tmpl w:val="2DBA5C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1NzNhMTUwYmIyYmIyY2NkMjgzOTdjOGYzZjU1NmMifQ=="/>
  </w:docVars>
  <w:rsids>
    <w:rsidRoot w:val="00172A27"/>
    <w:rsid w:val="00087A40"/>
    <w:rsid w:val="00145C64"/>
    <w:rsid w:val="00172A27"/>
    <w:rsid w:val="00454FDC"/>
    <w:rsid w:val="00513A26"/>
    <w:rsid w:val="005D26C3"/>
    <w:rsid w:val="006075BA"/>
    <w:rsid w:val="00944169"/>
    <w:rsid w:val="009461BF"/>
    <w:rsid w:val="00A96BE9"/>
    <w:rsid w:val="00AE6ED1"/>
    <w:rsid w:val="00C37C3B"/>
    <w:rsid w:val="00C66A0F"/>
    <w:rsid w:val="00C674D2"/>
    <w:rsid w:val="00F776BD"/>
    <w:rsid w:val="07B7673B"/>
    <w:rsid w:val="0A4F0550"/>
    <w:rsid w:val="0F161897"/>
    <w:rsid w:val="119C37F5"/>
    <w:rsid w:val="11C53E92"/>
    <w:rsid w:val="15607940"/>
    <w:rsid w:val="16044A15"/>
    <w:rsid w:val="1A046D96"/>
    <w:rsid w:val="1B351F57"/>
    <w:rsid w:val="1E244360"/>
    <w:rsid w:val="1E8C67E4"/>
    <w:rsid w:val="222B3374"/>
    <w:rsid w:val="228A4EDA"/>
    <w:rsid w:val="27BE075D"/>
    <w:rsid w:val="2AD63852"/>
    <w:rsid w:val="2C087D0C"/>
    <w:rsid w:val="2D266184"/>
    <w:rsid w:val="2D3B3E98"/>
    <w:rsid w:val="2DB12E3E"/>
    <w:rsid w:val="2FC91EC4"/>
    <w:rsid w:val="32825DA8"/>
    <w:rsid w:val="385B7B42"/>
    <w:rsid w:val="3BBE3B48"/>
    <w:rsid w:val="3FD4649D"/>
    <w:rsid w:val="453E747C"/>
    <w:rsid w:val="51581813"/>
    <w:rsid w:val="586174F8"/>
    <w:rsid w:val="591660CE"/>
    <w:rsid w:val="5E450BD8"/>
    <w:rsid w:val="5EC158E9"/>
    <w:rsid w:val="637D1433"/>
    <w:rsid w:val="667C5EB2"/>
    <w:rsid w:val="70F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正文 New"/>
    <w:qFormat/>
    <w:uiPriority w:val="0"/>
    <w:pPr>
      <w:widowControl w:val="0"/>
      <w:jc w:val="both"/>
    </w:pPr>
    <w:rPr>
      <w:rFonts w:ascii="Calibri" w:hAnsi="Calibri" w:eastAsia="宋体" w:cs="黑体"/>
      <w:kern w:val="2"/>
      <w:sz w:val="21"/>
      <w:szCs w:val="24"/>
      <w:lang w:val="en-US" w:eastAsia="zh-CN" w:bidi="ar-SA"/>
    </w:rPr>
  </w:style>
  <w:style w:type="character" w:customStyle="1" w:styleId="9">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717</Words>
  <Characters>4089</Characters>
  <Lines>34</Lines>
  <Paragraphs>9</Paragraphs>
  <TotalTime>1454</TotalTime>
  <ScaleCrop>false</ScaleCrop>
  <LinksUpToDate>false</LinksUpToDate>
  <CharactersWithSpaces>4797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2024-03-05T08:35:00Z</dcterms:created>
  <dc:creator>黄桥生</dc:creator>
  <cp:lastModifiedBy>黄文芳</cp:lastModifiedBy>
  <cp:lastPrinted>2024-03-27T09:20:00Z</cp:lastPrinted>
  <dcterms:modified xsi:type="dcterms:W3CDTF">2024-07-12T08:11:56Z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65672A10FC8A4C809EC16C97E5E0686D_13</vt:lpwstr>
  </property>
</Properties>
</file>