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tabs>
          <w:tab w:val="left" w:pos="950"/>
        </w:tabs>
        <w:kinsoku w:val="0"/>
        <w:autoSpaceDE w:val="0"/>
        <w:autoSpaceDN w:val="0"/>
        <w:adjustRightInd w:val="0"/>
        <w:snapToGrid w:val="0"/>
        <w:spacing w:before="0" w:beforeAutospacing="0" w:after="0" w:afterAutospacing="0" w:line="360" w:lineRule="auto"/>
        <w:ind w:leftChars="200" w:right="0" w:rightChars="0"/>
        <w:jc w:val="center"/>
        <w:textAlignment w:val="baseline"/>
        <w:outlineLvl w:val="3"/>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kern w:val="2"/>
          <w:sz w:val="44"/>
          <w:szCs w:val="44"/>
          <w:vertAlign w:val="baseline"/>
          <w:lang w:val="en-US" w:eastAsia="zh-CN" w:bidi="ar"/>
        </w:rPr>
        <w:t>广东省清远市清新区全域土地综合整治（太平镇等六镇单元）实施方案（草案）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bCs/>
          <w:sz w:val="32"/>
          <w:szCs w:val="32"/>
          <w:lang w:val="en-US" w:eastAsia="zh-CN"/>
        </w:rPr>
      </w:pPr>
      <w:r>
        <w:rPr>
          <w:rFonts w:hint="eastAsia" w:ascii="仿宋" w:hAnsi="仿宋" w:eastAsia="仿宋" w:cs="仿宋"/>
          <w:sz w:val="32"/>
          <w:szCs w:val="32"/>
          <w:lang w:val="en-US" w:eastAsia="zh-CN"/>
        </w:rPr>
        <w:t>为深入贯彻落实习近平总书记对广东系列重要讲话和重要指示精神，围绕省委“1310”具体部署，深刻把握全域土地综合整治工作在贯彻落实广东省“百县千镇万村高质量发展工程”、制造业当家、绿美广东生态建设的重要使命</w:t>
      </w:r>
      <w:bookmarkStart w:id="0" w:name="_GoBack"/>
      <w:bookmarkEnd w:id="0"/>
      <w:r>
        <w:rPr>
          <w:rFonts w:hint="eastAsia" w:ascii="仿宋" w:hAnsi="仿宋" w:eastAsia="仿宋" w:cs="仿宋"/>
          <w:sz w:val="32"/>
          <w:szCs w:val="32"/>
          <w:lang w:val="en-US" w:eastAsia="zh-CN"/>
        </w:rPr>
        <w:t>和关键作用。根据《自然资源部关于&lt;开展全域土地综合整治试点工作&gt;的通知》（自然资发〔2019〕194号）等国家和省市层面系列文件要求，本次清新区全域土地综合整治项目以太平镇、三坑镇、禾云镇、龙颈镇、石潭镇、浸潭镇等六镇为整治单元，构建未来产业发展空间、承接大湾区活力转移，搭建“科技+、生态+、文旅+”三产融合发展平台，围绕生态价值高效转换、产业全链创新升级、融湾产城融合发展三大方向打造六镇联动全域土地综合整治样板</w:t>
      </w:r>
      <w:r>
        <w:rPr>
          <w:rFonts w:hint="eastAsia" w:ascii="仿宋" w:hAnsi="仿宋" w:eastAsia="仿宋" w:cs="仿宋"/>
          <w:bCs/>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640" w:firstLineChars="200"/>
        <w:textAlignment w:val="auto"/>
        <w:outlineLvl w:val="1"/>
        <w:rPr>
          <w:rFonts w:hint="eastAsia" w:ascii="黑体" w:hAnsi="黑体" w:eastAsia="黑体" w:cs="黑体"/>
          <w:sz w:val="32"/>
          <w:szCs w:val="32"/>
        </w:rPr>
      </w:pPr>
      <w:r>
        <w:rPr>
          <w:rFonts w:hint="eastAsia" w:ascii="黑体" w:hAnsi="黑体" w:eastAsia="黑体" w:cs="黑体"/>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实施范围：本次清新区全域土地综合整治项目以太平镇、三坑镇、禾云镇、龙颈镇、石潭镇、浸潭镇等六镇为整治单元，总面积共计208367.9787公顷。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实施期限：2025年1月至2028年12月，具体以实施方案批复时间为准。其中，2025年实施项目衔接省当年开工、竣工考核要求。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lang w:val="en-US" w:eastAsia="zh-CN"/>
        </w:rPr>
      </w:pPr>
      <w:r>
        <w:rPr>
          <w:rFonts w:hint="default" w:ascii="Times New Roman" w:hAnsi="Times New Roman" w:eastAsia="仿宋" w:cs="Times New Roman"/>
          <w:bCs/>
          <w:sz w:val="32"/>
          <w:szCs w:val="32"/>
          <w:lang w:val="en-US" w:eastAsia="zh-CN"/>
        </w:rPr>
        <w:t>项目</w:t>
      </w:r>
      <w:r>
        <w:rPr>
          <w:rFonts w:hint="eastAsia" w:ascii="Times New Roman" w:hAnsi="Times New Roman" w:eastAsia="仿宋" w:cs="Times New Roman"/>
          <w:bCs/>
          <w:sz w:val="32"/>
          <w:szCs w:val="32"/>
          <w:lang w:val="en-US" w:eastAsia="zh-CN"/>
        </w:rPr>
        <w:t>计划总</w:t>
      </w:r>
      <w:r>
        <w:rPr>
          <w:rFonts w:hint="default" w:ascii="Times New Roman" w:hAnsi="Times New Roman" w:eastAsia="仿宋" w:cs="Times New Roman"/>
          <w:bCs/>
          <w:sz w:val="32"/>
          <w:szCs w:val="32"/>
          <w:lang w:val="en-US" w:eastAsia="zh-CN"/>
        </w:rPr>
        <w:t>投资344740.98万元，其中农用地整理投资78798.83万元，建设用地整理10112.46万元，生态保护修复项目55608.47万元，乡村风貌提升及历史文化保护项目3798.97万元，产业导入项目192530.00万元，公共服务与基础设施建设项目3892.25万元。</w:t>
      </w:r>
    </w:p>
    <w:p>
      <w:pPr>
        <w:keepNext w:val="0"/>
        <w:keepLines w:val="0"/>
        <w:pageBreakBefore w:val="0"/>
        <w:widowControl/>
        <w:numPr>
          <w:ilvl w:val="0"/>
          <w:numId w:val="1"/>
        </w:numPr>
        <w:suppressLineNumbers w:val="0"/>
        <w:tabs>
          <w:tab w:val="left" w:pos="950"/>
        </w:tabs>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640" w:firstLineChars="200"/>
        <w:jc w:val="both"/>
        <w:textAlignment w:val="baseline"/>
        <w:outlineLvl w:val="1"/>
        <w:rPr>
          <w:rFonts w:hint="eastAsia" w:ascii="仿宋" w:hAnsi="仿宋" w:eastAsia="仿宋" w:cs="仿宋"/>
          <w:bCs/>
          <w:sz w:val="32"/>
          <w:szCs w:val="32"/>
          <w:lang w:val="en-US" w:eastAsia="zh-CN"/>
        </w:rPr>
      </w:pPr>
      <w:r>
        <w:rPr>
          <w:rFonts w:hint="eastAsia" w:ascii="黑体" w:hAnsi="黑体" w:eastAsia="黑体" w:cs="黑体"/>
          <w:b w:val="0"/>
          <w:bCs w:val="0"/>
          <w:kern w:val="2"/>
          <w:sz w:val="32"/>
          <w:szCs w:val="32"/>
          <w:vertAlign w:val="baseline"/>
          <w:lang w:val="en-US" w:eastAsia="zh-CN" w:bidi="ar"/>
        </w:rPr>
        <w:t>整治目标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56" w:firstLineChars="200"/>
        <w:jc w:val="both"/>
        <w:textAlignment w:val="auto"/>
        <w:rPr>
          <w:rFonts w:hint="eastAsia" w:ascii="黑体" w:hAnsi="黑体" w:eastAsia="黑体" w:cs="黑体"/>
          <w:b w:val="0"/>
          <w:bCs w:val="0"/>
          <w:kern w:val="2"/>
          <w:sz w:val="32"/>
          <w:szCs w:val="32"/>
          <w:vertAlign w:val="baseline"/>
          <w:lang w:val="en-US" w:eastAsia="zh-CN" w:bidi="ar"/>
        </w:rPr>
      </w:pPr>
      <w:r>
        <w:rPr>
          <w:rFonts w:hint="eastAsia" w:ascii="仿宋_GB2312" w:hAnsi="仿宋_GB2312" w:eastAsia="仿宋_GB2312" w:cs="仿宋_GB2312"/>
          <w:spacing w:val="4"/>
          <w:kern w:val="2"/>
          <w:sz w:val="32"/>
          <w:lang w:bidi="ar"/>
        </w:rPr>
        <w:t>以“全域整治+”创新模式为切入点，通过开展全域全要素综合治理，优化农业、生态空间，腾挪拓展建设用地空间，加快推动新型农村集体经济提质增效。着眼于破解乡村耕地碎片化、空间布局无序化、土地资源利用低效化以及生态质量退化的“四化”问题，重点对农村山水林田湖草进行全要素整治，优化农村生态、生产、生活空间布局，在生态保护和修复中实现绿色发展，保障新型农村集体经济高质量发展落地落实，有效推进落实“百县千镇万村高质量发展工程</w:t>
      </w:r>
      <w:r>
        <w:rPr>
          <w:rFonts w:hint="eastAsia" w:ascii="仿宋_GB2312" w:hAnsi="仿宋_GB2312" w:eastAsia="仿宋_GB2312" w:cs="仿宋_GB2312"/>
          <w:spacing w:val="4"/>
          <w:kern w:val="2"/>
          <w:sz w:val="32"/>
          <w:lang w:eastAsia="zh-CN" w:bidi="ar"/>
        </w:rPr>
        <w:t>”</w:t>
      </w:r>
      <w:r>
        <w:rPr>
          <w:rFonts w:hint="eastAsia" w:ascii="仿宋_GB2312" w:hAnsi="仿宋_GB2312" w:eastAsia="仿宋_GB2312" w:cs="仿宋_GB2312"/>
          <w:spacing w:val="4"/>
          <w:kern w:val="2"/>
          <w:sz w:val="32"/>
          <w:lang w:bidi="ar"/>
        </w:rPr>
        <w:t>。</w:t>
      </w:r>
    </w:p>
    <w:p>
      <w:pPr>
        <w:keepNext w:val="0"/>
        <w:keepLines w:val="0"/>
        <w:pageBreakBefore w:val="0"/>
        <w:widowControl/>
        <w:numPr>
          <w:ilvl w:val="0"/>
          <w:numId w:val="1"/>
        </w:numPr>
        <w:suppressLineNumbers w:val="0"/>
        <w:tabs>
          <w:tab w:val="left" w:pos="950"/>
        </w:tabs>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640" w:firstLineChars="200"/>
        <w:jc w:val="both"/>
        <w:textAlignment w:val="baseline"/>
        <w:outlineLvl w:val="1"/>
        <w:rPr>
          <w:rFonts w:hint="default" w:ascii="黑体" w:hAnsi="黑体" w:eastAsia="黑体" w:cs="黑体"/>
          <w:b w:val="0"/>
          <w:bCs w:val="0"/>
          <w:kern w:val="2"/>
          <w:sz w:val="32"/>
          <w:szCs w:val="32"/>
          <w:vertAlign w:val="baseline"/>
          <w:lang w:val="en-US" w:eastAsia="zh-CN" w:bidi="ar"/>
        </w:rPr>
      </w:pPr>
      <w:r>
        <w:rPr>
          <w:rFonts w:hint="eastAsia" w:ascii="黑体" w:hAnsi="黑体" w:eastAsia="黑体" w:cs="黑体"/>
          <w:b w:val="0"/>
          <w:bCs w:val="0"/>
          <w:kern w:val="2"/>
          <w:sz w:val="32"/>
          <w:szCs w:val="32"/>
          <w:vertAlign w:val="baseline"/>
          <w:lang w:val="en-US" w:eastAsia="zh-CN" w:bidi="ar"/>
        </w:rPr>
        <w:t>工作内容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 w:cs="Times New Roman"/>
          <w:bCs/>
          <w:sz w:val="32"/>
          <w:szCs w:val="32"/>
          <w:lang w:val="en-US" w:eastAsia="zh-CN"/>
        </w:rPr>
      </w:pPr>
      <w:r>
        <w:rPr>
          <w:rFonts w:hint="eastAsia" w:ascii="仿宋" w:hAnsi="仿宋" w:eastAsia="仿宋" w:cs="仿宋"/>
          <w:bCs/>
          <w:sz w:val="32"/>
          <w:szCs w:val="32"/>
          <w:lang w:val="en-US" w:eastAsia="zh-CN"/>
        </w:rPr>
        <w:t>清新区全域土地综合整治（太平镇等六镇单元）围绕“良田集中连片、村庄布局优化、产业集聚发展、生态健康优美”二十四字方针，计划通过土地全方位、多元化的综合治理，优化整治区域的生产生活生态空间格局：实施“增存并举”的土地资源配置策略，推进增量用地集中向重大平台、重点片区投放，推动存量建设用地高效盘活腾挪，为县域经济链式集聚发展提供优质空间，打造全市“融湾崛起”的主阵地；深入推进绿美清新生态建设，以万亩国家储备林建设、重点流域综合治理修复为抓手，在进一步筑牢生态屏障、做好生态系统维育修复的基础上，强化特色旅游平台、现代农业产业平台要素保障，积极探索“生态+农业”“生态+碳汇”“生态+文旅”等发展模式，扎实推进生态产业化和产业生态化。重点打造国家城乡融合示范区广清接合片区重要支撑区、粤港澳大湾区优质农产品供应地以及粤港澳大湾区休闲养生旅居目的地，进一步加快强县促镇带村步伐，奋力跑出高质量发展清新“加速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方案</w:t>
      </w:r>
      <w:r>
        <w:rPr>
          <w:rFonts w:hint="default" w:ascii="Times New Roman" w:hAnsi="Times New Roman" w:eastAsia="仿宋" w:cs="Times New Roman"/>
          <w:bCs/>
          <w:sz w:val="32"/>
          <w:szCs w:val="32"/>
          <w:lang w:val="en-US" w:eastAsia="zh-CN"/>
        </w:rPr>
        <w:t>主要建设内容包括：农用地整理、建设用地整理、生态保护修复、乡村风貌提升及历史文化保护、产业导入和公共服务与基础设</w:t>
      </w:r>
      <w:r>
        <w:rPr>
          <w:rFonts w:hint="eastAsia" w:ascii="仿宋" w:hAnsi="仿宋" w:eastAsia="仿宋" w:cs="仿宋"/>
          <w:bCs/>
          <w:sz w:val="32"/>
          <w:szCs w:val="32"/>
          <w:lang w:val="en-US" w:eastAsia="zh-CN"/>
        </w:rPr>
        <w:t>施建设等六类子项目。</w:t>
      </w:r>
    </w:p>
    <w:p>
      <w:pPr>
        <w:keepNext w:val="0"/>
        <w:keepLines w:val="0"/>
        <w:pageBreakBefore w:val="0"/>
        <w:kinsoku/>
        <w:wordWrap/>
        <w:overflowPunct/>
        <w:topLinePunct w:val="0"/>
        <w:autoSpaceDE/>
        <w:autoSpaceDN/>
        <w:bidi w:val="0"/>
        <w:spacing w:line="360" w:lineRule="auto"/>
        <w:ind w:firstLine="643" w:firstLineChars="200"/>
        <w:textAlignment w:val="auto"/>
        <w:outlineLvl w:val="2"/>
        <w:rPr>
          <w:rFonts w:ascii="Times New Roman" w:hAnsi="Times New Roman" w:eastAsia="仿宋_GB2312"/>
          <w:b/>
          <w:bCs/>
          <w:sz w:val="32"/>
          <w:szCs w:val="32"/>
        </w:rPr>
      </w:pPr>
      <w:r>
        <w:rPr>
          <w:rFonts w:hint="eastAsia" w:ascii="Times New Roman" w:hAnsi="Times New Roman" w:eastAsia="仿宋_GB2312" w:cs="仿宋_GB2312"/>
          <w:b/>
          <w:bCs/>
          <w:sz w:val="32"/>
          <w:szCs w:val="32"/>
          <w:lang w:bidi="ar"/>
        </w:rPr>
        <w:t>（</w:t>
      </w:r>
      <w:r>
        <w:rPr>
          <w:rFonts w:ascii="Times New Roman" w:hAnsi="Times New Roman" w:eastAsia="仿宋_GB2312"/>
          <w:b/>
          <w:bCs/>
          <w:sz w:val="32"/>
          <w:szCs w:val="32"/>
          <w:lang w:bidi="ar"/>
        </w:rPr>
        <w:t>1</w:t>
      </w:r>
      <w:r>
        <w:rPr>
          <w:rFonts w:hint="eastAsia" w:ascii="Times New Roman" w:hAnsi="Times New Roman" w:eastAsia="仿宋_GB2312" w:cs="仿宋_GB2312"/>
          <w:b/>
          <w:bCs/>
          <w:sz w:val="32"/>
          <w:szCs w:val="32"/>
          <w:lang w:bidi="ar"/>
        </w:rPr>
        <w:t>）农用地整理</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lang w:bidi="ar"/>
        </w:rPr>
        <w:t>针对乡村耕地碎片化、农业水利设施薄弱、耕地质量一般等问题，通过高标准农田建设、补充耕地等项目，实现耕地数量增加和质量提升。促进农用地提质升级、集中连片，提升土地价值，其中补充耕地规模达1069.3590公顷，实现净新增耕地</w:t>
      </w:r>
      <w:r>
        <w:rPr>
          <w:rFonts w:hint="eastAsia" w:ascii="Times New Roman" w:hAnsi="Times New Roman" w:eastAsia="仿宋_GB2312" w:cs="Times New Roman"/>
          <w:sz w:val="32"/>
          <w:szCs w:val="32"/>
          <w:lang w:eastAsia="zh-CN" w:bidi="ar"/>
        </w:rPr>
        <w:t>983.8103</w:t>
      </w:r>
      <w:r>
        <w:rPr>
          <w:rFonts w:hint="default" w:ascii="Times New Roman" w:hAnsi="Times New Roman" w:eastAsia="仿宋_GB2312" w:cs="Times New Roman"/>
          <w:sz w:val="32"/>
          <w:szCs w:val="32"/>
          <w:lang w:bidi="ar"/>
        </w:rPr>
        <w:t>公顷；高标准农田改造提升建设项目2个（石潭镇），建设规模773</w:t>
      </w:r>
      <w:r>
        <w:rPr>
          <w:rFonts w:hint="eastAsia" w:ascii="Times New Roman" w:hAnsi="Times New Roman" w:eastAsia="仿宋_GB2312" w:cs="Times New Roman"/>
          <w:sz w:val="32"/>
          <w:szCs w:val="32"/>
          <w:lang w:val="en-US" w:eastAsia="zh-CN" w:bidi="ar"/>
        </w:rPr>
        <w:t>.</w:t>
      </w:r>
      <w:r>
        <w:rPr>
          <w:rFonts w:hint="default" w:ascii="Times New Roman" w:hAnsi="Times New Roman" w:eastAsia="仿宋_GB2312" w:cs="Times New Roman"/>
          <w:sz w:val="32"/>
          <w:szCs w:val="32"/>
          <w:lang w:bidi="ar"/>
        </w:rPr>
        <w:t>714</w:t>
      </w:r>
      <w:r>
        <w:rPr>
          <w:rFonts w:hint="eastAsia" w:ascii="Times New Roman" w:hAnsi="Times New Roman" w:eastAsia="仿宋_GB2312" w:cs="Times New Roman"/>
          <w:sz w:val="32"/>
          <w:szCs w:val="32"/>
          <w:lang w:val="en-US" w:eastAsia="zh-CN" w:bidi="ar"/>
        </w:rPr>
        <w:t>4</w:t>
      </w:r>
      <w:r>
        <w:rPr>
          <w:rFonts w:hint="default" w:ascii="Times New Roman" w:hAnsi="Times New Roman" w:eastAsia="仿宋_GB2312" w:cs="Times New Roman"/>
          <w:sz w:val="32"/>
          <w:szCs w:val="32"/>
          <w:lang w:bidi="ar"/>
        </w:rPr>
        <w:t>公顷（11,605.72亩）；打造17片耕地集中整治区，其中万亩方耕地集中整治区2片、千亩方耕地集中整治区12片、百亩方耕地集中整治区3片。</w:t>
      </w:r>
    </w:p>
    <w:p>
      <w:pPr>
        <w:keepNext w:val="0"/>
        <w:keepLines w:val="0"/>
        <w:pageBreakBefore w:val="0"/>
        <w:kinsoku/>
        <w:wordWrap/>
        <w:overflowPunct/>
        <w:topLinePunct w:val="0"/>
        <w:autoSpaceDE/>
        <w:autoSpaceDN/>
        <w:bidi w:val="0"/>
        <w:spacing w:line="360" w:lineRule="auto"/>
        <w:ind w:firstLine="643" w:firstLineChars="200"/>
        <w:textAlignment w:val="auto"/>
        <w:outlineLvl w:val="2"/>
        <w:rPr>
          <w:rFonts w:ascii="Times New Roman" w:hAnsi="Times New Roman" w:eastAsia="仿宋_GB2312"/>
          <w:b/>
          <w:bCs/>
          <w:sz w:val="32"/>
          <w:szCs w:val="32"/>
          <w:highlight w:val="none"/>
        </w:rPr>
      </w:pPr>
      <w:r>
        <w:rPr>
          <w:rFonts w:hint="eastAsia" w:ascii="Times New Roman" w:hAnsi="Times New Roman" w:eastAsia="仿宋_GB2312" w:cs="仿宋_GB2312"/>
          <w:b/>
          <w:bCs/>
          <w:sz w:val="32"/>
          <w:szCs w:val="32"/>
          <w:highlight w:val="none"/>
          <w:lang w:bidi="ar"/>
        </w:rPr>
        <w:t>（</w:t>
      </w:r>
      <w:r>
        <w:rPr>
          <w:rFonts w:ascii="Times New Roman" w:hAnsi="Times New Roman" w:eastAsia="仿宋_GB2312"/>
          <w:b/>
          <w:bCs/>
          <w:sz w:val="32"/>
          <w:szCs w:val="32"/>
          <w:highlight w:val="none"/>
          <w:lang w:bidi="ar"/>
        </w:rPr>
        <w:t>2</w:t>
      </w:r>
      <w:r>
        <w:rPr>
          <w:rFonts w:hint="eastAsia" w:ascii="Times New Roman" w:hAnsi="Times New Roman" w:eastAsia="仿宋_GB2312" w:cs="仿宋_GB2312"/>
          <w:b/>
          <w:bCs/>
          <w:sz w:val="32"/>
          <w:szCs w:val="32"/>
          <w:highlight w:val="none"/>
          <w:lang w:bidi="ar"/>
        </w:rPr>
        <w:t>）建设用地整理</w:t>
      </w:r>
    </w:p>
    <w:p>
      <w:pPr>
        <w:keepNext w:val="0"/>
        <w:keepLines w:val="0"/>
        <w:pageBreakBefore w:val="0"/>
        <w:kinsoku/>
        <w:wordWrap/>
        <w:overflowPunct/>
        <w:topLinePunct w:val="0"/>
        <w:autoSpaceDE/>
        <w:autoSpaceDN/>
        <w:bidi w:val="0"/>
        <w:spacing w:line="360" w:lineRule="auto"/>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cs="仿宋_GB2312"/>
          <w:sz w:val="32"/>
          <w:szCs w:val="32"/>
          <w:highlight w:val="none"/>
          <w:lang w:bidi="ar"/>
        </w:rPr>
        <w:t>以保障产业集聚发展空间，有序开展农村宅基地、工矿废弃地、城镇低效用地以及其他闲置低效建设用地整治，优化</w:t>
      </w:r>
      <w:r>
        <w:rPr>
          <w:rFonts w:hint="eastAsia" w:ascii="Times New Roman" w:hAnsi="Times New Roman" w:eastAsia="仿宋_GB2312" w:cs="仿宋_GB2312"/>
          <w:sz w:val="32"/>
          <w:szCs w:val="32"/>
          <w:highlight w:val="none"/>
          <w:lang w:val="en-US" w:eastAsia="zh-CN" w:bidi="ar"/>
        </w:rPr>
        <w:t>城乡</w:t>
      </w:r>
      <w:r>
        <w:rPr>
          <w:rFonts w:hint="eastAsia" w:ascii="Times New Roman" w:hAnsi="Times New Roman" w:eastAsia="仿宋_GB2312" w:cs="仿宋_GB2312"/>
          <w:sz w:val="32"/>
          <w:szCs w:val="32"/>
          <w:highlight w:val="none"/>
          <w:lang w:bidi="ar"/>
        </w:rPr>
        <w:t>用地结构布局，提高节约集约用地水平，腾出建设用地空间，为城乡</w:t>
      </w:r>
      <w:r>
        <w:rPr>
          <w:rFonts w:hint="eastAsia" w:ascii="Times New Roman" w:hAnsi="Times New Roman" w:eastAsia="仿宋_GB2312" w:cs="仿宋_GB2312"/>
          <w:sz w:val="32"/>
          <w:szCs w:val="32"/>
          <w:highlight w:val="none"/>
          <w:lang w:val="en-US" w:eastAsia="zh-CN" w:bidi="ar"/>
        </w:rPr>
        <w:t>融合</w:t>
      </w:r>
      <w:r>
        <w:rPr>
          <w:rFonts w:hint="eastAsia" w:ascii="Times New Roman" w:hAnsi="Times New Roman" w:eastAsia="仿宋_GB2312" w:cs="仿宋_GB2312"/>
          <w:sz w:val="32"/>
          <w:szCs w:val="32"/>
          <w:highlight w:val="none"/>
          <w:lang w:bidi="ar"/>
        </w:rPr>
        <w:t>统筹发展和农村新产业新业态发展提供用地保障。</w:t>
      </w:r>
      <w:r>
        <w:rPr>
          <w:rFonts w:hint="eastAsia" w:ascii="Times New Roman" w:hAnsi="Times New Roman" w:eastAsia="仿宋_GB2312" w:cs="仿宋_GB2312"/>
          <w:sz w:val="32"/>
          <w:szCs w:val="32"/>
          <w:highlight w:val="none"/>
          <w:lang w:val="en-US" w:eastAsia="zh-CN" w:bidi="ar"/>
        </w:rPr>
        <w:t>计划实施</w:t>
      </w:r>
      <w:r>
        <w:rPr>
          <w:rFonts w:hint="eastAsia" w:ascii="Times New Roman" w:hAnsi="Times New Roman" w:eastAsia="仿宋_GB2312" w:cs="仿宋_GB2312"/>
          <w:sz w:val="32"/>
          <w:szCs w:val="32"/>
          <w:highlight w:val="none"/>
          <w:lang w:bidi="ar"/>
        </w:rPr>
        <w:t>增减挂钩（拆旧复垦）总</w:t>
      </w:r>
      <w:r>
        <w:rPr>
          <w:rFonts w:hint="eastAsia" w:ascii="Times New Roman" w:hAnsi="Times New Roman" w:eastAsia="仿宋_GB2312" w:cs="仿宋_GB2312"/>
          <w:sz w:val="32"/>
          <w:szCs w:val="32"/>
          <w:highlight w:val="none"/>
          <w:lang w:val="en-US" w:eastAsia="zh-CN" w:bidi="ar"/>
        </w:rPr>
        <w:t>面积</w:t>
      </w:r>
      <w:r>
        <w:rPr>
          <w:rFonts w:hint="eastAsia" w:ascii="Times New Roman" w:hAnsi="Times New Roman" w:eastAsia="仿宋_GB2312" w:cs="仿宋_GB2312"/>
          <w:sz w:val="32"/>
          <w:szCs w:val="32"/>
          <w:highlight w:val="none"/>
          <w:lang w:bidi="ar"/>
        </w:rPr>
        <w:t>85.9832公顷，</w:t>
      </w:r>
      <w:r>
        <w:rPr>
          <w:rFonts w:hint="eastAsia" w:ascii="Times New Roman" w:hAnsi="Times New Roman" w:eastAsia="仿宋_GB2312" w:cs="仿宋_GB2312"/>
          <w:sz w:val="32"/>
          <w:szCs w:val="32"/>
          <w:highlight w:val="none"/>
          <w:lang w:val="en-US" w:eastAsia="zh-CN" w:bidi="ar"/>
        </w:rPr>
        <w:t>其中农村拆旧复垦面积23.8975公顷，村庄建设用地减少比例0.37%。</w:t>
      </w:r>
    </w:p>
    <w:p>
      <w:pPr>
        <w:keepNext w:val="0"/>
        <w:keepLines w:val="0"/>
        <w:pageBreakBefore w:val="0"/>
        <w:kinsoku/>
        <w:wordWrap/>
        <w:overflowPunct/>
        <w:topLinePunct w:val="0"/>
        <w:autoSpaceDE/>
        <w:autoSpaceDN/>
        <w:bidi w:val="0"/>
        <w:spacing w:line="360" w:lineRule="auto"/>
        <w:ind w:firstLine="643" w:firstLineChars="200"/>
        <w:textAlignment w:val="auto"/>
        <w:outlineLvl w:val="2"/>
        <w:rPr>
          <w:rFonts w:ascii="Times New Roman" w:hAnsi="Times New Roman" w:eastAsia="仿宋_GB2312"/>
          <w:b/>
          <w:bCs/>
          <w:sz w:val="32"/>
          <w:szCs w:val="32"/>
          <w:highlight w:val="none"/>
        </w:rPr>
      </w:pPr>
      <w:r>
        <w:rPr>
          <w:rFonts w:hint="eastAsia" w:ascii="Times New Roman" w:hAnsi="Times New Roman" w:eastAsia="仿宋_GB2312" w:cs="仿宋_GB2312"/>
          <w:b/>
          <w:bCs/>
          <w:sz w:val="32"/>
          <w:szCs w:val="32"/>
          <w:highlight w:val="none"/>
          <w:lang w:bidi="ar"/>
        </w:rPr>
        <w:t>（</w:t>
      </w:r>
      <w:r>
        <w:rPr>
          <w:rFonts w:ascii="Times New Roman" w:hAnsi="Times New Roman" w:eastAsia="仿宋_GB2312"/>
          <w:b/>
          <w:bCs/>
          <w:sz w:val="32"/>
          <w:szCs w:val="32"/>
          <w:highlight w:val="none"/>
          <w:lang w:bidi="ar"/>
        </w:rPr>
        <w:t>3</w:t>
      </w:r>
      <w:r>
        <w:rPr>
          <w:rFonts w:hint="eastAsia" w:ascii="Times New Roman" w:hAnsi="Times New Roman" w:eastAsia="仿宋_GB2312" w:cs="仿宋_GB2312"/>
          <w:b/>
          <w:bCs/>
          <w:sz w:val="32"/>
          <w:szCs w:val="32"/>
          <w:highlight w:val="none"/>
          <w:lang w:bidi="ar"/>
        </w:rPr>
        <w:t>）</w:t>
      </w:r>
      <w:r>
        <w:rPr>
          <w:rFonts w:hint="eastAsia" w:ascii="Times New Roman" w:hAnsi="Times New Roman" w:eastAsia="仿宋_GB2312" w:cs="仿宋_GB2312"/>
          <w:b/>
          <w:bCs/>
          <w:sz w:val="32"/>
          <w:szCs w:val="32"/>
          <w:highlight w:val="none"/>
          <w:lang w:val="en-US" w:eastAsia="zh-CN" w:bidi="ar"/>
        </w:rPr>
        <w:t>乡村</w:t>
      </w:r>
      <w:r>
        <w:rPr>
          <w:rFonts w:hint="eastAsia" w:ascii="Times New Roman" w:hAnsi="Times New Roman" w:eastAsia="仿宋_GB2312" w:cs="仿宋_GB2312"/>
          <w:b/>
          <w:bCs/>
          <w:sz w:val="32"/>
          <w:szCs w:val="32"/>
          <w:highlight w:val="none"/>
          <w:lang w:bidi="ar"/>
        </w:rPr>
        <w:t>风貌提升及历史文化保护</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rPr>
      </w:pPr>
      <w:r>
        <w:rPr>
          <w:rFonts w:hint="eastAsia" w:ascii="仿宋_GB2312" w:hAnsi="仿宋_GB2312" w:eastAsia="仿宋_GB2312" w:cs="仿宋_GB2312"/>
          <w:sz w:val="32"/>
          <w:szCs w:val="32"/>
          <w:highlight w:val="none"/>
          <w:lang w:bidi="ar"/>
        </w:rPr>
        <w:t>以改善农村人居环境，建设特色美丽乡村为重点，通过对乡村景观再塑和历史文化保护等手段，解决空间、动力和风貌问题，为乡村发展增添活力。重点建设乡村生态景观塑造（禾云镇）、历史文化名镇名村保护（龙颈镇）等项目</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val="en-US" w:eastAsia="zh-CN" w:bidi="ar"/>
        </w:rPr>
        <w:t>实施规模达</w:t>
      </w:r>
      <w:r>
        <w:rPr>
          <w:rFonts w:hint="eastAsia" w:ascii="Times New Roman" w:hAnsi="Times New Roman" w:eastAsia="仿宋" w:cs="Times New Roman"/>
          <w:bCs/>
          <w:sz w:val="32"/>
          <w:szCs w:val="32"/>
          <w:lang w:val="en-US" w:eastAsia="zh-CN"/>
        </w:rPr>
        <w:t>10.6833公顷。</w:t>
      </w:r>
    </w:p>
    <w:p>
      <w:pPr>
        <w:keepNext w:val="0"/>
        <w:keepLines w:val="0"/>
        <w:pageBreakBefore w:val="0"/>
        <w:kinsoku/>
        <w:wordWrap/>
        <w:overflowPunct/>
        <w:topLinePunct w:val="0"/>
        <w:autoSpaceDE/>
        <w:autoSpaceDN/>
        <w:bidi w:val="0"/>
        <w:spacing w:line="360" w:lineRule="auto"/>
        <w:ind w:firstLine="643" w:firstLineChars="200"/>
        <w:textAlignment w:val="auto"/>
        <w:outlineLvl w:val="2"/>
        <w:rPr>
          <w:rFonts w:ascii="Times New Roman" w:hAnsi="Times New Roman" w:eastAsia="仿宋_GB2312"/>
          <w:b/>
          <w:bCs/>
          <w:sz w:val="32"/>
          <w:szCs w:val="32"/>
          <w:highlight w:val="none"/>
        </w:rPr>
      </w:pPr>
      <w:r>
        <w:rPr>
          <w:rFonts w:hint="eastAsia" w:ascii="Times New Roman" w:hAnsi="Times New Roman" w:eastAsia="仿宋_GB2312" w:cs="仿宋_GB2312"/>
          <w:b/>
          <w:bCs/>
          <w:sz w:val="32"/>
          <w:szCs w:val="32"/>
          <w:highlight w:val="none"/>
          <w:lang w:bidi="ar"/>
        </w:rPr>
        <w:t>（</w:t>
      </w:r>
      <w:r>
        <w:rPr>
          <w:rFonts w:ascii="Times New Roman" w:hAnsi="Times New Roman" w:eastAsia="仿宋_GB2312"/>
          <w:b/>
          <w:bCs/>
          <w:sz w:val="32"/>
          <w:szCs w:val="32"/>
          <w:highlight w:val="none"/>
          <w:lang w:bidi="ar"/>
        </w:rPr>
        <w:t>4</w:t>
      </w:r>
      <w:r>
        <w:rPr>
          <w:rFonts w:hint="eastAsia" w:ascii="Times New Roman" w:hAnsi="Times New Roman" w:eastAsia="仿宋_GB2312" w:cs="仿宋_GB2312"/>
          <w:b/>
          <w:bCs/>
          <w:sz w:val="32"/>
          <w:szCs w:val="32"/>
          <w:highlight w:val="none"/>
          <w:lang w:bidi="ar"/>
        </w:rPr>
        <w:t>）生态保护修复</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Times New Roman" w:hAnsi="Times New Roman" w:eastAsia="仿宋_GB2312" w:cs="仿宋_GB2312"/>
          <w:sz w:val="32"/>
          <w:szCs w:val="32"/>
          <w:highlight w:val="none"/>
          <w:lang w:val="en-US" w:eastAsia="zh-CN" w:bidi="ar"/>
        </w:rPr>
      </w:pPr>
      <w:r>
        <w:rPr>
          <w:rFonts w:hint="eastAsia" w:ascii="Times New Roman" w:hAnsi="Times New Roman" w:eastAsia="仿宋_GB2312" w:cs="仿宋_GB2312"/>
          <w:sz w:val="32"/>
          <w:szCs w:val="32"/>
          <w:highlight w:val="none"/>
          <w:lang w:bidi="ar"/>
        </w:rPr>
        <w:t>统筹推进矿山生态修复、水环境治理与水生态修复、</w:t>
      </w:r>
      <w:r>
        <w:rPr>
          <w:rFonts w:hint="eastAsia" w:ascii="Times New Roman" w:hAnsi="Times New Roman" w:eastAsia="仿宋_GB2312" w:cs="仿宋_GB2312"/>
          <w:sz w:val="32"/>
          <w:szCs w:val="32"/>
          <w:highlight w:val="none"/>
          <w:lang w:val="en-US" w:eastAsia="zh-CN" w:bidi="ar"/>
        </w:rPr>
        <w:t>林分优化</w:t>
      </w:r>
      <w:r>
        <w:rPr>
          <w:rFonts w:hint="eastAsia" w:ascii="Times New Roman" w:hAnsi="Times New Roman" w:eastAsia="仿宋_GB2312" w:cs="仿宋_GB2312"/>
          <w:sz w:val="32"/>
          <w:szCs w:val="32"/>
          <w:highlight w:val="none"/>
          <w:lang w:bidi="ar"/>
        </w:rPr>
        <w:t>等生态保护修复项目。对</w:t>
      </w:r>
      <w:r>
        <w:rPr>
          <w:rFonts w:hint="eastAsia" w:ascii="Times New Roman" w:hAnsi="Times New Roman" w:eastAsia="仿宋_GB2312" w:cs="仿宋_GB2312"/>
          <w:sz w:val="32"/>
          <w:szCs w:val="32"/>
          <w:highlight w:val="none"/>
          <w:lang w:val="en-US" w:eastAsia="zh-CN" w:bidi="ar"/>
        </w:rPr>
        <w:t>漫水河流域、滨江流域</w:t>
      </w:r>
      <w:r>
        <w:rPr>
          <w:rFonts w:hint="eastAsia" w:ascii="Times New Roman" w:hAnsi="Times New Roman" w:eastAsia="仿宋_GB2312" w:cs="仿宋_GB2312"/>
          <w:sz w:val="32"/>
          <w:szCs w:val="32"/>
          <w:highlight w:val="none"/>
          <w:lang w:bidi="ar"/>
        </w:rPr>
        <w:t>进行</w:t>
      </w:r>
      <w:r>
        <w:rPr>
          <w:rFonts w:hint="eastAsia" w:ascii="Times New Roman" w:hAnsi="Times New Roman" w:eastAsia="仿宋_GB2312" w:cs="仿宋_GB2312"/>
          <w:sz w:val="32"/>
          <w:szCs w:val="32"/>
          <w:highlight w:val="none"/>
          <w:lang w:val="en-US" w:eastAsia="zh-CN" w:bidi="ar"/>
        </w:rPr>
        <w:t>河道</w:t>
      </w:r>
      <w:r>
        <w:rPr>
          <w:rFonts w:hint="eastAsia" w:ascii="Times New Roman" w:hAnsi="Times New Roman" w:eastAsia="仿宋_GB2312" w:cs="仿宋_GB2312"/>
          <w:sz w:val="32"/>
          <w:szCs w:val="32"/>
          <w:highlight w:val="none"/>
          <w:lang w:bidi="ar"/>
        </w:rPr>
        <w:t>清淤、</w:t>
      </w:r>
      <w:r>
        <w:rPr>
          <w:rFonts w:hint="eastAsia" w:ascii="Times New Roman" w:hAnsi="Times New Roman" w:eastAsia="仿宋_GB2312" w:cs="仿宋_GB2312"/>
          <w:sz w:val="32"/>
          <w:szCs w:val="32"/>
          <w:highlight w:val="none"/>
          <w:lang w:val="en-US" w:eastAsia="zh-CN" w:bidi="ar"/>
        </w:rPr>
        <w:t>堤岸加固除险、</w:t>
      </w:r>
      <w:r>
        <w:rPr>
          <w:rFonts w:hint="eastAsia" w:ascii="Times New Roman" w:hAnsi="Times New Roman" w:eastAsia="仿宋_GB2312" w:cs="仿宋_GB2312"/>
          <w:sz w:val="32"/>
          <w:szCs w:val="32"/>
          <w:highlight w:val="none"/>
          <w:lang w:bidi="ar"/>
        </w:rPr>
        <w:t>景观提升与设施配套</w:t>
      </w:r>
      <w:r>
        <w:rPr>
          <w:rFonts w:hint="eastAsia" w:ascii="Times New Roman" w:hAnsi="Times New Roman" w:eastAsia="仿宋_GB2312" w:cs="仿宋_GB2312"/>
          <w:sz w:val="32"/>
          <w:szCs w:val="32"/>
          <w:highlight w:val="none"/>
          <w:lang w:val="en-US" w:eastAsia="zh-CN" w:bidi="ar"/>
        </w:rPr>
        <w:t>等工程</w:t>
      </w:r>
      <w:r>
        <w:rPr>
          <w:rFonts w:hint="eastAsia" w:ascii="Times New Roman" w:hAnsi="Times New Roman" w:eastAsia="仿宋_GB2312" w:cs="仿宋_GB2312"/>
          <w:sz w:val="32"/>
          <w:szCs w:val="32"/>
          <w:highlight w:val="none"/>
          <w:lang w:bidi="ar"/>
        </w:rPr>
        <w:t>，重点实施</w:t>
      </w:r>
      <w:r>
        <w:rPr>
          <w:rFonts w:hint="eastAsia" w:ascii="Times New Roman" w:hAnsi="Times New Roman" w:eastAsia="仿宋_GB2312" w:cs="Times New Roman"/>
          <w:spacing w:val="0"/>
          <w:kern w:val="2"/>
          <w:sz w:val="32"/>
          <w:szCs w:val="32"/>
          <w:highlight w:val="none"/>
          <w:lang w:val="en-US" w:eastAsia="zh-CN" w:bidi="ar-SA"/>
        </w:rPr>
        <w:t>新造林抚育、林分优化和国家储备林</w:t>
      </w:r>
      <w:r>
        <w:rPr>
          <w:rFonts w:hint="eastAsia" w:ascii="Times New Roman" w:hAnsi="Times New Roman" w:eastAsia="仿宋_GB2312" w:cs="仿宋_GB2312"/>
          <w:sz w:val="32"/>
          <w:szCs w:val="32"/>
          <w:highlight w:val="none"/>
          <w:lang w:bidi="ar"/>
        </w:rPr>
        <w:t>等项目，以筑牢生态安全屏障，优化生态用地布局，维护生物多样性，探索完善生态产品价值实现机制</w:t>
      </w:r>
      <w:r>
        <w:rPr>
          <w:rFonts w:hint="eastAsia" w:ascii="Times New Roman" w:hAnsi="Times New Roman" w:eastAsia="仿宋_GB2312" w:cs="仿宋_GB2312"/>
          <w:sz w:val="32"/>
          <w:szCs w:val="32"/>
          <w:highlight w:val="none"/>
          <w:lang w:eastAsia="zh-CN" w:bidi="ar"/>
        </w:rPr>
        <w:t>，</w:t>
      </w:r>
      <w:r>
        <w:rPr>
          <w:rFonts w:hint="eastAsia" w:ascii="Times New Roman" w:hAnsi="Times New Roman" w:eastAsia="仿宋_GB2312" w:cs="仿宋_GB2312"/>
          <w:sz w:val="32"/>
          <w:szCs w:val="32"/>
          <w:highlight w:val="none"/>
          <w:lang w:bidi="ar"/>
        </w:rPr>
        <w:t>促进生态价值转化为经济价值</w:t>
      </w:r>
      <w:r>
        <w:rPr>
          <w:rFonts w:hint="eastAsia" w:ascii="Times New Roman" w:hAnsi="Times New Roman" w:eastAsia="仿宋_GB2312" w:cs="仿宋_GB2312"/>
          <w:sz w:val="32"/>
          <w:szCs w:val="32"/>
          <w:highlight w:val="none"/>
          <w:lang w:eastAsia="zh-CN" w:bidi="ar"/>
        </w:rPr>
        <w:t>，</w:t>
      </w:r>
      <w:r>
        <w:rPr>
          <w:rFonts w:hint="eastAsia" w:ascii="Times New Roman" w:hAnsi="Times New Roman" w:eastAsia="仿宋_GB2312" w:cs="仿宋_GB2312"/>
          <w:sz w:val="32"/>
          <w:szCs w:val="32"/>
          <w:highlight w:val="none"/>
          <w:lang w:val="en-US" w:eastAsia="zh-CN" w:bidi="ar"/>
        </w:rPr>
        <w:t>打造具备清新特色、综合效益显著的生态碳汇山林区</w:t>
      </w:r>
      <w:r>
        <w:rPr>
          <w:rFonts w:hint="eastAsia" w:ascii="Times New Roman" w:hAnsi="Times New Roman" w:eastAsia="仿宋_GB2312" w:cs="仿宋_GB2312"/>
          <w:sz w:val="32"/>
          <w:szCs w:val="32"/>
          <w:highlight w:val="none"/>
          <w:lang w:bidi="ar"/>
        </w:rPr>
        <w:t>。</w:t>
      </w:r>
      <w:r>
        <w:rPr>
          <w:rFonts w:hint="eastAsia" w:ascii="Times New Roman" w:hAnsi="Times New Roman" w:eastAsia="仿宋_GB2312" w:cs="仿宋_GB2312"/>
          <w:sz w:val="32"/>
          <w:szCs w:val="32"/>
          <w:highlight w:val="none"/>
          <w:lang w:val="en-US" w:eastAsia="zh-CN" w:bidi="ar"/>
        </w:rPr>
        <w:t>计划对滨江、漫水河的9处河道及堤岸进行整治，实施历史遗留矿山修复面积61.3774公顷，开展2项森林质量精准提升工程，实现新造林抚育面积850.0430公顷，显著提升生态碳汇能力，共育共保“山水交融”的生态保护格局。</w:t>
      </w:r>
    </w:p>
    <w:p>
      <w:pPr>
        <w:keepNext w:val="0"/>
        <w:keepLines w:val="0"/>
        <w:pageBreakBefore w:val="0"/>
        <w:kinsoku/>
        <w:wordWrap/>
        <w:overflowPunct/>
        <w:topLinePunct w:val="0"/>
        <w:autoSpaceDE/>
        <w:autoSpaceDN/>
        <w:bidi w:val="0"/>
        <w:spacing w:line="360" w:lineRule="auto"/>
        <w:ind w:firstLine="643" w:firstLineChars="200"/>
        <w:textAlignment w:val="auto"/>
        <w:outlineLvl w:val="2"/>
        <w:rPr>
          <w:rFonts w:hint="eastAsia" w:ascii="Times New Roman" w:hAnsi="Times New Roman" w:eastAsia="仿宋_GB2312"/>
          <w:b/>
          <w:bCs/>
          <w:sz w:val="32"/>
          <w:szCs w:val="32"/>
          <w:highlight w:val="none"/>
          <w:lang w:eastAsia="zh-CN"/>
        </w:rPr>
      </w:pPr>
      <w:r>
        <w:rPr>
          <w:rFonts w:hint="eastAsia" w:ascii="Times New Roman" w:hAnsi="Times New Roman" w:eastAsia="仿宋_GB2312" w:cs="仿宋_GB2312"/>
          <w:b/>
          <w:bCs/>
          <w:sz w:val="32"/>
          <w:szCs w:val="32"/>
          <w:highlight w:val="none"/>
          <w:lang w:bidi="ar"/>
        </w:rPr>
        <w:t>（</w:t>
      </w:r>
      <w:r>
        <w:rPr>
          <w:rFonts w:ascii="Times New Roman" w:hAnsi="Times New Roman" w:eastAsia="仿宋_GB2312"/>
          <w:b/>
          <w:bCs/>
          <w:sz w:val="32"/>
          <w:szCs w:val="32"/>
          <w:highlight w:val="none"/>
          <w:lang w:bidi="ar"/>
        </w:rPr>
        <w:t>5</w:t>
      </w:r>
      <w:r>
        <w:rPr>
          <w:rFonts w:hint="eastAsia" w:ascii="Times New Roman" w:hAnsi="Times New Roman" w:eastAsia="仿宋_GB2312" w:cs="仿宋_GB2312"/>
          <w:b/>
          <w:bCs/>
          <w:sz w:val="32"/>
          <w:szCs w:val="32"/>
          <w:highlight w:val="none"/>
          <w:lang w:bidi="ar"/>
        </w:rPr>
        <w:t>）产业</w:t>
      </w:r>
      <w:r>
        <w:rPr>
          <w:rFonts w:hint="eastAsia" w:ascii="Times New Roman" w:hAnsi="Times New Roman" w:eastAsia="仿宋_GB2312" w:cs="仿宋_GB2312"/>
          <w:b/>
          <w:bCs/>
          <w:sz w:val="32"/>
          <w:szCs w:val="32"/>
          <w:highlight w:val="none"/>
          <w:lang w:val="en-US" w:eastAsia="zh-CN" w:bidi="ar"/>
        </w:rPr>
        <w:t>导入</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Times New Roman" w:hAnsi="Times New Roman" w:eastAsia="仿宋_GB2312" w:cs="仿宋_GB2312"/>
          <w:bCs/>
          <w:sz w:val="32"/>
          <w:szCs w:val="32"/>
          <w:lang w:bidi="ar"/>
        </w:rPr>
      </w:pPr>
      <w:r>
        <w:rPr>
          <w:rFonts w:hint="eastAsia" w:ascii="Times New Roman" w:hAnsi="Times New Roman" w:eastAsia="仿宋_GB2312" w:cs="仿宋_GB2312"/>
          <w:bCs/>
          <w:sz w:val="32"/>
          <w:szCs w:val="32"/>
          <w:lang w:bidi="ar"/>
        </w:rPr>
        <w:t>重点推进生态农业（浸潭镇）、畜禽和水产养殖（禾云镇）、加工制造业（龙颈镇、石潭镇）、田园综合体（禾云镇、龙颈镇、石潭镇、浸潭镇、三坑镇）等产业项目建设</w:t>
      </w:r>
      <w:r>
        <w:rPr>
          <w:rFonts w:hint="eastAsia" w:ascii="Times New Roman" w:hAnsi="Times New Roman" w:eastAsia="仿宋_GB2312" w:cs="仿宋_GB2312"/>
          <w:bCs/>
          <w:sz w:val="32"/>
          <w:szCs w:val="32"/>
          <w:lang w:eastAsia="zh-CN" w:bidi="ar"/>
        </w:rPr>
        <w:t>。</w:t>
      </w:r>
      <w:r>
        <w:rPr>
          <w:rFonts w:hint="eastAsia" w:ascii="Times New Roman" w:hAnsi="Times New Roman" w:eastAsia="仿宋_GB2312" w:cs="仿宋_GB2312"/>
          <w:bCs/>
          <w:sz w:val="32"/>
          <w:szCs w:val="32"/>
          <w:lang w:bidi="ar"/>
        </w:rPr>
        <w:t>其中包含</w:t>
      </w:r>
      <w:r>
        <w:rPr>
          <w:rFonts w:hint="eastAsia" w:ascii="Times New Roman" w:hAnsi="Times New Roman" w:eastAsia="仿宋_GB2312" w:cs="仿宋_GB2312"/>
          <w:bCs/>
          <w:sz w:val="32"/>
          <w:szCs w:val="32"/>
          <w:lang w:val="en-US" w:eastAsia="zh-CN" w:bidi="ar"/>
        </w:rPr>
        <w:t>2</w:t>
      </w:r>
      <w:r>
        <w:rPr>
          <w:rFonts w:hint="eastAsia" w:ascii="Times New Roman" w:hAnsi="Times New Roman" w:eastAsia="仿宋_GB2312" w:cs="仿宋_GB2312"/>
          <w:bCs/>
          <w:sz w:val="32"/>
          <w:szCs w:val="32"/>
          <w:lang w:bidi="ar"/>
        </w:rPr>
        <w:t>项重点产业园区建设项目，15项田园综合体类农文旅开发项目，5项农业三产融合类项目。</w:t>
      </w:r>
    </w:p>
    <w:p>
      <w:pPr>
        <w:keepNext w:val="0"/>
        <w:keepLines w:val="0"/>
        <w:pageBreakBefore w:val="0"/>
        <w:kinsoku/>
        <w:wordWrap/>
        <w:overflowPunct/>
        <w:topLinePunct w:val="0"/>
        <w:autoSpaceDE/>
        <w:autoSpaceDN/>
        <w:bidi w:val="0"/>
        <w:spacing w:line="360" w:lineRule="auto"/>
        <w:ind w:firstLine="643" w:firstLineChars="200"/>
        <w:textAlignment w:val="auto"/>
        <w:outlineLvl w:val="2"/>
        <w:rPr>
          <w:rFonts w:ascii="Times New Roman" w:hAnsi="Times New Roman" w:eastAsia="仿宋_GB2312"/>
          <w:b/>
          <w:bCs/>
          <w:sz w:val="32"/>
          <w:szCs w:val="32"/>
        </w:rPr>
      </w:pPr>
      <w:r>
        <w:rPr>
          <w:rFonts w:hint="eastAsia" w:ascii="Times New Roman" w:hAnsi="Times New Roman" w:eastAsia="仿宋_GB2312" w:cs="仿宋_GB2312"/>
          <w:b/>
          <w:bCs/>
          <w:sz w:val="32"/>
          <w:szCs w:val="32"/>
          <w:lang w:bidi="ar"/>
        </w:rPr>
        <w:t>（</w:t>
      </w:r>
      <w:r>
        <w:rPr>
          <w:rFonts w:ascii="Times New Roman" w:hAnsi="Times New Roman" w:eastAsia="仿宋_GB2312"/>
          <w:b/>
          <w:bCs/>
          <w:sz w:val="32"/>
          <w:szCs w:val="32"/>
          <w:lang w:bidi="ar"/>
        </w:rPr>
        <w:t>6</w:t>
      </w:r>
      <w:r>
        <w:rPr>
          <w:rFonts w:hint="eastAsia" w:ascii="Times New Roman" w:hAnsi="Times New Roman" w:eastAsia="仿宋_GB2312" w:cs="仿宋_GB2312"/>
          <w:b/>
          <w:bCs/>
          <w:sz w:val="32"/>
          <w:szCs w:val="32"/>
          <w:lang w:bidi="ar"/>
        </w:rPr>
        <w:t>）公共服务与基础设施建设</w:t>
      </w:r>
    </w:p>
    <w:p>
      <w:pPr>
        <w:pStyle w:val="5"/>
        <w:keepNext w:val="0"/>
        <w:keepLines w:val="0"/>
        <w:pageBreakBefore w:val="0"/>
        <w:kinsoku/>
        <w:wordWrap/>
        <w:overflowPunct/>
        <w:topLinePunct w:val="0"/>
        <w:autoSpaceDE/>
        <w:autoSpaceDN/>
        <w:bidi w:val="0"/>
        <w:spacing w:before="0" w:beforeAutospacing="0" w:after="0" w:afterAutospacing="0" w:line="360" w:lineRule="auto"/>
        <w:ind w:firstLine="640" w:firstLineChars="200"/>
        <w:jc w:val="both"/>
        <w:textAlignment w:val="auto"/>
        <w:rPr>
          <w:rFonts w:hint="default" w:ascii="Times New Roman" w:hAnsi="Times New Roman" w:eastAsia="仿宋" w:cs="Times New Roman"/>
          <w:bCs/>
          <w:sz w:val="32"/>
          <w:szCs w:val="32"/>
          <w:lang w:val="en-US" w:eastAsia="zh-CN"/>
        </w:rPr>
      </w:pPr>
      <w:r>
        <w:rPr>
          <w:rFonts w:hint="eastAsia" w:ascii="Times New Roman" w:hAnsi="Times New Roman" w:eastAsia="仿宋_GB2312" w:cs="仿宋_GB2312"/>
          <w:bCs/>
          <w:sz w:val="32"/>
          <w:szCs w:val="32"/>
          <w:lang w:bidi="ar"/>
        </w:rPr>
        <w:t>完成交通设施建设（龙颈镇、石潭镇）、公共服务设施建设（三坑镇）等项目</w:t>
      </w:r>
      <w:r>
        <w:rPr>
          <w:rFonts w:hint="eastAsia" w:ascii="Times New Roman" w:hAnsi="Times New Roman" w:eastAsia="仿宋" w:cs="Times New Roman"/>
          <w:bCs/>
          <w:sz w:val="32"/>
          <w:szCs w:val="32"/>
          <w:lang w:val="en-US" w:eastAsia="zh-CN"/>
        </w:rPr>
        <w:t>8个</w:t>
      </w:r>
      <w:r>
        <w:rPr>
          <w:rFonts w:hint="eastAsia" w:ascii="Times New Roman" w:hAnsi="Times New Roman" w:eastAsia="仿宋_GB2312" w:cs="仿宋_GB2312"/>
          <w:bCs/>
          <w:kern w:val="2"/>
          <w:sz w:val="32"/>
          <w:szCs w:val="32"/>
          <w:lang w:bidi="ar"/>
        </w:rPr>
        <w:t>。</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monospace">
    <w:altName w:val="ESRI AMFM Electric"/>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462B3"/>
    <w:multiLevelType w:val="singleLevel"/>
    <w:tmpl w:val="4FC462B3"/>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YzY1OTVmODJkZTFjNWZjOGYwNmQ2OTllMWM3MjkifQ=="/>
  </w:docVars>
  <w:rsids>
    <w:rsidRoot w:val="023D5AD3"/>
    <w:rsid w:val="02142E53"/>
    <w:rsid w:val="023D5AD3"/>
    <w:rsid w:val="03BE03F9"/>
    <w:rsid w:val="03EE4925"/>
    <w:rsid w:val="05D30DA2"/>
    <w:rsid w:val="07B1265C"/>
    <w:rsid w:val="085E53B2"/>
    <w:rsid w:val="0AC566FD"/>
    <w:rsid w:val="0C6632AC"/>
    <w:rsid w:val="0DD26E94"/>
    <w:rsid w:val="12336533"/>
    <w:rsid w:val="1348303D"/>
    <w:rsid w:val="13EE6EDE"/>
    <w:rsid w:val="14427CDF"/>
    <w:rsid w:val="150D2DED"/>
    <w:rsid w:val="16327FB6"/>
    <w:rsid w:val="16382CC8"/>
    <w:rsid w:val="17097181"/>
    <w:rsid w:val="17BD4724"/>
    <w:rsid w:val="19342F99"/>
    <w:rsid w:val="194E7D07"/>
    <w:rsid w:val="1CC51DE2"/>
    <w:rsid w:val="1E750F9C"/>
    <w:rsid w:val="201C78B7"/>
    <w:rsid w:val="208436D5"/>
    <w:rsid w:val="215F014D"/>
    <w:rsid w:val="21C008D6"/>
    <w:rsid w:val="22C533A4"/>
    <w:rsid w:val="259E6394"/>
    <w:rsid w:val="25B03E54"/>
    <w:rsid w:val="27E101D0"/>
    <w:rsid w:val="28AB1D0E"/>
    <w:rsid w:val="29B95010"/>
    <w:rsid w:val="29F33C15"/>
    <w:rsid w:val="2A9862AD"/>
    <w:rsid w:val="2AAA3AB0"/>
    <w:rsid w:val="2DBB672C"/>
    <w:rsid w:val="2F44007C"/>
    <w:rsid w:val="2F83205D"/>
    <w:rsid w:val="2FBC4A48"/>
    <w:rsid w:val="300638D5"/>
    <w:rsid w:val="30290D9A"/>
    <w:rsid w:val="31A55AB0"/>
    <w:rsid w:val="324625B9"/>
    <w:rsid w:val="33C12FF5"/>
    <w:rsid w:val="34125D27"/>
    <w:rsid w:val="35A10512"/>
    <w:rsid w:val="35D01D91"/>
    <w:rsid w:val="362E10D0"/>
    <w:rsid w:val="36DC10F6"/>
    <w:rsid w:val="37522470"/>
    <w:rsid w:val="38152781"/>
    <w:rsid w:val="39E21295"/>
    <w:rsid w:val="3A22539E"/>
    <w:rsid w:val="3C324958"/>
    <w:rsid w:val="3C4758B1"/>
    <w:rsid w:val="412E4106"/>
    <w:rsid w:val="41DE59CA"/>
    <w:rsid w:val="428B7BA9"/>
    <w:rsid w:val="45526996"/>
    <w:rsid w:val="45E9145F"/>
    <w:rsid w:val="46256672"/>
    <w:rsid w:val="464B27B5"/>
    <w:rsid w:val="48373104"/>
    <w:rsid w:val="486429AF"/>
    <w:rsid w:val="49587D3A"/>
    <w:rsid w:val="4A325F3A"/>
    <w:rsid w:val="4AEC24C8"/>
    <w:rsid w:val="4B736339"/>
    <w:rsid w:val="4BC1793D"/>
    <w:rsid w:val="4C1F7029"/>
    <w:rsid w:val="4D002EBA"/>
    <w:rsid w:val="500F7CB7"/>
    <w:rsid w:val="52654894"/>
    <w:rsid w:val="52836E69"/>
    <w:rsid w:val="52F31740"/>
    <w:rsid w:val="535E5364"/>
    <w:rsid w:val="59635CB4"/>
    <w:rsid w:val="5AF5511A"/>
    <w:rsid w:val="5D4B6299"/>
    <w:rsid w:val="5E510A94"/>
    <w:rsid w:val="5F4D50AF"/>
    <w:rsid w:val="611B2C80"/>
    <w:rsid w:val="618B3927"/>
    <w:rsid w:val="623D3322"/>
    <w:rsid w:val="63A94E66"/>
    <w:rsid w:val="64A12625"/>
    <w:rsid w:val="66A615FE"/>
    <w:rsid w:val="66D61075"/>
    <w:rsid w:val="671E4E96"/>
    <w:rsid w:val="6B1A5D05"/>
    <w:rsid w:val="6C3F1D2D"/>
    <w:rsid w:val="6C5427BB"/>
    <w:rsid w:val="6CA86ED0"/>
    <w:rsid w:val="6D33180E"/>
    <w:rsid w:val="6DA85126"/>
    <w:rsid w:val="6E206E1E"/>
    <w:rsid w:val="6F0D0BC3"/>
    <w:rsid w:val="70714B8A"/>
    <w:rsid w:val="70B61211"/>
    <w:rsid w:val="73241D1B"/>
    <w:rsid w:val="73C7495F"/>
    <w:rsid w:val="74575C99"/>
    <w:rsid w:val="74D27898"/>
    <w:rsid w:val="77374A68"/>
    <w:rsid w:val="78D676A2"/>
    <w:rsid w:val="78EA40FA"/>
    <w:rsid w:val="79BC536C"/>
    <w:rsid w:val="7AA863A9"/>
    <w:rsid w:val="7B3965F1"/>
    <w:rsid w:val="7C57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1"/>
    <w:qFormat/>
    <w:uiPriority w:val="99"/>
    <w:pPr>
      <w:spacing w:after="120"/>
      <w:ind w:firstLine="420" w:firstLineChars="100"/>
    </w:pPr>
    <w:rPr>
      <w:spacing w:val="4"/>
      <w:sz w:val="32"/>
    </w:rPr>
  </w:style>
  <w:style w:type="paragraph" w:styleId="3">
    <w:name w:val="Body Text"/>
    <w:basedOn w:val="1"/>
    <w:next w:val="4"/>
    <w:link w:val="9"/>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styleId="4">
    <w:name w:val="Title"/>
    <w:basedOn w:val="1"/>
    <w:next w:val="1"/>
    <w:link w:val="10"/>
    <w:qFormat/>
    <w:uiPriority w:val="0"/>
    <w:pPr>
      <w:spacing w:before="240" w:beforeLines="0" w:beforeAutospacing="0" w:after="60" w:afterLines="0" w:afterAutospacing="0"/>
      <w:jc w:val="center"/>
      <w:outlineLvl w:val="0"/>
    </w:pPr>
    <w:rPr>
      <w:rFonts w:ascii="Arial" w:hAnsi="Arial"/>
      <w:b/>
      <w:sz w:val="32"/>
    </w:rPr>
  </w:style>
  <w:style w:type="paragraph" w:styleId="5">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 字符"/>
    <w:basedOn w:val="8"/>
    <w:link w:val="3"/>
    <w:qFormat/>
    <w:uiPriority w:val="0"/>
    <w:rPr>
      <w:rFonts w:hint="default" w:ascii="Calibri" w:hAnsi="Calibri" w:cs="Calibri"/>
      <w:kern w:val="2"/>
      <w:sz w:val="21"/>
      <w:szCs w:val="24"/>
    </w:rPr>
  </w:style>
  <w:style w:type="character" w:customStyle="1" w:styleId="10">
    <w:name w:val="标题 字符"/>
    <w:basedOn w:val="8"/>
    <w:link w:val="4"/>
    <w:qFormat/>
    <w:uiPriority w:val="0"/>
    <w:rPr>
      <w:rFonts w:ascii="Calibri Light" w:hAnsi="Calibri Light" w:eastAsia="宋体" w:cs="Times New Roman"/>
      <w:b/>
      <w:bCs/>
      <w:kern w:val="2"/>
      <w:sz w:val="32"/>
      <w:szCs w:val="32"/>
    </w:rPr>
  </w:style>
  <w:style w:type="character" w:customStyle="1" w:styleId="11">
    <w:name w:val="font51"/>
    <w:basedOn w:val="8"/>
    <w:qFormat/>
    <w:uiPriority w:val="0"/>
    <w:rPr>
      <w:rFonts w:hint="default" w:ascii="Times New Roman" w:hAnsi="Times New Roman" w:cs="Times New Roman"/>
      <w:b/>
      <w:bCs/>
      <w:color w:val="000000"/>
      <w:sz w:val="28"/>
      <w:szCs w:val="28"/>
      <w:u w:val="none"/>
    </w:rPr>
  </w:style>
  <w:style w:type="character" w:customStyle="1" w:styleId="12">
    <w:name w:val="font61"/>
    <w:basedOn w:val="8"/>
    <w:qFormat/>
    <w:uiPriority w:val="0"/>
    <w:rPr>
      <w:rFonts w:hint="default" w:ascii="monospace" w:eastAsia="monospace" w:cs="monospace"/>
      <w:b/>
      <w:bCs/>
      <w:color w:val="000000"/>
      <w:sz w:val="28"/>
      <w:szCs w:val="28"/>
      <w:u w:val="none"/>
    </w:rPr>
  </w:style>
  <w:style w:type="character" w:customStyle="1" w:styleId="13">
    <w:name w:val="font71"/>
    <w:basedOn w:val="8"/>
    <w:qFormat/>
    <w:uiPriority w:val="0"/>
    <w:rPr>
      <w:rFonts w:hint="eastAsia" w:ascii="宋体" w:hAnsi="宋体" w:eastAsia="宋体" w:cs="宋体"/>
      <w:color w:val="000000"/>
      <w:sz w:val="32"/>
      <w:szCs w:val="32"/>
      <w:u w:val="none"/>
    </w:rPr>
  </w:style>
  <w:style w:type="character" w:customStyle="1" w:styleId="14">
    <w:name w:val="font01"/>
    <w:basedOn w:val="8"/>
    <w:qFormat/>
    <w:uiPriority w:val="0"/>
    <w:rPr>
      <w:rFonts w:hint="eastAsia" w:ascii="宋体" w:hAnsi="宋体" w:eastAsia="宋体" w:cs="宋体"/>
      <w:color w:val="000000"/>
      <w:sz w:val="24"/>
      <w:szCs w:val="24"/>
      <w:u w:val="none"/>
    </w:rPr>
  </w:style>
  <w:style w:type="paragraph" w:styleId="15">
    <w:name w:val="List Paragraph"/>
    <w:basedOn w:val="1"/>
    <w:qFormat/>
    <w:uiPriority w:val="34"/>
    <w:pPr>
      <w:ind w:firstLine="420" w:firstLineChars="200"/>
    </w:pPr>
  </w:style>
  <w:style w:type="paragraph" w:customStyle="1" w:styleId="16">
    <w:name w:val="图表标题"/>
    <w:basedOn w:val="1"/>
    <w:next w:val="3"/>
    <w:qFormat/>
    <w:uiPriority w:val="0"/>
    <w:pPr>
      <w:tabs>
        <w:tab w:val="left" w:pos="-900"/>
        <w:tab w:val="left" w:pos="540"/>
      </w:tabs>
      <w:jc w:val="center"/>
    </w:pPr>
    <w:rPr>
      <w:rFonts w:hint="eastAsia" w:ascii="仿宋_GB2312" w:hAnsi="仿宋_GB2312" w:eastAsia="仿宋_GB2312" w:cs="仿宋_GB2312"/>
      <w:b/>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7430</Words>
  <Characters>10096</Characters>
  <Lines>0</Lines>
  <Paragraphs>0</Paragraphs>
  <TotalTime>80</TotalTime>
  <ScaleCrop>false</ScaleCrop>
  <LinksUpToDate>false</LinksUpToDate>
  <CharactersWithSpaces>10226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2024-08-06T01:17:00Z</dcterms:created>
  <dc:creator>Administrator</dc:creator>
  <cp:lastModifiedBy>周桐</cp:lastModifiedBy>
  <dcterms:modified xsi:type="dcterms:W3CDTF">2024-12-02T08:57:36Z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561926FDF35743FBB968B8345F80009A_13</vt:lpwstr>
  </property>
</Properties>
</file>