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B5857"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关于《</w:t>
      </w:r>
      <w:r>
        <w:rPr>
          <w:rFonts w:hint="eastAsia" w:ascii="Times New Roman" w:hAnsi="Times New Roman" w:eastAsia="黑体" w:cs="Times New Roman"/>
          <w:sz w:val="36"/>
          <w:szCs w:val="36"/>
        </w:rPr>
        <w:t>清远市清新区200MW渔光互补光伏发电项目（重新报批）环境影响报告表</w:t>
      </w:r>
      <w:r>
        <w:rPr>
          <w:rFonts w:ascii="Times New Roman" w:hAnsi="Times New Roman" w:eastAsia="黑体" w:cs="Times New Roman"/>
          <w:sz w:val="36"/>
          <w:szCs w:val="36"/>
        </w:rPr>
        <w:t>》的批复</w:t>
      </w:r>
    </w:p>
    <w:p w14:paraId="4C578D16">
      <w:pPr>
        <w:rPr>
          <w:rFonts w:ascii="Times New Roman" w:hAnsi="Times New Roman" w:eastAsia="仿宋" w:cs="Times New Roman"/>
          <w:sz w:val="30"/>
          <w:szCs w:val="30"/>
        </w:rPr>
      </w:pPr>
    </w:p>
    <w:p w14:paraId="56ACB7A1">
      <w:pPr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清远市阳龙新能源科技有限公司</w:t>
      </w:r>
      <w:r>
        <w:rPr>
          <w:rFonts w:hint="eastAsia" w:ascii="Times New Roman" w:hAnsi="Times New Roman" w:eastAsia="仿宋" w:cs="Times New Roman"/>
          <w:sz w:val="30"/>
          <w:szCs w:val="30"/>
        </w:rPr>
        <w:t>：</w:t>
      </w:r>
    </w:p>
    <w:p w14:paraId="6DFDA3A1">
      <w:pPr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报批的《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清远市清新区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200MW渔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光互补光伏发电项目（重新报批）环境影响报告表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》（以下简称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报告表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）等材料收悉。根据《中华人民共和国环境影响评价法》《建设项目环境保护管理条例》及有关法律、法规规定，经研究，批复如下：</w:t>
      </w:r>
    </w:p>
    <w:p w14:paraId="1E122959"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清远市清新区200MW渔光互补光伏发电项目（重新报批）（以下简称“该项目”）位于清远市清新区陂头村、白米铺村、雅文村一带；项目建设内容包括光伏阵列、220kV升压站，不包括220kV升压站出线输电线路；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光伏阵列装机容量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260MWp，设50个分区，共368944块单晶硅组件，年平均发电量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29585.04万kWh。</w:t>
      </w:r>
    </w:p>
    <w:p w14:paraId="22E2CE68">
      <w:pPr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根据报告表的评价结论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和广州青蓝环保科技有限公司的技术评估意见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在全面落实报告表提出的各项污染防治和环境风险防范措施，并确保各类污染物稳定达标排放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前提下，项目按照报告表中所列性质、规模、地点、采用的生产工艺和防治污染、防止生态破坏的措施进行建设，从生态环境保护角度可行。项目应按报告表内容组织实施，建设和运营中还应重点做好以下工作：</w:t>
      </w:r>
    </w:p>
    <w:p w14:paraId="6FCCF43B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（一）做好水污染防治工作，</w:t>
      </w:r>
      <w:r>
        <w:rPr>
          <w:rFonts w:hint="eastAsia" w:ascii="Times New Roman" w:hAnsi="Times New Roman" w:eastAsia="仿宋" w:cs="Times New Roman"/>
          <w:sz w:val="30"/>
          <w:szCs w:val="30"/>
        </w:rPr>
        <w:t>升压站食堂含油废水经隔油隔渣池处理、其他生活污水经三级化粪池处理后一并经一体化污水处理设施处理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达到</w:t>
      </w:r>
      <w:r>
        <w:rPr>
          <w:rFonts w:hint="eastAsia" w:ascii="Times New Roman" w:hAnsi="Times New Roman" w:eastAsia="仿宋" w:cs="Times New Roman"/>
          <w:sz w:val="30"/>
          <w:szCs w:val="30"/>
        </w:rPr>
        <w:t>《农田灌溉水质标准》</w:t>
      </w:r>
      <w:r>
        <w:rPr>
          <w:rFonts w:hint="eastAsia" w:ascii="仿宋" w:hAnsi="仿宋" w:eastAsia="仿宋" w:cs="仿宋"/>
          <w:sz w:val="30"/>
          <w:szCs w:val="30"/>
        </w:rPr>
        <w:t>（GB5084-2021）</w:t>
      </w:r>
      <w:r>
        <w:rPr>
          <w:rFonts w:hint="eastAsia" w:ascii="Times New Roman" w:hAnsi="Times New Roman" w:eastAsia="仿宋" w:cs="Times New Roman"/>
          <w:sz w:val="30"/>
          <w:szCs w:val="30"/>
        </w:rPr>
        <w:t>旱地作物限值的要求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后</w:t>
      </w:r>
      <w:r>
        <w:rPr>
          <w:rFonts w:hint="eastAsia" w:ascii="Times New Roman" w:hAnsi="Times New Roman" w:eastAsia="仿宋" w:cs="Times New Roman"/>
          <w:sz w:val="30"/>
          <w:szCs w:val="30"/>
        </w:rPr>
        <w:t>用于升压站内绿化不外排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10B0EEEE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（二）做好大气污染的防治工作，施工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期现场周边应设置符合要求的围档，施工期间应加强拦网，采取有效的抑制扬尘措施，防止扬尘外逸；材料设备点堆积的工程材料、砂石、土方、建筑垃圾等易产生扬尘污染的场所应采取封闭、喷淋及表面凝结等防尘措施，其堆放场所尽量远离附近居民区；对道路进行硬化，落实路面保洁、洒水防尘制度，减少运输道路扬尘污染等。</w:t>
      </w:r>
    </w:p>
    <w:p w14:paraId="71B8FA63">
      <w:pPr>
        <w:spacing w:line="560" w:lineRule="exact"/>
        <w:ind w:firstLine="600" w:firstLineChars="200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仿宋" w:cs="Times New Roman"/>
          <w:sz w:val="30"/>
          <w:szCs w:val="30"/>
        </w:rPr>
        <w:t>（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三</w:t>
      </w:r>
      <w:r>
        <w:rPr>
          <w:rFonts w:ascii="Times New Roman" w:hAnsi="Times New Roman" w:eastAsia="仿宋" w:cs="Times New Roman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做好噪声污染的防治工作，施工期间选用低噪声设备，高噪声源应采取隔声、减振等措施，定期检修设备，制定严格的施工管理制度，以减少噪声对周围环境的影响。运营期加强对逆变器和变压器的定期检查、维护，使其处于正常运行状态，确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边界噪声符合</w:t>
      </w:r>
      <w:r>
        <w:rPr>
          <w:rFonts w:hint="eastAsia" w:ascii="仿宋" w:hAnsi="仿宋" w:eastAsia="仿宋" w:cs="仿宋"/>
          <w:sz w:val="30"/>
          <w:szCs w:val="30"/>
        </w:rPr>
        <w:t>《工业企业厂界环境噪声排放标准》（GB12348-2008）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类标准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7D63B572"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四</w:t>
      </w:r>
      <w:r>
        <w:rPr>
          <w:rFonts w:ascii="Times New Roman" w:hAnsi="Times New Roman" w:eastAsia="仿宋" w:cs="Times New Roman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固体废弃物要分类并及时规范处理，执行《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</w:rPr>
        <w:t>一般工业固体废物贮存和填埋污染控制标准</w:t>
      </w:r>
      <w:r>
        <w:rPr>
          <w:rFonts w:hint="eastAsia" w:ascii="仿宋" w:hAnsi="仿宋" w:eastAsia="仿宋" w:cs="仿宋"/>
          <w:sz w:val="30"/>
          <w:szCs w:val="30"/>
        </w:rPr>
        <w:t>》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</w:rPr>
        <w:t>（GB18599-2020）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和</w:t>
      </w:r>
      <w:r>
        <w:rPr>
          <w:rFonts w:hint="eastAsia" w:ascii="仿宋" w:hAnsi="仿宋" w:eastAsia="仿宋" w:cs="仿宋"/>
          <w:sz w:val="30"/>
          <w:szCs w:val="30"/>
        </w:rPr>
        <w:t>《危险废物贮存污染控制标准》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</w:rPr>
        <w:t>（GB18597-2023）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等相关</w:t>
      </w:r>
      <w:r>
        <w:rPr>
          <w:rFonts w:hint="eastAsia" w:ascii="仿宋" w:hAnsi="仿宋" w:eastAsia="仿宋" w:cs="仿宋"/>
          <w:sz w:val="30"/>
          <w:szCs w:val="30"/>
        </w:rPr>
        <w:t>要求。</w:t>
      </w:r>
    </w:p>
    <w:p w14:paraId="7282EFD4"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严格落实电磁环境保护措施。确保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升压站产生的电场强度、磁感应强度满足《电磁环境控制限值》（GB8702-2014）的限值要求。</w:t>
      </w:r>
    </w:p>
    <w:p w14:paraId="730A5C75">
      <w:pPr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三、报告表经批准后，建设项目的性质、规模、地点、采用的生产工艺或者防治污染、防止生态破坏的措施发生重大变动的，建设单位应当重新报批建设项目的环境影响评价文件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506509D">
      <w:pPr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你单位应落实生态环境保护主体责任，加强生态环境管理，推进各项生态环境保护措施落实。项目建设必须严格执行环境保护设施与主体工程同时设计、同时施工、同时投产使用的环境保护“三同时”制度。项目建成运行后，应按规定程序实施竣工环境保护验收。</w:t>
      </w:r>
    </w:p>
    <w:p w14:paraId="07F589F4">
      <w:pPr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、该项目建设和运行过程中如涉及规划、土地利用、建设、水务、消防、安全等问题，应遵照相关法律法规要求到相应的行政主管部门办理有关手续。</w:t>
      </w:r>
    </w:p>
    <w:p w14:paraId="675A8D01">
      <w:pPr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、以后国家或地方颁布新标准、行业新规定时，按新标准、新规定执行。</w:t>
      </w:r>
    </w:p>
    <w:p w14:paraId="443EB55F">
      <w:pPr>
        <w:spacing w:line="560" w:lineRule="exact"/>
        <w:ind w:firstLine="60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七、本项目作出批复后，《清远市清新区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200MW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渔光互补光伏发电项目环境影响报告表》及其批复（文号：清环清新审〔2022〕5号）同时作废。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</w:p>
    <w:p w14:paraId="14D561CE">
      <w:pPr>
        <w:pStyle w:val="4"/>
        <w:spacing w:line="560" w:lineRule="exact"/>
        <w:rPr>
          <w:rFonts w:hint="default" w:ascii="Times New Roman" w:hAnsi="Times New Roman"/>
        </w:rPr>
      </w:pPr>
    </w:p>
    <w:p w14:paraId="2410735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清远市生态环境局</w:t>
      </w:r>
    </w:p>
    <w:p w14:paraId="200DA48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2025年1月9日</w:t>
      </w:r>
    </w:p>
    <w:p w14:paraId="27E551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48F2CC"/>
    <w:multiLevelType w:val="singleLevel"/>
    <w:tmpl w:val="E048F2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YzkxMmJlYTgyZjE3ZjY0NTQ1NzY0MjAzOWNjMjEifQ=="/>
  </w:docVars>
  <w:rsids>
    <w:rsidRoot w:val="611E0DD8"/>
    <w:rsid w:val="0131118A"/>
    <w:rsid w:val="01C15FF7"/>
    <w:rsid w:val="02662BDD"/>
    <w:rsid w:val="068C3E93"/>
    <w:rsid w:val="07D90263"/>
    <w:rsid w:val="0828071B"/>
    <w:rsid w:val="085569DA"/>
    <w:rsid w:val="099F62B9"/>
    <w:rsid w:val="0BF90C32"/>
    <w:rsid w:val="12551685"/>
    <w:rsid w:val="18601BD3"/>
    <w:rsid w:val="191818CB"/>
    <w:rsid w:val="1AFD06AA"/>
    <w:rsid w:val="1C4A2EA5"/>
    <w:rsid w:val="1D295B40"/>
    <w:rsid w:val="1D437369"/>
    <w:rsid w:val="1E677EBF"/>
    <w:rsid w:val="202B4E25"/>
    <w:rsid w:val="2288435D"/>
    <w:rsid w:val="22B91FD9"/>
    <w:rsid w:val="2B2152D3"/>
    <w:rsid w:val="2C2A24E5"/>
    <w:rsid w:val="30A65D28"/>
    <w:rsid w:val="36A80DA9"/>
    <w:rsid w:val="3E834C59"/>
    <w:rsid w:val="4081373D"/>
    <w:rsid w:val="40CB0B39"/>
    <w:rsid w:val="44CE56A7"/>
    <w:rsid w:val="45064FAD"/>
    <w:rsid w:val="469A4A7F"/>
    <w:rsid w:val="472C4F7A"/>
    <w:rsid w:val="499542B3"/>
    <w:rsid w:val="507E7856"/>
    <w:rsid w:val="51937E18"/>
    <w:rsid w:val="52BD1710"/>
    <w:rsid w:val="552D769A"/>
    <w:rsid w:val="573633BE"/>
    <w:rsid w:val="57ED0501"/>
    <w:rsid w:val="5A09683C"/>
    <w:rsid w:val="5B121DD7"/>
    <w:rsid w:val="5B3A53EB"/>
    <w:rsid w:val="5C37252E"/>
    <w:rsid w:val="5D596CA1"/>
    <w:rsid w:val="5E796678"/>
    <w:rsid w:val="5F343FED"/>
    <w:rsid w:val="60E51BA8"/>
    <w:rsid w:val="611E0DD8"/>
    <w:rsid w:val="6144186A"/>
    <w:rsid w:val="61C50A3D"/>
    <w:rsid w:val="63585E05"/>
    <w:rsid w:val="65757142"/>
    <w:rsid w:val="693E79D1"/>
    <w:rsid w:val="6B3F14B8"/>
    <w:rsid w:val="71D247CC"/>
    <w:rsid w:val="74512321"/>
    <w:rsid w:val="745E0CB4"/>
    <w:rsid w:val="782704D8"/>
    <w:rsid w:val="783B7D77"/>
    <w:rsid w:val="79CE6A8D"/>
    <w:rsid w:val="7D5B0747"/>
    <w:rsid w:val="7EA7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5"/>
    <w:next w:val="1"/>
    <w:autoRedefine/>
    <w:unhideWhenUsed/>
    <w:qFormat/>
    <w:uiPriority w:val="99"/>
    <w:pPr>
      <w:tabs>
        <w:tab w:val="left" w:pos="58"/>
      </w:tabs>
      <w:autoSpaceDE w:val="0"/>
      <w:autoSpaceDN w:val="0"/>
    </w:pPr>
    <w:rPr>
      <w:rFonts w:hint="eastAsia" w:ascii="黑体" w:hAnsi="黑体" w:eastAsia="黑体" w:cs="Times New Roman"/>
      <w:color w:val="000000"/>
      <w:sz w:val="24"/>
      <w:szCs w:val="22"/>
    </w:rPr>
  </w:style>
  <w:style w:type="paragraph" w:customStyle="1" w:styleId="5">
    <w:name w:val="纯文本1"/>
    <w:basedOn w:val="1"/>
    <w:autoRedefine/>
    <w:qFormat/>
    <w:uiPriority w:val="0"/>
    <w:pPr>
      <w:tabs>
        <w:tab w:val="left" w:pos="58"/>
      </w:tabs>
      <w:adjustRightInd w:val="0"/>
      <w:textAlignment w:val="baseline"/>
    </w:pPr>
    <w:rPr>
      <w:rFonts w:ascii="宋体" w:hAnsi="Courier New"/>
      <w:szCs w:val="20"/>
    </w:rPr>
  </w:style>
  <w:style w:type="paragraph" w:customStyle="1" w:styleId="6">
    <w:name w:val="Plain Text1"/>
    <w:basedOn w:val="7"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1347</Words>
  <Characters>1447</Characters>
  <Lines>0</Lines>
  <Paragraphs>0</Paragraphs>
  <TotalTime>0</TotalTime>
  <ScaleCrop>false</ScaleCrop>
  <LinksUpToDate>false</LinksUpToDate>
  <CharactersWithSpaces>1453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2022-10-11T08:25:00Z</dcterms:created>
  <dc:creator>84363</dc:creator>
  <cp:lastModifiedBy>小喇叭</cp:lastModifiedBy>
  <cp:lastPrinted>2024-03-29T00:43:00Z</cp:lastPrinted>
  <dcterms:modified xsi:type="dcterms:W3CDTF">2025-01-16T04:30:52Z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393827D316E745E4BC17CE1E0077400E</vt:lpwstr>
  </property>
  <property fmtid="{D5CDD505-2E9C-101B-9397-08002B2CF9AE}" pid="4" name="KSOTemplateDocerSaveRecord">
    <vt:lpwstr>eyJoZGlkIjoiYWI3YzkxMmJlYTgyZjE3ZjY0NTQ1NzY0MjAzOWNjMjEiLCJ1c2VySWQiOiI0MDk2NzkyODQifQ==</vt:lpwstr>
  </property>
</Properties>
</file>