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jc w:val="center"/>
        <w:rPr>
          <w:rFonts w:hint="eastAsia" w:ascii="黑体" w:hAnsi="黑体" w:eastAsia="黑体" w:cs="黑体"/>
          <w:b/>
          <w:bCs/>
          <w:color w:val="auto"/>
          <w:sz w:val="48"/>
          <w:szCs w:val="48"/>
          <w:lang w:val="en-US" w:eastAsia="zh-CN"/>
        </w:rPr>
      </w:pPr>
      <w:r>
        <w:rPr>
          <w:rFonts w:hint="eastAsia" w:ascii="黑体" w:hAnsi="黑体" w:eastAsia="黑体" w:cs="黑体"/>
          <w:b/>
          <w:bCs/>
          <w:color w:val="auto"/>
          <w:sz w:val="48"/>
          <w:szCs w:val="48"/>
          <w:lang w:val="en-US" w:eastAsia="zh-CN"/>
        </w:rPr>
        <w:t>广东省历史文化名村清远市清新区龙颈镇凤塱村保护规划（2021-2035年）</w:t>
      </w:r>
    </w:p>
    <w:p>
      <w:pPr>
        <w:jc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（简本）</w:t>
      </w:r>
    </w:p>
    <w:p>
      <w:pPr>
        <w:pStyle w:val="2"/>
        <w:numPr>
          <w:ilvl w:val="0"/>
          <w:numId w:val="1"/>
        </w:numPr>
        <w:ind w:left="0" w:leftChars="0" w:firstLine="0" w:firstLineChars="0"/>
        <w:rPr>
          <w:rFonts w:hint="eastAsia" w:ascii="宋体" w:hAnsi="宋体" w:eastAsia="宋体" w:cs="宋体"/>
          <w:b/>
          <w:color w:val="auto"/>
          <w:sz w:val="32"/>
          <w:szCs w:val="32"/>
          <w:lang w:val="en-US" w:eastAsia="zh-CN"/>
        </w:rPr>
      </w:pPr>
      <w:r>
        <w:rPr>
          <w:rFonts w:hint="eastAsia" w:ascii="宋体" w:hAnsi="宋体" w:eastAsia="宋体" w:cs="宋体"/>
          <w:b/>
          <w:bCs/>
          <w:color w:val="auto"/>
          <w:sz w:val="32"/>
          <w:szCs w:val="32"/>
          <w:lang w:val="en-US" w:eastAsia="zh-CN"/>
        </w:rPr>
        <w:t>综述</w:t>
      </w:r>
    </w:p>
    <w:p>
      <w:pPr>
        <w:pStyle w:val="3"/>
        <w:numPr>
          <w:ilvl w:val="0"/>
          <w:numId w:val="0"/>
        </w:numPr>
        <w:rPr>
          <w:rFonts w:hint="eastAsia"/>
          <w:b/>
          <w:bCs/>
          <w:sz w:val="28"/>
          <w:szCs w:val="28"/>
          <w:lang w:val="en-US" w:eastAsia="zh-CN"/>
        </w:rPr>
      </w:pPr>
      <w:r>
        <w:rPr>
          <w:rFonts w:hint="eastAsia"/>
          <w:b/>
          <w:bCs/>
          <w:sz w:val="28"/>
          <w:szCs w:val="28"/>
          <w:lang w:val="en-US" w:eastAsia="zh-CN"/>
        </w:rPr>
        <w:t>（一）规划背景</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32"/>
          <w:lang w:val="en-US" w:eastAsia="zh-CN" w:bidi="ar-SA"/>
        </w:rPr>
      </w:pPr>
      <w:r>
        <w:rPr>
          <w:rFonts w:hint="eastAsia"/>
          <w:lang w:val="en-US" w:eastAsia="zh-CN"/>
        </w:rPr>
        <w:t>清远市清新区龙颈镇凤塱村</w:t>
      </w:r>
      <w:r>
        <w:rPr>
          <w:rFonts w:hint="eastAsia" w:ascii="仿宋_GB2312" w:hAnsi="仿宋_GB2312" w:cs="仿宋_GB2312"/>
          <w:szCs w:val="32"/>
        </w:rPr>
        <w:t>于2012年被评为第三批广东省历史文化名村</w:t>
      </w:r>
      <w:r>
        <w:rPr>
          <w:rFonts w:hint="eastAsia" w:ascii="仿宋_GB2312" w:hAnsi="仿宋_GB2312" w:cs="仿宋_GB2312"/>
          <w:szCs w:val="32"/>
          <w:lang w:eastAsia="zh-CN"/>
        </w:rPr>
        <w:t>。</w:t>
      </w:r>
      <w:r>
        <w:rPr>
          <w:rFonts w:hint="eastAsia" w:ascii="宋体" w:hAnsi="宋体" w:eastAsia="宋体" w:cs="宋体"/>
          <w:b w:val="0"/>
          <w:bCs w:val="0"/>
          <w:color w:val="auto"/>
          <w:kern w:val="2"/>
          <w:sz w:val="24"/>
          <w:szCs w:val="32"/>
          <w:lang w:val="en-US" w:eastAsia="zh-CN" w:bidi="ar-SA"/>
        </w:rPr>
        <w:t>落实《广东省住房和城乡建设厅关于加快推进规划期限至2035年历史文化名城名镇名村、街区保护规划编制（修编</w:t>
      </w:r>
      <w:bookmarkStart w:id="26" w:name="_GoBack"/>
      <w:bookmarkEnd w:id="26"/>
      <w:r>
        <w:rPr>
          <w:rFonts w:hint="eastAsia" w:ascii="宋体" w:hAnsi="宋体" w:eastAsia="宋体" w:cs="宋体"/>
          <w:b w:val="0"/>
          <w:bCs w:val="0"/>
          <w:color w:val="auto"/>
          <w:kern w:val="2"/>
          <w:sz w:val="24"/>
          <w:szCs w:val="32"/>
          <w:lang w:val="en-US" w:eastAsia="zh-CN" w:bidi="ar-SA"/>
        </w:rPr>
        <w:t>）工作的函》（粤建节函﹝2021﹞175号）文件要求，为保护广东省历史文化名村凤塱村丰富的历史文化遗产及其历史环境，保护和延续村落传统格局和风貌，继承和弘扬民族与地方优秀的文化传统，实现历史文化名村的科学保护与永续利用，清远市清新区住房和城乡建设局组织编制《广东省历史文化名村清远市清新区龙颈镇凤塱村保护规划（2021-2035年）》。</w:t>
      </w:r>
    </w:p>
    <w:p>
      <w:pPr>
        <w:keepNext w:val="0"/>
        <w:keepLines w:val="0"/>
        <w:widowControl/>
        <w:suppressLineNumbers w:val="0"/>
        <w:jc w:val="left"/>
        <w:rPr>
          <w:rFonts w:hint="eastAsia" w:ascii="宋体" w:hAnsi="宋体" w:eastAsia="宋体" w:cs="宋体"/>
        </w:rPr>
      </w:pPr>
      <w:r>
        <w:rPr>
          <w:rFonts w:hint="eastAsia" w:asciiTheme="minorHAnsi" w:hAnsiTheme="minorHAnsi" w:eastAsiaTheme="minorEastAsia" w:cstheme="minorBidi"/>
          <w:b/>
          <w:bCs/>
          <w:kern w:val="2"/>
          <w:sz w:val="28"/>
          <w:szCs w:val="28"/>
          <w:lang w:val="en-US" w:eastAsia="zh-CN" w:bidi="ar-SA"/>
        </w:rPr>
        <w:t>（二）规划范围</w:t>
      </w:r>
      <w:r>
        <w:rPr>
          <w:rFonts w:hint="eastAsia" w:ascii="宋体" w:hAnsi="宋体" w:eastAsia="宋体" w:cs="宋体"/>
          <w:b/>
          <w:bCs/>
          <w:color w:val="000000"/>
          <w:kern w:val="0"/>
          <w:sz w:val="28"/>
          <w:szCs w:val="28"/>
          <w:lang w:val="en-US" w:eastAsia="zh-CN" w:bidi="ar"/>
        </w:rPr>
        <w:t xml:space="preserve"> </w:t>
      </w:r>
    </w:p>
    <w:p>
      <w:pPr>
        <w:pageBreakBefore w:val="0"/>
        <w:kinsoku/>
        <w:wordWrap/>
        <w:overflowPunct/>
        <w:topLinePunct w:val="0"/>
        <w:autoSpaceDE/>
        <w:autoSpaceDN/>
        <w:bidi w:val="0"/>
        <w:spacing w:line="360" w:lineRule="auto"/>
        <w:ind w:firstLine="420" w:firstLineChars="0"/>
        <w:jc w:val="left"/>
        <w:rPr>
          <w:rFonts w:hint="eastAsia" w:ascii="宋体" w:hAnsi="宋体" w:eastAsia="宋体" w:cs="宋体"/>
          <w:b w:val="0"/>
          <w:bCs w:val="0"/>
          <w:color w:val="auto"/>
          <w:sz w:val="24"/>
          <w:szCs w:val="32"/>
          <w:u w:val="none"/>
          <w:lang w:val="en-US" w:eastAsia="zh-CN"/>
        </w:rPr>
      </w:pPr>
      <w:r>
        <w:rPr>
          <w:rFonts w:hint="eastAsia" w:ascii="宋体" w:hAnsi="宋体" w:eastAsia="宋体" w:cs="宋体"/>
          <w:b w:val="0"/>
          <w:bCs w:val="0"/>
          <w:color w:val="auto"/>
          <w:sz w:val="24"/>
          <w:szCs w:val="32"/>
          <w:u w:val="none"/>
          <w:lang w:val="en-US" w:eastAsia="zh-CN"/>
        </w:rPr>
        <w:t>规划范围分为行政村村域与重点规划范围两个层级。</w:t>
      </w:r>
    </w:p>
    <w:p>
      <w:pPr>
        <w:pageBreakBefore w:val="0"/>
        <w:kinsoku/>
        <w:wordWrap/>
        <w:overflowPunct/>
        <w:topLinePunct w:val="0"/>
        <w:autoSpaceDE/>
        <w:autoSpaceDN/>
        <w:bidi w:val="0"/>
        <w:spacing w:line="360" w:lineRule="auto"/>
        <w:ind w:firstLine="420" w:firstLineChars="0"/>
        <w:jc w:val="left"/>
        <w:rPr>
          <w:rFonts w:hint="eastAsia" w:ascii="宋体" w:hAnsi="宋体" w:eastAsia="宋体" w:cs="宋体"/>
          <w:b w:val="0"/>
          <w:bCs w:val="0"/>
          <w:color w:val="auto"/>
          <w:sz w:val="24"/>
          <w:szCs w:val="32"/>
          <w:u w:val="none"/>
          <w:lang w:val="en-US" w:eastAsia="zh-CN"/>
        </w:rPr>
      </w:pPr>
      <w:r>
        <w:rPr>
          <w:rFonts w:hint="eastAsia" w:ascii="宋体" w:hAnsi="宋体" w:eastAsia="宋体" w:cs="宋体"/>
          <w:b w:val="0"/>
          <w:bCs w:val="0"/>
          <w:color w:val="auto"/>
          <w:sz w:val="24"/>
          <w:szCs w:val="32"/>
          <w:u w:val="none"/>
          <w:lang w:val="en-US" w:eastAsia="zh-CN"/>
        </w:rPr>
        <w:t>行政村域层级：河洞村行政村村域范围。</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u w:val="none"/>
          <w:lang w:val="en-US" w:eastAsia="zh-CN"/>
        </w:rPr>
      </w:pPr>
      <w:r>
        <w:rPr>
          <w:rFonts w:hint="eastAsia" w:ascii="宋体" w:hAnsi="宋体" w:eastAsia="宋体" w:cs="宋体"/>
          <w:b w:val="0"/>
          <w:bCs w:val="0"/>
          <w:color w:val="auto"/>
          <w:sz w:val="24"/>
          <w:szCs w:val="32"/>
          <w:u w:val="none"/>
          <w:lang w:val="en-US" w:eastAsia="zh-CN"/>
        </w:rPr>
        <w:t>重点规划范围：凤塱围古村落及村庄周边自然环境，范围面积为27.60公顷。</w:t>
      </w:r>
    </w:p>
    <w:p>
      <w:pPr>
        <w:keepNext w:val="0"/>
        <w:keepLines w:val="0"/>
        <w:widowControl/>
        <w:suppressLineNumbers w:val="0"/>
        <w:jc w:val="left"/>
        <w:rPr>
          <w:rFonts w:hint="eastAsia" w:ascii="宋体" w:hAnsi="宋体" w:eastAsia="宋体" w:cs="宋体"/>
        </w:rPr>
      </w:pPr>
      <w:r>
        <w:rPr>
          <w:rFonts w:hint="eastAsia" w:asciiTheme="minorHAnsi" w:hAnsiTheme="minorHAnsi" w:eastAsiaTheme="minorEastAsia" w:cstheme="minorBidi"/>
          <w:b/>
          <w:bCs/>
          <w:kern w:val="2"/>
          <w:sz w:val="28"/>
          <w:szCs w:val="28"/>
          <w:lang w:val="en-US" w:eastAsia="zh-CN" w:bidi="ar-SA"/>
        </w:rPr>
        <w:t>（三）规划期限</w:t>
      </w:r>
      <w:r>
        <w:rPr>
          <w:rFonts w:hint="eastAsia" w:ascii="宋体" w:hAnsi="宋体" w:eastAsia="宋体" w:cs="宋体"/>
          <w:b/>
          <w:bCs/>
          <w:color w:val="000000"/>
          <w:kern w:val="0"/>
          <w:sz w:val="28"/>
          <w:szCs w:val="28"/>
          <w:lang w:val="en-US" w:eastAsia="zh-CN" w:bidi="ar"/>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宋体" w:hAnsi="宋体" w:eastAsia="宋体" w:cs="宋体"/>
          <w:b w:val="0"/>
          <w:bCs w:val="0"/>
          <w:color w:val="auto"/>
          <w:sz w:val="24"/>
          <w:szCs w:val="24"/>
          <w:u w:val="none"/>
          <w:lang w:val="en-US" w:eastAsia="zh-CN"/>
        </w:rPr>
        <w:t>规划期限</w:t>
      </w:r>
      <w:r>
        <w:rPr>
          <w:rFonts w:hint="eastAsia" w:ascii="宋体" w:hAnsi="宋体" w:eastAsia="宋体" w:cs="宋体"/>
          <w:b w:val="0"/>
          <w:bCs w:val="0"/>
          <w:color w:val="auto"/>
          <w:kern w:val="2"/>
          <w:sz w:val="24"/>
          <w:szCs w:val="32"/>
          <w:u w:val="none"/>
          <w:lang w:val="en-US" w:eastAsia="zh-CN" w:bidi="ar-SA"/>
        </w:rPr>
        <w:t>为2021-2035年。其中，近期规划至2025年，远期规划至2035年。</w:t>
      </w:r>
    </w:p>
    <w:p>
      <w:pPr>
        <w:keepNext w:val="0"/>
        <w:keepLines w:val="0"/>
        <w:widowControl/>
        <w:suppressLineNumbers w:val="0"/>
        <w:jc w:val="left"/>
        <w:rPr>
          <w:rFonts w:hint="eastAsia" w:ascii="宋体" w:hAnsi="宋体" w:eastAsia="宋体" w:cs="宋体"/>
        </w:rPr>
      </w:pPr>
      <w:r>
        <w:rPr>
          <w:rFonts w:hint="eastAsia" w:asciiTheme="minorHAnsi" w:hAnsiTheme="minorHAnsi" w:eastAsiaTheme="minorEastAsia" w:cstheme="minorBidi"/>
          <w:b/>
          <w:bCs/>
          <w:kern w:val="2"/>
          <w:sz w:val="28"/>
          <w:szCs w:val="28"/>
          <w:lang w:val="en-US" w:eastAsia="zh-CN" w:bidi="ar-SA"/>
        </w:rPr>
        <w:t>（四）保护目标</w:t>
      </w:r>
      <w:r>
        <w:rPr>
          <w:rFonts w:hint="eastAsia" w:ascii="宋体" w:hAnsi="宋体" w:eastAsia="宋体" w:cs="宋体"/>
          <w:b/>
          <w:bCs/>
          <w:color w:val="000000"/>
          <w:kern w:val="0"/>
          <w:sz w:val="28"/>
          <w:szCs w:val="28"/>
          <w:lang w:val="en-US" w:eastAsia="zh-CN" w:bidi="ar"/>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宋体" w:hAnsi="宋体" w:eastAsia="宋体" w:cs="宋体"/>
          <w:b w:val="0"/>
          <w:bCs w:val="0"/>
          <w:color w:val="auto"/>
          <w:sz w:val="24"/>
          <w:szCs w:val="32"/>
          <w:lang w:val="en-US" w:eastAsia="zh-CN"/>
        </w:rPr>
        <w:t>整体保护村域内山水格局、古村落、文物保护单位、一般不可移动文物、历史建筑、传统风貌建筑、历史环境要素及非物质文化遗产；保护凤塱村的传统建（构）筑物、历史遗迹、村落格局以及自然环境，展现古村落传统风貌，弘扬传统文化精粹。同时，通过环境综合整治以及基础设施建设，实现历史文化保护与美丽乡村建设的协调发展。</w:t>
      </w:r>
      <w:r>
        <w:rPr>
          <w:rFonts w:hint="eastAsia"/>
          <w:lang w:val="en-US" w:eastAsia="zh-CN"/>
        </w:rPr>
        <w:t xml:space="preserve"> </w:t>
      </w:r>
    </w:p>
    <w:p>
      <w:pPr>
        <w:pStyle w:val="2"/>
        <w:numPr>
          <w:ilvl w:val="0"/>
          <w:numId w:val="1"/>
        </w:numPr>
        <w:ind w:left="0" w:leftChars="0" w:firstLine="0" w:firstLineChars="0"/>
        <w:rPr>
          <w:rFonts w:hint="eastAsia" w:ascii="宋体" w:hAnsi="宋体" w:eastAsia="宋体" w:cs="宋体"/>
          <w:b/>
          <w:bCs/>
          <w:color w:val="auto"/>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numPr>
          <w:ilvl w:val="0"/>
          <w:numId w:val="1"/>
        </w:numPr>
        <w:ind w:left="0" w:leftChars="0" w:firstLine="0" w:firstLineChars="0"/>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eastAsia="zh-CN"/>
        </w:rPr>
        <w:t>历史文化价值、特色与保护对象</w:t>
      </w:r>
    </w:p>
    <w:p>
      <w:pPr>
        <w:pStyle w:val="3"/>
        <w:numPr>
          <w:ilvl w:val="0"/>
          <w:numId w:val="0"/>
        </w:numPr>
        <w:rPr>
          <w:rFonts w:hint="eastAsia"/>
          <w:b/>
          <w:bCs/>
          <w:sz w:val="28"/>
          <w:szCs w:val="28"/>
          <w:lang w:val="en-US" w:eastAsia="zh-CN"/>
        </w:rPr>
      </w:pPr>
      <w:r>
        <w:rPr>
          <w:rFonts w:hint="eastAsia"/>
          <w:b/>
          <w:bCs/>
          <w:sz w:val="28"/>
          <w:szCs w:val="28"/>
          <w:lang w:val="en-US" w:eastAsia="zh-CN"/>
        </w:rPr>
        <w:t>（一）历史文化价值</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1.广东保存最好最完整的清康熙年间的古建筑群之一，广府边缘典型的宗族古村落。</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2.黄家大院氏族围屋，熟浆墙围合、双炮楼相护，是广府村落防御建筑的杰出代表。</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3.解放战争革命老区村，红色文化传承地。</w:t>
      </w:r>
    </w:p>
    <w:p>
      <w:pPr>
        <w:pStyle w:val="3"/>
        <w:numPr>
          <w:ilvl w:val="0"/>
          <w:numId w:val="0"/>
        </w:numPr>
        <w:rPr>
          <w:rFonts w:hint="eastAsia"/>
          <w:b/>
          <w:bCs/>
          <w:sz w:val="28"/>
          <w:szCs w:val="28"/>
          <w:lang w:val="en-US" w:eastAsia="zh-CN"/>
        </w:rPr>
      </w:pPr>
      <w:bookmarkStart w:id="0" w:name="_Toc25605"/>
      <w:r>
        <w:rPr>
          <w:rFonts w:hint="eastAsia"/>
          <w:b/>
          <w:bCs/>
          <w:sz w:val="28"/>
          <w:szCs w:val="28"/>
          <w:lang w:val="en-US" w:eastAsia="zh-CN"/>
        </w:rPr>
        <w:t>（二）历史文化特色</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1.山林环绕、水润田园的山水格局。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2.依山傍水、天人合一的村落选址特色。</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3.九巷十八进的街巷格局。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4.三间两廊一天井的木副楼两层建筑的广东传统民居建筑特色。</w:t>
      </w:r>
    </w:p>
    <w:p>
      <w:pPr>
        <w:keepNext w:val="0"/>
        <w:keepLines w:val="0"/>
        <w:widowControl/>
        <w:suppressLineNumbers w:val="0"/>
        <w:jc w:val="left"/>
        <w:rPr>
          <w:rFonts w:hint="eastAsia" w:ascii="宋体" w:hAnsi="宋体" w:eastAsia="宋体" w:cs="宋体"/>
        </w:rPr>
      </w:pPr>
      <w:bookmarkStart w:id="1" w:name="_Toc16250"/>
      <w:r>
        <w:rPr>
          <w:rFonts w:hint="eastAsia" w:asciiTheme="minorHAnsi" w:hAnsiTheme="minorHAnsi" w:eastAsiaTheme="minorEastAsia" w:cstheme="minorBidi"/>
          <w:b/>
          <w:bCs/>
          <w:kern w:val="2"/>
          <w:sz w:val="28"/>
          <w:szCs w:val="28"/>
          <w:lang w:val="en-US" w:eastAsia="zh-CN" w:bidi="ar-SA"/>
        </w:rPr>
        <w:t>（三）保护要素</w:t>
      </w:r>
      <w:bookmarkEnd w:id="1"/>
      <w:r>
        <w:rPr>
          <w:rFonts w:hint="eastAsia" w:ascii="宋体" w:hAnsi="宋体" w:eastAsia="宋体" w:cs="宋体"/>
          <w:b/>
          <w:bCs/>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构建将历史文化遗产保护放在首位，保护要素齐全、分类科学、‌保护有力、‌管理有效的历史文化保护传承体系。历史文化保护要素包括村域山水格局、历史文化名村、不可移动文物、历史建筑、传统风貌建筑、历史环境要素、非物质文化遗产。</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1.村域山水格局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color w:val="auto"/>
          <w:sz w:val="24"/>
          <w:szCs w:val="24"/>
          <w:u w:val="none"/>
          <w:lang w:val="en-US" w:eastAsia="zh-CN"/>
        </w:rPr>
        <w:t>保护村域范围内的山、水、林、田、村构成的整体空间格局</w:t>
      </w:r>
      <w:r>
        <w:rPr>
          <w:rFonts w:hint="eastAsia" w:ascii="宋体" w:hAnsi="宋体" w:eastAsia="宋体" w:cs="宋体"/>
          <w:b w:val="0"/>
          <w:bCs w:val="0"/>
          <w:color w:val="auto"/>
          <w:sz w:val="24"/>
          <w:szCs w:val="24"/>
          <w:u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2.历史文化名村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color w:val="auto"/>
          <w:sz w:val="24"/>
          <w:szCs w:val="24"/>
          <w:u w:val="none"/>
          <w:lang w:val="en-US" w:eastAsia="zh-CN"/>
        </w:rPr>
        <w:t>保护历史文化名村凤塱村的“天圆地方”村落形态，“</w:t>
      </w:r>
      <w:r>
        <w:rPr>
          <w:rFonts w:hint="eastAsia" w:ascii="宋体" w:hAnsi="宋体" w:eastAsia="宋体" w:cs="宋体"/>
          <w:b w:val="0"/>
          <w:bCs w:val="0"/>
          <w:color w:val="auto"/>
          <w:sz w:val="24"/>
          <w:szCs w:val="32"/>
          <w:lang w:val="en-US" w:eastAsia="zh-CN"/>
        </w:rPr>
        <w:t>农田—水塘—村庄聚落—农田</w:t>
      </w:r>
      <w:r>
        <w:rPr>
          <w:rFonts w:hint="eastAsia" w:ascii="宋体" w:hAnsi="宋体" w:eastAsia="宋体" w:cs="宋体"/>
          <w:color w:val="auto"/>
          <w:sz w:val="24"/>
          <w:szCs w:val="24"/>
          <w:u w:val="none"/>
          <w:lang w:val="en-US" w:eastAsia="zh-CN"/>
        </w:rPr>
        <w:t>”和谐统一的空间格局及重要景观视廊；“梳式”“三间两廊一天井”的建筑平面布局，保护前低后高、错落有致的传统建筑格局；保护围屋“九巷十八进”的街巷空间格局，15条传统巷道</w:t>
      </w:r>
      <w:r>
        <w:rPr>
          <w:rFonts w:hint="eastAsia" w:ascii="宋体" w:hAnsi="宋体" w:eastAsia="宋体" w:cs="宋体"/>
          <w:b w:val="0"/>
          <w:bCs w:val="0"/>
          <w:color w:val="auto"/>
          <w:sz w:val="24"/>
          <w:szCs w:val="24"/>
          <w:u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3.不可移动文物</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u w:val="none"/>
          <w:lang w:eastAsia="zh-CN"/>
        </w:rPr>
      </w:pPr>
      <w:r>
        <w:rPr>
          <w:rFonts w:hint="eastAsia" w:ascii="宋体" w:hAnsi="宋体" w:eastAsia="宋体" w:cs="宋体"/>
          <w:color w:val="auto"/>
          <w:u w:val="none"/>
          <w:lang w:eastAsia="zh-CN"/>
        </w:rPr>
        <w:t>保护</w:t>
      </w:r>
      <w:r>
        <w:rPr>
          <w:rFonts w:hint="eastAsia" w:ascii="宋体" w:hAnsi="宋体" w:eastAsia="宋体" w:cs="宋体"/>
          <w:color w:val="auto"/>
          <w:u w:val="none"/>
          <w:lang w:val="en-US" w:eastAsia="zh-CN"/>
        </w:rPr>
        <w:t>1处文物保护单位，为</w:t>
      </w:r>
      <w:r>
        <w:rPr>
          <w:rFonts w:hint="eastAsia" w:ascii="宋体" w:hAnsi="宋体" w:eastAsia="宋体" w:cs="宋体"/>
          <w:color w:val="auto"/>
          <w:u w:val="none"/>
          <w:lang w:eastAsia="zh-CN"/>
        </w:rPr>
        <w:t>县（区）级文物保护单位——凤塱围古村落（民居）</w:t>
      </w:r>
      <w:r>
        <w:rPr>
          <w:rFonts w:hint="eastAsia" w:ascii="宋体" w:hAnsi="宋体" w:eastAsia="宋体" w:cs="宋体"/>
          <w:b w:val="0"/>
          <w:bCs w:val="0"/>
          <w:color w:val="auto"/>
          <w:sz w:val="24"/>
          <w:szCs w:val="24"/>
          <w:u w:val="none"/>
          <w:lang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u w:val="none"/>
          <w:lang w:eastAsia="zh-CN"/>
        </w:rPr>
        <w:t>保护村域的</w:t>
      </w:r>
      <w:r>
        <w:rPr>
          <w:rFonts w:hint="eastAsia" w:ascii="宋体" w:hAnsi="宋体" w:eastAsia="宋体" w:cs="宋体"/>
          <w:color w:val="auto"/>
          <w:u w:val="none"/>
          <w:lang w:val="en-US" w:eastAsia="zh-CN"/>
        </w:rPr>
        <w:t>2处一般不可移动文物，为龄瑞张公祠、泰階张公祠</w:t>
      </w:r>
      <w:r>
        <w:rPr>
          <w:rFonts w:hint="eastAsia" w:ascii="宋体" w:hAnsi="宋体" w:eastAsia="宋体" w:cs="宋体"/>
          <w:b w:val="0"/>
          <w:bCs w:val="0"/>
          <w:color w:val="auto"/>
          <w:sz w:val="24"/>
          <w:szCs w:val="24"/>
          <w:u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4.历史建筑</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color w:val="auto"/>
          <w:u w:val="none"/>
          <w:lang w:eastAsia="zh-CN"/>
        </w:rPr>
        <w:t>推荐</w:t>
      </w:r>
      <w:r>
        <w:rPr>
          <w:rFonts w:hint="eastAsia" w:ascii="宋体" w:hAnsi="宋体" w:eastAsia="宋体" w:cs="宋体"/>
          <w:color w:val="auto"/>
          <w:u w:val="none"/>
          <w:lang w:val="en-US" w:eastAsia="zh-CN"/>
        </w:rPr>
        <w:t>1处</w:t>
      </w:r>
      <w:r>
        <w:rPr>
          <w:rFonts w:hint="eastAsia" w:ascii="宋体" w:hAnsi="宋体" w:eastAsia="宋体" w:cs="宋体"/>
          <w:color w:val="auto"/>
          <w:u w:val="none"/>
          <w:lang w:eastAsia="zh-CN"/>
        </w:rPr>
        <w:t>历史建筑，为人民公社大饭堂</w:t>
      </w:r>
      <w:r>
        <w:rPr>
          <w:rFonts w:hint="eastAsia" w:ascii="宋体" w:hAnsi="宋体" w:eastAsia="宋体" w:cs="宋体"/>
          <w:b w:val="0"/>
          <w:bCs w:val="0"/>
          <w:color w:val="auto"/>
          <w:sz w:val="24"/>
          <w:szCs w:val="24"/>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5.传统风貌建筑</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color w:val="auto"/>
          <w:lang w:eastAsia="zh-CN"/>
        </w:rPr>
        <w:t>推荐</w:t>
      </w:r>
      <w:r>
        <w:rPr>
          <w:rFonts w:hint="eastAsia" w:ascii="宋体" w:hAnsi="宋体" w:eastAsia="宋体" w:cs="宋体"/>
          <w:color w:val="auto"/>
          <w:lang w:val="en-US" w:eastAsia="zh-CN"/>
        </w:rPr>
        <w:t>40处传统风貌建筑</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val="en-US" w:eastAsia="zh-CN"/>
        </w:rPr>
        <w:t>6.历史环境要素</w:t>
      </w:r>
      <w:r>
        <w:rPr>
          <w:rFonts w:hint="eastAsia" w:ascii="宋体" w:hAnsi="宋体" w:eastAsia="宋体" w:cs="宋体"/>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保护3株古树名木，保护村落风水塘、围墙、石阶、铺地等历史环境要素</w:t>
      </w:r>
      <w:r>
        <w:rPr>
          <w:rFonts w:hint="eastAsia" w:ascii="宋体" w:hAnsi="宋体" w:eastAsia="宋体" w:cs="宋体"/>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val="en-US" w:eastAsia="zh-CN"/>
        </w:rPr>
        <w:t>7.非物质文化遗产</w:t>
      </w:r>
      <w:r>
        <w:rPr>
          <w:rFonts w:hint="eastAsia" w:ascii="宋体" w:hAnsi="宋体" w:eastAsia="宋体" w:cs="宋体"/>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保护和弘扬正月里舞貔貅、禾楼歌、腊味制作技艺3项</w:t>
      </w:r>
      <w:r>
        <w:rPr>
          <w:rFonts w:hint="eastAsia" w:ascii="宋体" w:hAnsi="宋体" w:eastAsia="宋体" w:cs="宋体"/>
          <w:color w:val="auto"/>
          <w:sz w:val="24"/>
          <w:szCs w:val="32"/>
          <w:lang w:val="en-US" w:eastAsia="zh-CN"/>
        </w:rPr>
        <w:t>优秀传统文化，保护</w:t>
      </w:r>
      <w:r>
        <w:rPr>
          <w:rFonts w:hint="eastAsia" w:ascii="宋体" w:hAnsi="宋体" w:eastAsia="宋体" w:cs="宋体"/>
          <w:color w:val="auto"/>
          <w:sz w:val="24"/>
          <w:szCs w:val="24"/>
          <w:lang w:val="en-US" w:eastAsia="zh-CN"/>
        </w:rPr>
        <w:t>村落的宗族传统文化及民俗文化，</w:t>
      </w:r>
      <w:r>
        <w:rPr>
          <w:rFonts w:hint="eastAsia" w:ascii="宋体" w:hAnsi="宋体" w:eastAsia="宋体" w:cs="宋体"/>
          <w:strike w:val="0"/>
          <w:dstrike w:val="0"/>
          <w:color w:val="auto"/>
          <w:sz w:val="24"/>
          <w:szCs w:val="24"/>
          <w:lang w:val="en-US" w:eastAsia="zh-CN"/>
        </w:rPr>
        <w:t>深入挖掘红色文化，积极申报非物质文化遗产</w:t>
      </w:r>
      <w:r>
        <w:rPr>
          <w:rFonts w:hint="eastAsia" w:ascii="宋体" w:hAnsi="宋体" w:eastAsia="宋体" w:cs="宋体"/>
          <w:b w:val="0"/>
          <w:bCs w:val="0"/>
          <w:color w:val="auto"/>
          <w:sz w:val="24"/>
          <w:szCs w:val="24"/>
          <w:lang w:val="en-US" w:eastAsia="zh-CN"/>
        </w:rPr>
        <w:t xml:space="preserve">。 </w:t>
      </w:r>
    </w:p>
    <w:p>
      <w:pPr>
        <w:pStyle w:val="2"/>
        <w:numPr>
          <w:ilvl w:val="0"/>
          <w:numId w:val="1"/>
        </w:numPr>
        <w:ind w:left="0" w:leftChars="0" w:firstLine="0" w:firstLineChars="0"/>
        <w:rPr>
          <w:rFonts w:hint="eastAsia" w:ascii="宋体" w:hAnsi="宋体" w:eastAsia="宋体" w:cs="宋体"/>
          <w:b/>
          <w:bCs/>
          <w:color w:val="auto"/>
          <w:sz w:val="32"/>
          <w:szCs w:val="32"/>
          <w:lang w:val="en-US" w:eastAsia="zh-CN"/>
        </w:rPr>
      </w:pPr>
      <w:bookmarkStart w:id="2" w:name="_Toc17084"/>
      <w:r>
        <w:rPr>
          <w:rFonts w:hint="eastAsia" w:ascii="宋体" w:hAnsi="宋体" w:eastAsia="宋体" w:cs="宋体"/>
          <w:b/>
          <w:bCs/>
          <w:color w:val="auto"/>
          <w:sz w:val="32"/>
          <w:szCs w:val="32"/>
          <w:lang w:eastAsia="zh-CN"/>
        </w:rPr>
        <w:t>村域的总体保护</w:t>
      </w:r>
    </w:p>
    <w:bookmarkEnd w:id="2"/>
    <w:p>
      <w:pPr>
        <w:pStyle w:val="3"/>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规划形成“一核、一轴、两片区、多节点”的保护结构。</w:t>
      </w:r>
    </w:p>
    <w:p>
      <w:pPr>
        <w:pStyle w:val="3"/>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“一核”：以历史文化名村凤塱村为保护核心，严格保护历史文化名村的形态格局、历史风貌，对凤塱村周边建筑进行整治，修缮凤塱村巷道铺装、古建筑、完善配套设施及环境设计。</w:t>
      </w:r>
    </w:p>
    <w:p>
      <w:pPr>
        <w:pStyle w:val="3"/>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“一轴”：沿着村域内乡道218线，串联村域内各特色居民点，打造人文景观发展轴。</w:t>
      </w:r>
    </w:p>
    <w:p>
      <w:pPr>
        <w:pStyle w:val="3"/>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“两片区”：以</w:t>
      </w:r>
      <w:r>
        <w:rPr>
          <w:rFonts w:hint="eastAsia"/>
          <w:color w:val="auto"/>
          <w:lang w:val="en-US" w:eastAsia="zh-CN"/>
        </w:rPr>
        <w:t>传统村落集中区形成的古村文化特色片区和村域南侧山林组成的丘陵生态特色片区</w:t>
      </w:r>
      <w:r>
        <w:rPr>
          <w:rFonts w:hint="eastAsia" w:ascii="宋体" w:hAnsi="宋体" w:eastAsia="宋体" w:cs="宋体"/>
          <w:b w:val="0"/>
          <w:bCs w:val="0"/>
          <w:color w:val="auto"/>
          <w:sz w:val="24"/>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rPr>
      </w:pPr>
      <w:r>
        <w:rPr>
          <w:rFonts w:hint="eastAsia" w:ascii="宋体" w:hAnsi="宋体" w:eastAsia="宋体" w:cs="宋体"/>
          <w:b w:val="0"/>
          <w:bCs w:val="0"/>
          <w:color w:val="auto"/>
          <w:sz w:val="24"/>
          <w:szCs w:val="32"/>
          <w:lang w:val="en-US" w:eastAsia="zh-CN"/>
        </w:rPr>
        <w:t>“多节点”：凤塱围古村落（民居）、龄瑞张公祠、泰階张公祠等重要保护节点。</w:t>
      </w:r>
      <w:r>
        <w:rPr>
          <w:rFonts w:hint="eastAsia" w:ascii="宋体" w:hAnsi="宋体" w:eastAsia="宋体" w:cs="宋体"/>
          <w:color w:val="000000"/>
          <w:kern w:val="0"/>
          <w:sz w:val="24"/>
          <w:szCs w:val="24"/>
          <w:lang w:val="en-US" w:eastAsia="zh-CN" w:bidi="ar"/>
        </w:rPr>
        <w:t xml:space="preserve"> </w:t>
      </w:r>
    </w:p>
    <w:p>
      <w:pPr>
        <w:pStyle w:val="2"/>
        <w:numPr>
          <w:ilvl w:val="0"/>
          <w:numId w:val="1"/>
        </w:numPr>
        <w:ind w:left="0" w:leftChars="0" w:firstLine="0" w:firstLineChars="0"/>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 xml:space="preserve">名村保护范围的保护 </w:t>
      </w:r>
    </w:p>
    <w:p>
      <w:pPr>
        <w:pStyle w:val="3"/>
        <w:numPr>
          <w:ilvl w:val="0"/>
          <w:numId w:val="0"/>
        </w:numPr>
        <w:rPr>
          <w:rFonts w:hint="eastAsia" w:ascii="宋体" w:hAnsi="宋体" w:eastAsia="宋体" w:cs="宋体"/>
          <w:color w:val="000000"/>
          <w:kern w:val="0"/>
          <w:sz w:val="24"/>
          <w:szCs w:val="24"/>
          <w:lang w:val="en-US" w:eastAsia="zh-CN" w:bidi="ar"/>
        </w:rPr>
      </w:pPr>
      <w:r>
        <w:rPr>
          <w:rFonts w:hint="eastAsia" w:asciiTheme="minorHAnsi" w:hAnsiTheme="minorHAnsi" w:eastAsiaTheme="minorEastAsia" w:cstheme="minorBidi"/>
          <w:b/>
          <w:bCs/>
          <w:kern w:val="2"/>
          <w:sz w:val="28"/>
          <w:szCs w:val="28"/>
          <w:lang w:val="en-US" w:eastAsia="zh-CN" w:bidi="ar-SA"/>
        </w:rPr>
        <w:t>（一）保护范围划定</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 xml:space="preserve">规划划定凤塱村保护范围面积9.79公顷，其中，规划划定核心保护范围面积3.85公顷，建设控制地带面积5.94公顷。规划划定凤塱村环境协调区面积17.81公顷。 </w:t>
      </w:r>
    </w:p>
    <w:p>
      <w:pPr>
        <w:pStyle w:val="3"/>
        <w:numPr>
          <w:ilvl w:val="0"/>
          <w:numId w:val="0"/>
        </w:numPr>
        <w:rPr>
          <w:rFonts w:hint="eastAsia"/>
          <w:b/>
          <w:bCs/>
          <w:sz w:val="28"/>
          <w:szCs w:val="28"/>
          <w:lang w:val="en-US" w:eastAsia="zh-CN"/>
        </w:rPr>
      </w:pPr>
      <w:r>
        <w:rPr>
          <w:rFonts w:hint="eastAsia"/>
          <w:b/>
          <w:bCs/>
          <w:sz w:val="28"/>
          <w:szCs w:val="28"/>
          <w:lang w:val="en-US" w:eastAsia="zh-CN"/>
        </w:rPr>
        <w:t>（二）保护控制要求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1.核心保护范围保护控制要求</w:t>
      </w:r>
    </w:p>
    <w:p>
      <w:pPr>
        <w:keepNext w:val="0"/>
        <w:keepLines w:val="0"/>
        <w:pageBreakBefore w:val="0"/>
        <w:numPr>
          <w:ilvl w:val="0"/>
          <w:numId w:val="0"/>
        </w:numPr>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（1）核心保护范围内的建筑物、构筑物，应当区分不同情况，采取相应措施，实行分类保护。</w:t>
      </w:r>
    </w:p>
    <w:p>
      <w:pPr>
        <w:keepNext w:val="0"/>
        <w:keepLines w:val="0"/>
        <w:pageBreakBefore w:val="0"/>
        <w:numPr>
          <w:ilvl w:val="0"/>
          <w:numId w:val="0"/>
        </w:numPr>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（2）核心保护范围内的文物保护单位、历史建筑、传统风貌建筑，应当保持原有的高度、体量、外观形象及色彩等，新建建筑高度控制在10米以内。</w:t>
      </w:r>
    </w:p>
    <w:p>
      <w:pPr>
        <w:keepNext w:val="0"/>
        <w:keepLines w:val="0"/>
        <w:pageBreakBefore w:val="0"/>
        <w:numPr>
          <w:ilvl w:val="0"/>
          <w:numId w:val="0"/>
        </w:numPr>
        <w:kinsoku/>
        <w:wordWrap/>
        <w:overflowPunct/>
        <w:topLinePunct w:val="0"/>
        <w:autoSpaceDE/>
        <w:autoSpaceDN/>
        <w:bidi w:val="0"/>
        <w:spacing w:line="360" w:lineRule="auto"/>
        <w:ind w:firstLine="480" w:firstLineChars="200"/>
        <w:outlineLvl w:val="9"/>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（3）在</w:t>
      </w:r>
      <w:r>
        <w:rPr>
          <w:rFonts w:hint="default" w:ascii="宋体" w:hAnsi="宋体" w:eastAsia="宋体" w:cs="宋体"/>
          <w:color w:val="auto"/>
          <w:sz w:val="24"/>
          <w:szCs w:val="24"/>
          <w:u w:val="none"/>
          <w:lang w:val="en-US" w:eastAsia="zh-CN"/>
        </w:rPr>
        <w:t>名村核心保护范围内，不得进行新建、扩建活动。但是，新建、扩建必要的基础设施和公共服务设施除外。</w:t>
      </w:r>
    </w:p>
    <w:p>
      <w:pPr>
        <w:keepNext w:val="0"/>
        <w:keepLines w:val="0"/>
        <w:pageBreakBefore w:val="0"/>
        <w:numPr>
          <w:ilvl w:val="0"/>
          <w:numId w:val="0"/>
        </w:numPr>
        <w:kinsoku/>
        <w:wordWrap/>
        <w:overflowPunct/>
        <w:topLinePunct w:val="0"/>
        <w:autoSpaceDE/>
        <w:autoSpaceDN/>
        <w:bidi w:val="0"/>
        <w:spacing w:line="360" w:lineRule="auto"/>
        <w:ind w:firstLine="480" w:firstLineChars="200"/>
        <w:outlineLvl w:val="9"/>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（4）在</w:t>
      </w:r>
      <w:r>
        <w:rPr>
          <w:rFonts w:hint="default" w:ascii="宋体" w:hAnsi="宋体" w:eastAsia="宋体" w:cs="宋体"/>
          <w:color w:val="auto"/>
          <w:sz w:val="24"/>
          <w:szCs w:val="24"/>
          <w:u w:val="none"/>
          <w:lang w:val="en-US" w:eastAsia="zh-CN"/>
        </w:rPr>
        <w:t>名村核心保护范围内，新建、扩建必要的基础设施和公共服务设施的，城市、县人民政府自然资源主管部门核发建设工程规划许可证、乡村建设规划许可证前，应当征求同级文物主管部门的意见。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（5）</w:t>
      </w:r>
      <w:r>
        <w:rPr>
          <w:rFonts w:hint="default" w:ascii="宋体" w:hAnsi="宋体" w:eastAsia="宋体" w:cs="宋体"/>
          <w:color w:val="auto"/>
          <w:sz w:val="24"/>
          <w:szCs w:val="24"/>
          <w:u w:val="none"/>
          <w:lang w:val="en-US" w:eastAsia="zh-CN"/>
        </w:rPr>
        <w:t>在名村核心保护范围内，拆除历史建筑以外的建筑物、构筑物或者其他设施的，应当经城市、县人民政府</w:t>
      </w:r>
      <w:r>
        <w:rPr>
          <w:rFonts w:hint="eastAsia" w:ascii="宋体" w:hAnsi="宋体" w:eastAsia="宋体" w:cs="宋体"/>
          <w:color w:val="auto"/>
          <w:sz w:val="24"/>
          <w:szCs w:val="24"/>
          <w:u w:val="none"/>
          <w:lang w:val="en-US" w:eastAsia="zh-CN"/>
        </w:rPr>
        <w:t>住房和城乡建设</w:t>
      </w:r>
      <w:r>
        <w:rPr>
          <w:rFonts w:hint="default" w:ascii="宋体" w:hAnsi="宋体" w:eastAsia="宋体" w:cs="宋体"/>
          <w:color w:val="auto"/>
          <w:sz w:val="24"/>
          <w:szCs w:val="24"/>
          <w:u w:val="none"/>
          <w:lang w:val="en-US" w:eastAsia="zh-CN"/>
        </w:rPr>
        <w:t>主管部门会同同级文物主管部门批准。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2.建设控制地带保护控制要求</w:t>
      </w:r>
    </w:p>
    <w:p>
      <w:pPr>
        <w:keepNext w:val="0"/>
        <w:keepLines w:val="0"/>
        <w:pageBreakBefore w:val="0"/>
        <w:numPr>
          <w:ilvl w:val="0"/>
          <w:numId w:val="0"/>
        </w:numPr>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（1）名村建设控制地带内的新建建筑物、构筑物，应当符合保护规划确定的建设控制要求。</w:t>
      </w:r>
    </w:p>
    <w:p>
      <w:pPr>
        <w:keepNext w:val="0"/>
        <w:keepLines w:val="0"/>
        <w:pageBreakBefore w:val="0"/>
        <w:numPr>
          <w:ilvl w:val="0"/>
          <w:numId w:val="0"/>
        </w:numPr>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（2）控制该范围内的外部环境和原有历史景观环境要素，保持原有空间形式和建筑格局，防止新的开发建设活动向核心保护范围侵蚀，完善公共设施和景观环境。</w:t>
      </w:r>
    </w:p>
    <w:p>
      <w:pPr>
        <w:keepNext w:val="0"/>
        <w:keepLines w:val="0"/>
        <w:pageBreakBefore w:val="0"/>
        <w:numPr>
          <w:ilvl w:val="0"/>
          <w:numId w:val="0"/>
        </w:numPr>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（3）建设控制地带范围内的建筑体量、色彩应与凤塱村传统民居相协调，新建建筑高度控制在10米以内，对已建建筑超出高度要求的，不符合传统民居之亲切、宜人尺度者，应逐步进行整治和立面改造。</w:t>
      </w:r>
    </w:p>
    <w:p>
      <w:pPr>
        <w:keepNext w:val="0"/>
        <w:keepLines w:val="0"/>
        <w:pageBreakBefore w:val="0"/>
        <w:numPr>
          <w:ilvl w:val="0"/>
          <w:numId w:val="0"/>
        </w:numPr>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（4）建设控制地带内的非传统建筑风貌的危房、搭建物应拆除；对控制地带内较破败、存在安全隐患的古建筑经申请审批后可以进行拆除并在原址重建，但重建的建筑形式须与原有传统建筑形式保持一致。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（5）保留传统的九巷十八进街巷空间，街巷地面铺装宜恢复卵石、麻石铺面传统特色，建议采用原有或相近的材料铺砌；整理和维护街巷绿化空间。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3.环境协调区保护控制要求</w:t>
      </w:r>
    </w:p>
    <w:p>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eastAsia" w:ascii="宋体" w:hAnsi="宋体" w:eastAsia="宋体" w:cs="宋体"/>
          <w:color w:val="auto"/>
          <w:sz w:val="24"/>
          <w:szCs w:val="32"/>
          <w:u w:val="none"/>
          <w:lang w:val="en-US" w:eastAsia="zh-CN"/>
        </w:rPr>
      </w:pPr>
      <w:r>
        <w:rPr>
          <w:rFonts w:hint="eastAsia" w:ascii="宋体" w:hAnsi="宋体" w:eastAsia="宋体" w:cs="宋体"/>
          <w:color w:val="auto"/>
          <w:sz w:val="24"/>
          <w:szCs w:val="32"/>
          <w:u w:val="none"/>
          <w:lang w:val="en-US" w:eastAsia="zh-CN"/>
        </w:rPr>
        <w:t>（1）严格保护凤塱村的山体、水域、农田景观。</w:t>
      </w:r>
    </w:p>
    <w:p>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eastAsia" w:ascii="宋体" w:hAnsi="宋体" w:eastAsia="宋体" w:cs="宋体"/>
          <w:color w:val="auto"/>
          <w:sz w:val="24"/>
          <w:szCs w:val="32"/>
          <w:u w:val="none"/>
          <w:lang w:val="en-US" w:eastAsia="zh-CN"/>
        </w:rPr>
      </w:pPr>
      <w:r>
        <w:rPr>
          <w:rFonts w:hint="eastAsia" w:ascii="宋体" w:hAnsi="宋体" w:eastAsia="宋体" w:cs="宋体"/>
          <w:color w:val="auto"/>
          <w:sz w:val="24"/>
          <w:szCs w:val="32"/>
          <w:u w:val="none"/>
          <w:lang w:val="en-US" w:eastAsia="zh-CN"/>
        </w:rPr>
        <w:t>（2）严禁进行开山、采石、开矿等破坏传统格局和风貌的活动。</w:t>
      </w:r>
    </w:p>
    <w:p>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eastAsia" w:ascii="宋体" w:hAnsi="宋体" w:eastAsia="宋体" w:cs="宋体"/>
          <w:color w:val="auto"/>
          <w:sz w:val="24"/>
          <w:szCs w:val="32"/>
          <w:u w:val="none"/>
          <w:lang w:val="en-US" w:eastAsia="zh-CN"/>
        </w:rPr>
      </w:pPr>
      <w:r>
        <w:rPr>
          <w:rFonts w:hint="eastAsia" w:ascii="宋体" w:hAnsi="宋体" w:eastAsia="宋体" w:cs="宋体"/>
          <w:color w:val="auto"/>
          <w:sz w:val="24"/>
          <w:szCs w:val="32"/>
          <w:u w:val="none"/>
          <w:lang w:val="en-US" w:eastAsia="zh-CN"/>
        </w:rPr>
        <w:t>（3）严禁占用或破坏保护规划确定保护图的园林陆地、河湖水系、道路等。</w:t>
      </w:r>
    </w:p>
    <w:p>
      <w:pPr>
        <w:pStyle w:val="2"/>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（4）保持原有河道、水塘的自然形态，不得改变，不得填埋；定期治理河道，改善周边环境，防治污染。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（5）不得破坏原有古村落风貌格局及自然水系的肌理，在建筑布局、高度、形式、结构、体量、风格、色彩等方面宜与</w:t>
      </w:r>
      <w:r>
        <w:rPr>
          <w:rFonts w:hint="eastAsia" w:ascii="宋体" w:hAnsi="宋体" w:eastAsia="宋体" w:cs="宋体"/>
          <w:color w:val="auto"/>
          <w:sz w:val="24"/>
          <w:szCs w:val="32"/>
          <w:u w:val="none"/>
          <w:lang w:val="en-US" w:eastAsia="zh-CN"/>
        </w:rPr>
        <w:t>凤塱村</w:t>
      </w:r>
      <w:r>
        <w:rPr>
          <w:rFonts w:hint="eastAsia" w:ascii="宋体" w:hAnsi="宋体" w:eastAsia="宋体" w:cs="宋体"/>
          <w:b w:val="0"/>
          <w:bCs w:val="0"/>
          <w:color w:val="auto"/>
          <w:sz w:val="24"/>
          <w:szCs w:val="24"/>
          <w:u w:val="none"/>
          <w:lang w:val="en-US" w:eastAsia="zh-CN"/>
        </w:rPr>
        <w:t>传统风貌相协调，并保证周边农田、风水塘视线通廊的通畅性。</w:t>
      </w:r>
    </w:p>
    <w:p>
      <w:pPr>
        <w:pStyle w:val="3"/>
        <w:keepNext w:val="0"/>
        <w:keepLines w:val="0"/>
        <w:pageBreakBefore w:val="0"/>
        <w:numPr>
          <w:ilvl w:val="0"/>
          <w:numId w:val="0"/>
        </w:numPr>
        <w:kinsoku/>
        <w:wordWrap/>
        <w:overflowPunct/>
        <w:topLinePunct w:val="0"/>
        <w:autoSpaceDE/>
        <w:autoSpaceDN/>
        <w:bidi w:val="0"/>
        <w:snapToGrid w:val="0"/>
        <w:spacing w:line="360" w:lineRule="auto"/>
        <w:jc w:val="both"/>
        <w:outlineLvl w:val="0"/>
        <w:rPr>
          <w:rFonts w:hint="eastAsia" w:ascii="宋体" w:hAnsi="宋体" w:eastAsia="宋体" w:cs="宋体"/>
          <w:b/>
          <w:bCs/>
          <w:color w:val="auto"/>
          <w:sz w:val="36"/>
          <w:szCs w:val="36"/>
          <w:lang w:val="en-US" w:eastAsia="zh-CN"/>
        </w:rPr>
      </w:pPr>
      <w:bookmarkStart w:id="3" w:name="_Toc26905"/>
      <w:bookmarkStart w:id="4" w:name="_Toc7061"/>
      <w:r>
        <w:rPr>
          <w:rFonts w:hint="eastAsia" w:ascii="宋体" w:hAnsi="宋体" w:eastAsia="宋体" w:cs="宋体"/>
          <w:b/>
          <w:bCs/>
          <w:color w:val="auto"/>
          <w:sz w:val="36"/>
          <w:szCs w:val="36"/>
          <w:lang w:val="en-US" w:eastAsia="zh-CN"/>
        </w:rPr>
        <w:t>附表：</w:t>
      </w:r>
      <w:bookmarkEnd w:id="3"/>
      <w:bookmarkEnd w:id="4"/>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5" w:name="_Toc26137"/>
      <w:bookmarkStart w:id="6" w:name="_Toc21591"/>
      <w:r>
        <w:rPr>
          <w:rFonts w:hint="eastAsia" w:ascii="宋体" w:hAnsi="宋体" w:eastAsia="宋体" w:cs="宋体"/>
          <w:b/>
          <w:bCs/>
          <w:color w:val="auto"/>
          <w:sz w:val="30"/>
          <w:szCs w:val="30"/>
          <w:lang w:val="en-US" w:eastAsia="zh-CN"/>
        </w:rPr>
        <w:t>附表1村域保护要素一览表</w:t>
      </w:r>
      <w:bookmarkEnd w:id="5"/>
      <w:bookmarkEnd w:id="6"/>
    </w:p>
    <w:p>
      <w:pPr>
        <w:pStyle w:val="3"/>
        <w:ind w:left="0" w:leftChars="0" w:firstLine="0" w:firstLineChars="0"/>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 xml:space="preserve">附表1 </w:t>
      </w:r>
      <w:r>
        <w:rPr>
          <w:rFonts w:hint="eastAsia" w:ascii="宋体" w:hAnsi="宋体" w:eastAsia="宋体" w:cs="宋体"/>
          <w:b w:val="0"/>
          <w:bCs w:val="0"/>
          <w:color w:val="auto"/>
          <w:sz w:val="24"/>
          <w:szCs w:val="24"/>
          <w:lang w:val="en-US" w:eastAsia="zh-CN"/>
        </w:rPr>
        <w:t>村域保护要素一览表</w:t>
      </w:r>
    </w:p>
    <w:tbl>
      <w:tblPr>
        <w:tblStyle w:val="7"/>
        <w:tblW w:w="4984" w:type="pct"/>
        <w:jc w:val="center"/>
        <w:shd w:val="clear" w:color="auto" w:fill="auto"/>
        <w:tblLayout w:type="autofit"/>
        <w:tblCellMar>
          <w:top w:w="0" w:type="dxa"/>
          <w:left w:w="108" w:type="dxa"/>
          <w:bottom w:w="0" w:type="dxa"/>
          <w:right w:w="108" w:type="dxa"/>
        </w:tblCellMar>
      </w:tblPr>
      <w:tblGrid>
        <w:gridCol w:w="1972"/>
        <w:gridCol w:w="6523"/>
      </w:tblGrid>
      <w:tr>
        <w:tblPrEx>
          <w:shd w:val="clear" w:color="auto" w:fill="auto"/>
          <w:tblCellMar>
            <w:top w:w="0" w:type="dxa"/>
            <w:left w:w="108" w:type="dxa"/>
            <w:bottom w:w="0" w:type="dxa"/>
            <w:right w:w="108" w:type="dxa"/>
          </w:tblCellMar>
        </w:tblPrEx>
        <w:trPr>
          <w:trHeight w:val="239"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sz w:val="21"/>
                <w:szCs w:val="21"/>
              </w:rPr>
            </w:pPr>
            <w:r>
              <w:rPr>
                <w:rFonts w:hint="eastAsia"/>
                <w:color w:val="auto"/>
                <w:sz w:val="21"/>
                <w:szCs w:val="21"/>
                <w:lang w:val="en-US" w:eastAsia="zh-CN"/>
              </w:rPr>
              <w:t>价值特色</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sz w:val="21"/>
                <w:szCs w:val="21"/>
              </w:rPr>
            </w:pPr>
            <w:r>
              <w:rPr>
                <w:rFonts w:hint="eastAsia"/>
                <w:color w:val="auto"/>
                <w:sz w:val="21"/>
                <w:szCs w:val="21"/>
                <w:lang w:val="en-US" w:eastAsia="zh-CN"/>
              </w:rPr>
              <w:t>对应历史文化遗产</w:t>
            </w:r>
          </w:p>
        </w:tc>
      </w:tr>
      <w:tr>
        <w:tblPrEx>
          <w:tblCellMar>
            <w:top w:w="0" w:type="dxa"/>
            <w:left w:w="108" w:type="dxa"/>
            <w:bottom w:w="0" w:type="dxa"/>
            <w:right w:w="108" w:type="dxa"/>
          </w:tblCellMar>
        </w:tblPrEx>
        <w:trPr>
          <w:trHeight w:val="470"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sz w:val="21"/>
                <w:szCs w:val="21"/>
                <w:lang w:eastAsia="zh-CN"/>
              </w:rPr>
            </w:pPr>
            <w:r>
              <w:rPr>
                <w:rFonts w:hint="eastAsia"/>
                <w:color w:val="auto"/>
                <w:sz w:val="21"/>
                <w:szCs w:val="21"/>
                <w:lang w:eastAsia="zh-CN"/>
              </w:rPr>
              <w:t>空间格局</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sz w:val="21"/>
                <w:szCs w:val="21"/>
              </w:rPr>
            </w:pPr>
            <w:r>
              <w:rPr>
                <w:rFonts w:hint="eastAsia"/>
                <w:color w:val="auto"/>
                <w:sz w:val="21"/>
                <w:szCs w:val="21"/>
                <w:lang w:val="en-US" w:eastAsia="zh-CN"/>
              </w:rPr>
              <w:t>保护村域山、水、林、田、村构成的整体空间格局。</w:t>
            </w:r>
          </w:p>
        </w:tc>
      </w:tr>
      <w:tr>
        <w:tblPrEx>
          <w:tblCellMar>
            <w:top w:w="0" w:type="dxa"/>
            <w:left w:w="108" w:type="dxa"/>
            <w:bottom w:w="0" w:type="dxa"/>
            <w:right w:w="108" w:type="dxa"/>
          </w:tblCellMar>
        </w:tblPrEx>
        <w:trPr>
          <w:trHeight w:val="470"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sz w:val="21"/>
                <w:szCs w:val="21"/>
              </w:rPr>
            </w:pPr>
            <w:r>
              <w:rPr>
                <w:rFonts w:hint="eastAsia"/>
                <w:color w:val="auto"/>
                <w:sz w:val="21"/>
                <w:szCs w:val="21"/>
                <w:lang w:val="en-US" w:eastAsia="zh-CN"/>
              </w:rPr>
              <w:t>历史文化名村</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sz w:val="21"/>
                <w:szCs w:val="21"/>
                <w:lang w:val="en-US" w:eastAsia="zh-CN"/>
              </w:rPr>
            </w:pPr>
            <w:r>
              <w:rPr>
                <w:rFonts w:hint="eastAsia" w:ascii="宋体" w:hAnsi="宋体" w:eastAsia="宋体" w:cs="宋体"/>
                <w:color w:val="auto"/>
                <w:sz w:val="21"/>
                <w:szCs w:val="21"/>
                <w:lang w:val="en-US" w:eastAsia="zh-CN"/>
              </w:rPr>
              <w:t>保护历史文化名村凤塱村的“天圆地方”村落形态，“</w:t>
            </w:r>
            <w:r>
              <w:rPr>
                <w:rFonts w:hint="eastAsia" w:ascii="宋体" w:hAnsi="宋体" w:eastAsia="宋体" w:cs="宋体"/>
                <w:b w:val="0"/>
                <w:bCs w:val="0"/>
                <w:color w:val="auto"/>
                <w:sz w:val="21"/>
                <w:szCs w:val="21"/>
                <w:lang w:val="en-US" w:eastAsia="zh-CN"/>
              </w:rPr>
              <w:t>农田—水塘—村庄聚落—农田</w:t>
            </w:r>
            <w:r>
              <w:rPr>
                <w:rFonts w:hint="eastAsia" w:ascii="宋体" w:hAnsi="宋体" w:eastAsia="宋体" w:cs="宋体"/>
                <w:color w:val="auto"/>
                <w:sz w:val="21"/>
                <w:szCs w:val="21"/>
                <w:lang w:val="en-US" w:eastAsia="zh-CN"/>
              </w:rPr>
              <w:t>”和谐统一的空间格局及重要景观视廊；“梳式”“三间两廊一天井”的建筑平面布局，保护前低后高、错落有致的传统建筑格局；保护围屋“九巷十八进”的街巷空间格局，15条传统巷道。</w:t>
            </w:r>
          </w:p>
        </w:tc>
      </w:tr>
      <w:tr>
        <w:tblPrEx>
          <w:tblCellMar>
            <w:top w:w="0" w:type="dxa"/>
            <w:left w:w="108" w:type="dxa"/>
            <w:bottom w:w="0" w:type="dxa"/>
            <w:right w:w="108" w:type="dxa"/>
          </w:tblCellMar>
        </w:tblPrEx>
        <w:trPr>
          <w:trHeight w:val="460"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sz w:val="21"/>
                <w:szCs w:val="21"/>
              </w:rPr>
            </w:pPr>
            <w:r>
              <w:rPr>
                <w:rFonts w:hint="eastAsia"/>
                <w:color w:val="auto"/>
                <w:sz w:val="21"/>
                <w:szCs w:val="21"/>
                <w:lang w:val="en-US" w:eastAsia="zh-CN"/>
              </w:rPr>
              <w:t>不可移动文物</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olor w:val="auto"/>
                <w:sz w:val="21"/>
                <w:szCs w:val="21"/>
                <w:lang w:val="en-US" w:eastAsia="zh-CN"/>
              </w:rPr>
            </w:pPr>
            <w:r>
              <w:rPr>
                <w:rFonts w:hint="default"/>
                <w:color w:val="auto"/>
                <w:sz w:val="21"/>
                <w:szCs w:val="21"/>
                <w:lang w:val="en-US" w:eastAsia="zh-CN"/>
              </w:rPr>
              <w:t>保护1处文物保护单位，为县（区）级文物保护单位——凤塱围；</w:t>
            </w:r>
          </w:p>
          <w:p>
            <w:pPr>
              <w:rPr>
                <w:rFonts w:hint="default"/>
                <w:color w:val="auto"/>
                <w:sz w:val="21"/>
                <w:szCs w:val="21"/>
                <w:lang w:val="en-US" w:eastAsia="zh-CN"/>
              </w:rPr>
            </w:pPr>
            <w:r>
              <w:rPr>
                <w:rFonts w:hint="default"/>
                <w:color w:val="auto"/>
                <w:sz w:val="21"/>
                <w:szCs w:val="21"/>
                <w:lang w:val="en-US" w:eastAsia="zh-CN"/>
              </w:rPr>
              <w:t>保护2处一般不可移动文物，为龄瑞张公祠、泰階张公祠。</w:t>
            </w:r>
          </w:p>
        </w:tc>
      </w:tr>
      <w:tr>
        <w:tblPrEx>
          <w:tblCellMar>
            <w:top w:w="0" w:type="dxa"/>
            <w:left w:w="108" w:type="dxa"/>
            <w:bottom w:w="0" w:type="dxa"/>
            <w:right w:w="108" w:type="dxa"/>
          </w:tblCellMar>
        </w:tblPrEx>
        <w:trPr>
          <w:trHeight w:val="505"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sz w:val="21"/>
                <w:szCs w:val="21"/>
                <w:lang w:val="en-US" w:eastAsia="zh-CN"/>
              </w:rPr>
            </w:pPr>
            <w:r>
              <w:rPr>
                <w:rFonts w:hint="eastAsia"/>
                <w:color w:val="auto"/>
                <w:sz w:val="21"/>
                <w:szCs w:val="21"/>
                <w:lang w:val="en-US" w:eastAsia="zh-CN"/>
              </w:rPr>
              <w:t>历史建筑</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rPr>
                <w:rFonts w:hint="eastAsia"/>
                <w:color w:val="auto"/>
                <w:sz w:val="21"/>
                <w:szCs w:val="21"/>
                <w:lang w:val="en-US" w:eastAsia="zh-CN"/>
              </w:rPr>
            </w:pPr>
            <w:r>
              <w:rPr>
                <w:rFonts w:hint="eastAsia" w:ascii="宋体" w:hAnsi="宋体" w:eastAsia="宋体" w:cs="宋体"/>
                <w:color w:val="auto"/>
                <w:lang w:eastAsia="zh-CN"/>
              </w:rPr>
              <w:t>推荐保护</w:t>
            </w:r>
            <w:r>
              <w:rPr>
                <w:rFonts w:hint="eastAsia" w:ascii="宋体" w:hAnsi="宋体" w:eastAsia="宋体" w:cs="宋体"/>
                <w:color w:val="auto"/>
                <w:lang w:val="en-US" w:eastAsia="zh-CN"/>
              </w:rPr>
              <w:t>1处</w:t>
            </w:r>
            <w:r>
              <w:rPr>
                <w:rFonts w:hint="eastAsia" w:ascii="宋体" w:hAnsi="宋体" w:eastAsia="宋体" w:cs="宋体"/>
                <w:color w:val="auto"/>
                <w:lang w:eastAsia="zh-CN"/>
              </w:rPr>
              <w:t>历史建筑，为人民公社大饭堂</w:t>
            </w:r>
          </w:p>
        </w:tc>
      </w:tr>
      <w:tr>
        <w:tblPrEx>
          <w:tblCellMar>
            <w:top w:w="0" w:type="dxa"/>
            <w:left w:w="108" w:type="dxa"/>
            <w:bottom w:w="0" w:type="dxa"/>
            <w:right w:w="108" w:type="dxa"/>
          </w:tblCellMar>
        </w:tblPrEx>
        <w:trPr>
          <w:trHeight w:val="505"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sz w:val="21"/>
                <w:szCs w:val="21"/>
                <w:lang w:val="en-US" w:eastAsia="zh-CN"/>
              </w:rPr>
            </w:pPr>
            <w:r>
              <w:rPr>
                <w:rFonts w:hint="eastAsia"/>
                <w:color w:val="auto"/>
                <w:sz w:val="21"/>
                <w:szCs w:val="21"/>
                <w:lang w:val="en-US" w:eastAsia="zh-CN"/>
              </w:rPr>
              <w:t>传统风貌建筑</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rPr>
                <w:rFonts w:hint="eastAsia"/>
                <w:color w:val="auto"/>
                <w:sz w:val="21"/>
                <w:szCs w:val="21"/>
                <w:lang w:val="en-US" w:eastAsia="zh-CN"/>
              </w:rPr>
            </w:pPr>
            <w:r>
              <w:rPr>
                <w:rFonts w:hint="eastAsia" w:ascii="宋体" w:hAnsi="宋体" w:eastAsia="宋体" w:cs="宋体"/>
                <w:color w:val="auto"/>
                <w:lang w:eastAsia="zh-CN"/>
              </w:rPr>
              <w:t>推荐保护</w:t>
            </w:r>
            <w:r>
              <w:rPr>
                <w:rFonts w:hint="eastAsia" w:ascii="宋体" w:hAnsi="宋体" w:eastAsia="宋体" w:cs="宋体"/>
                <w:color w:val="auto"/>
                <w:lang w:val="en-US" w:eastAsia="zh-CN"/>
              </w:rPr>
              <w:t>40处传统风貌建筑</w:t>
            </w:r>
          </w:p>
        </w:tc>
      </w:tr>
      <w:tr>
        <w:tblPrEx>
          <w:tblCellMar>
            <w:top w:w="0" w:type="dxa"/>
            <w:left w:w="108" w:type="dxa"/>
            <w:bottom w:w="0" w:type="dxa"/>
            <w:right w:w="108" w:type="dxa"/>
          </w:tblCellMar>
        </w:tblPrEx>
        <w:trPr>
          <w:trHeight w:val="505"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sz w:val="21"/>
                <w:szCs w:val="21"/>
                <w:lang w:val="en-US" w:eastAsia="zh-CN"/>
              </w:rPr>
            </w:pPr>
            <w:r>
              <w:rPr>
                <w:rFonts w:hint="eastAsia"/>
                <w:color w:val="auto"/>
                <w:sz w:val="21"/>
                <w:szCs w:val="21"/>
                <w:lang w:val="en-US" w:eastAsia="zh-CN"/>
              </w:rPr>
              <w:t>历史环境要素</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rPr>
                <w:rFonts w:hint="eastAsia"/>
                <w:color w:val="auto"/>
                <w:sz w:val="21"/>
                <w:szCs w:val="21"/>
                <w:lang w:val="en-US" w:eastAsia="zh-CN"/>
              </w:rPr>
            </w:pPr>
            <w:r>
              <w:rPr>
                <w:rFonts w:hint="eastAsia"/>
                <w:color w:val="auto"/>
                <w:sz w:val="21"/>
                <w:szCs w:val="21"/>
                <w:lang w:val="en-US" w:eastAsia="zh-CN"/>
              </w:rPr>
              <w:t>保护古树名木、风水塘、围墙、石阶、铺地等历史环境要素</w:t>
            </w:r>
          </w:p>
        </w:tc>
      </w:tr>
      <w:tr>
        <w:tblPrEx>
          <w:tblCellMar>
            <w:top w:w="0" w:type="dxa"/>
            <w:left w:w="108" w:type="dxa"/>
            <w:bottom w:w="0" w:type="dxa"/>
            <w:right w:w="108" w:type="dxa"/>
          </w:tblCellMar>
        </w:tblPrEx>
        <w:trPr>
          <w:trHeight w:val="650" w:hRule="atLeast"/>
          <w:jc w:val="center"/>
        </w:trPr>
        <w:tc>
          <w:tcPr>
            <w:tcW w:w="197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color w:val="auto"/>
                <w:sz w:val="21"/>
                <w:szCs w:val="21"/>
                <w:lang w:val="en-US" w:eastAsia="zh-CN"/>
              </w:rPr>
            </w:pPr>
            <w:r>
              <w:rPr>
                <w:rFonts w:hint="eastAsia"/>
                <w:color w:val="auto"/>
                <w:sz w:val="21"/>
                <w:szCs w:val="21"/>
                <w:lang w:val="en-US" w:eastAsia="zh-CN"/>
              </w:rPr>
              <w:t>非物质文化遗产</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rPr>
                <w:rFonts w:hint="eastAsia" w:ascii="宋体" w:hAnsi="宋体" w:eastAsia="宋体" w:cs="宋体"/>
                <w:i w:val="0"/>
                <w:iCs w:val="0"/>
                <w:color w:val="auto"/>
                <w:kern w:val="0"/>
                <w:sz w:val="21"/>
                <w:szCs w:val="21"/>
                <w:u w:val="none"/>
                <w:lang w:val="en-US" w:eastAsia="zh-CN" w:bidi="ar"/>
              </w:rPr>
            </w:pPr>
            <w:r>
              <w:rPr>
                <w:rFonts w:hint="eastAsia"/>
                <w:color w:val="auto"/>
                <w:sz w:val="21"/>
                <w:szCs w:val="21"/>
                <w:lang w:val="en-US" w:eastAsia="zh-CN"/>
              </w:rPr>
              <w:t>保护和弘扬凤塱村宗族传统文化、民俗、传统技艺等传统文化；深入挖掘红色文化，传承革命精神</w:t>
            </w:r>
            <w:r>
              <w:rPr>
                <w:rFonts w:hint="eastAsia" w:ascii="宋体" w:hAnsi="宋体" w:eastAsia="宋体" w:cs="宋体"/>
                <w:color w:val="auto"/>
                <w:sz w:val="21"/>
                <w:szCs w:val="21"/>
                <w:lang w:val="en-US" w:eastAsia="zh-CN"/>
              </w:rPr>
              <w:t>。</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7" w:name="_Toc7975"/>
      <w:bookmarkStart w:id="8" w:name="_Toc1326"/>
      <w:bookmarkStart w:id="9" w:name="_Toc26742"/>
      <w:r>
        <w:rPr>
          <w:rFonts w:hint="eastAsia" w:ascii="宋体" w:hAnsi="宋体" w:eastAsia="宋体" w:cs="宋体"/>
          <w:b/>
          <w:bCs/>
          <w:color w:val="auto"/>
          <w:sz w:val="30"/>
          <w:szCs w:val="30"/>
          <w:lang w:val="en-US" w:eastAsia="zh-CN"/>
        </w:rPr>
        <w:t>附表2历史文化保护控制线划定要素表</w:t>
      </w:r>
      <w:bookmarkEnd w:id="7"/>
      <w:bookmarkEnd w:id="8"/>
      <w:bookmarkEnd w:id="9"/>
    </w:p>
    <w:p>
      <w:pPr>
        <w:pStyle w:val="3"/>
        <w:ind w:left="0" w:leftChars="0" w:firstLine="0" w:firstLineChars="0"/>
        <w:jc w:val="center"/>
        <w:rPr>
          <w:rFonts w:hint="default"/>
          <w:color w:val="auto"/>
          <w:lang w:val="en-US" w:eastAsia="zh-CN"/>
        </w:rPr>
      </w:pPr>
      <w:r>
        <w:rPr>
          <w:rFonts w:hint="eastAsia" w:ascii="宋体" w:hAnsi="宋体" w:eastAsia="宋体" w:cs="宋体"/>
          <w:b w:val="0"/>
          <w:bCs w:val="0"/>
          <w:color w:val="auto"/>
          <w:lang w:val="en-US" w:eastAsia="zh-CN"/>
        </w:rPr>
        <w:t xml:space="preserve">附表2 </w:t>
      </w:r>
      <w:r>
        <w:rPr>
          <w:rFonts w:hint="eastAsia"/>
          <w:color w:val="auto"/>
          <w:lang w:val="en-US" w:eastAsia="zh-CN"/>
        </w:rPr>
        <w:t>历史文化保护控制线划定要素表</w:t>
      </w:r>
    </w:p>
    <w:tbl>
      <w:tblPr>
        <w:tblStyle w:val="7"/>
        <w:tblW w:w="5000" w:type="pct"/>
        <w:tblInd w:w="0" w:type="dxa"/>
        <w:shd w:val="clear" w:color="auto" w:fill="auto"/>
        <w:tblLayout w:type="autofit"/>
        <w:tblCellMar>
          <w:top w:w="0" w:type="dxa"/>
          <w:left w:w="0" w:type="dxa"/>
          <w:bottom w:w="0" w:type="dxa"/>
          <w:right w:w="0" w:type="dxa"/>
        </w:tblCellMar>
      </w:tblPr>
      <w:tblGrid>
        <w:gridCol w:w="1676"/>
        <w:gridCol w:w="6660"/>
      </w:tblGrid>
      <w:tr>
        <w:tblPrEx>
          <w:shd w:val="clear" w:color="auto" w:fill="auto"/>
          <w:tblCellMar>
            <w:top w:w="0" w:type="dxa"/>
            <w:left w:w="0" w:type="dxa"/>
            <w:bottom w:w="0" w:type="dxa"/>
            <w:right w:w="0" w:type="dxa"/>
          </w:tblCellMar>
        </w:tblPrEx>
        <w:trPr>
          <w:trHeight w:val="23" w:hRule="atLeast"/>
        </w:trPr>
        <w:tc>
          <w:tcPr>
            <w:tcW w:w="83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color w:val="auto"/>
              </w:rPr>
            </w:pPr>
            <w:r>
              <w:rPr>
                <w:rFonts w:hint="eastAsia" w:ascii="宋体" w:hAnsi="宋体" w:eastAsia="宋体" w:cs="宋体"/>
                <w:i w:val="0"/>
                <w:iCs w:val="0"/>
                <w:color w:val="auto"/>
                <w:sz w:val="21"/>
                <w:szCs w:val="21"/>
                <w:u w:val="none"/>
              </w:rPr>
              <w:t>历史文化保护控制线划定要素表</w:t>
            </w:r>
          </w:p>
        </w:tc>
      </w:tr>
      <w:tr>
        <w:tblPrEx>
          <w:tblCellMar>
            <w:top w:w="0" w:type="dxa"/>
            <w:left w:w="0" w:type="dxa"/>
            <w:bottom w:w="0" w:type="dxa"/>
            <w:right w:w="0" w:type="dxa"/>
          </w:tblCellMar>
        </w:tblPrEx>
        <w:trPr>
          <w:trHeight w:val="2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color w:val="auto"/>
              </w:rPr>
            </w:pPr>
            <w:r>
              <w:rPr>
                <w:rFonts w:hint="eastAsia" w:ascii="宋体" w:hAnsi="宋体" w:eastAsia="宋体" w:cs="宋体"/>
                <w:i w:val="0"/>
                <w:iCs w:val="0"/>
                <w:color w:val="auto"/>
                <w:kern w:val="0"/>
                <w:sz w:val="21"/>
                <w:szCs w:val="21"/>
                <w:u w:val="none"/>
                <w:lang w:val="en-US" w:eastAsia="zh-CN" w:bidi="ar"/>
              </w:rPr>
              <w:t>保护层次</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color w:val="auto"/>
              </w:rPr>
            </w:pPr>
            <w:r>
              <w:rPr>
                <w:rFonts w:hint="eastAsia" w:ascii="宋体" w:hAnsi="宋体" w:eastAsia="宋体" w:cs="宋体"/>
                <w:i w:val="0"/>
                <w:iCs w:val="0"/>
                <w:color w:val="auto"/>
                <w:sz w:val="21"/>
                <w:szCs w:val="21"/>
                <w:u w:val="none"/>
              </w:rPr>
              <w:t>保护控制线划定</w:t>
            </w:r>
          </w:p>
        </w:tc>
      </w:tr>
      <w:tr>
        <w:tblPrEx>
          <w:tblCellMar>
            <w:top w:w="0" w:type="dxa"/>
            <w:left w:w="0" w:type="dxa"/>
            <w:bottom w:w="0" w:type="dxa"/>
            <w:right w:w="0" w:type="dxa"/>
          </w:tblCellMar>
        </w:tblPrEx>
        <w:trPr>
          <w:trHeight w:val="2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color w:val="auto"/>
              </w:rPr>
            </w:pPr>
            <w:r>
              <w:rPr>
                <w:rFonts w:hint="eastAsia"/>
                <w:color w:val="auto"/>
                <w:lang w:val="en-US" w:eastAsia="zh-CN"/>
              </w:rPr>
              <w:t>历史文化名村</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jc w:val="left"/>
              <w:rPr>
                <w:rFonts w:hint="eastAsia" w:ascii="宋体" w:hAnsi="宋体" w:eastAsia="宋体" w:cs="宋体"/>
                <w:color w:val="auto"/>
              </w:rPr>
            </w:pPr>
            <w:r>
              <w:rPr>
                <w:rFonts w:hint="eastAsia" w:ascii="宋体" w:hAnsi="宋体" w:eastAsia="宋体" w:cs="宋体"/>
                <w:color w:val="auto"/>
              </w:rPr>
              <w:t>1.规划划定凤塱村保护范围面积9.79公顷。</w:t>
            </w:r>
          </w:p>
          <w:p>
            <w:pPr>
              <w:keepNext w:val="0"/>
              <w:keepLines w:val="0"/>
              <w:pageBreakBefore w:val="0"/>
              <w:kinsoku/>
              <w:wordWrap/>
              <w:overflowPunct/>
              <w:topLinePunct w:val="0"/>
              <w:autoSpaceDE/>
              <w:autoSpaceDN/>
              <w:bidi w:val="0"/>
              <w:jc w:val="left"/>
              <w:rPr>
                <w:rFonts w:hint="eastAsia" w:ascii="宋体" w:hAnsi="宋体" w:eastAsia="宋体" w:cs="宋体"/>
                <w:color w:val="auto"/>
              </w:rPr>
            </w:pPr>
            <w:r>
              <w:rPr>
                <w:rFonts w:hint="eastAsia" w:ascii="宋体" w:hAnsi="宋体" w:eastAsia="宋体" w:cs="宋体"/>
                <w:color w:val="auto"/>
              </w:rPr>
              <w:t>（1）核心保护范围：核心保护范围包括凤塱村、高坡村、五一村传统风貌建筑集中区，核心保护范围总面积3.85公顷。其中，凤塱村核心保护范围北至黄家大院风水塘，东至进村主巷道，西至西炮楼，南至凤塱围南端进村主横巷。</w:t>
            </w:r>
          </w:p>
          <w:p>
            <w:pPr>
              <w:keepNext w:val="0"/>
              <w:keepLines w:val="0"/>
              <w:pageBreakBefore w:val="0"/>
              <w:kinsoku/>
              <w:wordWrap/>
              <w:overflowPunct/>
              <w:topLinePunct w:val="0"/>
              <w:autoSpaceDE/>
              <w:autoSpaceDN/>
              <w:bidi w:val="0"/>
              <w:jc w:val="left"/>
              <w:rPr>
                <w:rFonts w:hint="eastAsia" w:ascii="宋体" w:hAnsi="宋体" w:eastAsia="宋体" w:cs="宋体"/>
                <w:color w:val="auto"/>
              </w:rPr>
            </w:pPr>
            <w:r>
              <w:rPr>
                <w:rFonts w:hint="eastAsia" w:ascii="宋体" w:hAnsi="宋体" w:eastAsia="宋体" w:cs="宋体"/>
                <w:color w:val="auto"/>
              </w:rPr>
              <w:t>（2）建设控制地带：建设控制地带范围包括沿东侧及南端的进村主巷道、核心保护范围东面和</w:t>
            </w:r>
            <w:r>
              <w:rPr>
                <w:rFonts w:hint="eastAsia" w:ascii="宋体" w:hAnsi="宋体" w:eastAsia="宋体" w:cs="宋体"/>
                <w:color w:val="auto"/>
                <w:lang w:eastAsia="zh-CN"/>
              </w:rPr>
              <w:t>南面</w:t>
            </w:r>
            <w:r>
              <w:rPr>
                <w:rFonts w:hint="eastAsia" w:ascii="宋体" w:hAnsi="宋体" w:eastAsia="宋体" w:cs="宋体"/>
                <w:color w:val="auto"/>
              </w:rPr>
              <w:t>的传统民居与非传统民居交界所形成的区域、核心保护范围西侧的竹林区域、核心保护范围北侧的农田，建设控制地带面积5.94公顷。</w:t>
            </w:r>
          </w:p>
          <w:p>
            <w:pPr>
              <w:keepNext w:val="0"/>
              <w:keepLines w:val="0"/>
              <w:pageBreakBefore w:val="0"/>
              <w:kinsoku/>
              <w:wordWrap/>
              <w:overflowPunct/>
              <w:topLinePunct w:val="0"/>
              <w:autoSpaceDE/>
              <w:autoSpaceDN/>
              <w:bidi w:val="0"/>
              <w:jc w:val="left"/>
              <w:rPr>
                <w:rFonts w:hint="eastAsia" w:ascii="宋体" w:hAnsi="宋体" w:eastAsia="宋体" w:cs="宋体"/>
                <w:color w:val="auto"/>
              </w:rPr>
            </w:pPr>
            <w:r>
              <w:rPr>
                <w:rFonts w:hint="eastAsia" w:ascii="宋体" w:hAnsi="宋体" w:eastAsia="宋体" w:cs="宋体"/>
                <w:color w:val="auto"/>
              </w:rPr>
              <w:t>2.在核心保护范围与建设控制地带范围以外，将与凤塱村相互依存的山水田园自然要素划入环境协调区，规划划定环境协调区面积17.81公顷。</w:t>
            </w:r>
          </w:p>
        </w:tc>
      </w:tr>
      <w:tr>
        <w:tblPrEx>
          <w:tblCellMar>
            <w:top w:w="0" w:type="dxa"/>
            <w:left w:w="0" w:type="dxa"/>
            <w:bottom w:w="0" w:type="dxa"/>
            <w:right w:w="0" w:type="dxa"/>
          </w:tblCellMar>
        </w:tblPrEx>
        <w:trPr>
          <w:trHeight w:val="2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color w:val="auto"/>
              </w:rPr>
            </w:pPr>
            <w:r>
              <w:rPr>
                <w:rFonts w:hint="eastAsia"/>
                <w:color w:val="auto"/>
                <w:lang w:val="en-US" w:eastAsia="zh-CN"/>
              </w:rPr>
              <w:t>文物保护单位</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jc w:val="left"/>
              <w:rPr>
                <w:rFonts w:hint="eastAsia" w:ascii="宋体" w:hAnsi="宋体" w:eastAsia="宋体" w:cs="宋体"/>
                <w:color w:val="auto"/>
              </w:rPr>
            </w:pPr>
            <w:r>
              <w:rPr>
                <w:rFonts w:hint="eastAsia" w:ascii="宋体" w:hAnsi="宋体" w:eastAsia="宋体" w:cs="宋体"/>
                <w:color w:val="auto"/>
                <w:lang w:val="en-US" w:eastAsia="zh-CN"/>
              </w:rPr>
              <w:t>凤塱围古村落（民居）保护范围以区人民政府公布的保护界线为准，保护范围为以凤塱围为中心，向外延伸30米。</w:t>
            </w:r>
          </w:p>
        </w:tc>
      </w:tr>
      <w:tr>
        <w:tblPrEx>
          <w:tblCellMar>
            <w:top w:w="0" w:type="dxa"/>
            <w:left w:w="0" w:type="dxa"/>
            <w:bottom w:w="0" w:type="dxa"/>
            <w:right w:w="0" w:type="dxa"/>
          </w:tblCellMar>
        </w:tblPrEx>
        <w:trPr>
          <w:trHeight w:val="2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color w:val="auto"/>
              </w:rPr>
            </w:pPr>
            <w:r>
              <w:rPr>
                <w:rFonts w:hint="eastAsia"/>
                <w:color w:val="auto"/>
                <w:lang w:val="en-US" w:eastAsia="zh-CN"/>
              </w:rPr>
              <w:t>推荐历史建筑</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jc w:val="left"/>
              <w:rPr>
                <w:rFonts w:hint="eastAsia" w:ascii="宋体" w:hAnsi="宋体" w:eastAsia="宋体" w:cs="宋体"/>
                <w:color w:val="auto"/>
              </w:rPr>
            </w:pPr>
            <w:r>
              <w:rPr>
                <w:rFonts w:hint="eastAsia" w:ascii="宋体" w:hAnsi="宋体" w:eastAsia="宋体" w:cs="宋体"/>
                <w:color w:val="auto"/>
                <w:lang w:val="en-US" w:eastAsia="zh-CN"/>
              </w:rPr>
              <w:t>推荐历史建筑——人民公社大饭堂：保护范围为建筑本体。</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10" w:name="_Toc5742"/>
      <w:bookmarkStart w:id="11" w:name="_Toc24733"/>
      <w:bookmarkStart w:id="12" w:name="_Toc31977"/>
      <w:r>
        <w:rPr>
          <w:rFonts w:hint="eastAsia" w:ascii="宋体" w:hAnsi="宋体" w:eastAsia="宋体" w:cs="宋体"/>
          <w:b/>
          <w:bCs/>
          <w:color w:val="auto"/>
          <w:sz w:val="30"/>
          <w:szCs w:val="30"/>
          <w:lang w:val="en-US" w:eastAsia="zh-CN"/>
        </w:rPr>
        <w:t>附表3文物保护单位、登记不可移动文物一览表</w:t>
      </w:r>
      <w:bookmarkEnd w:id="10"/>
      <w:bookmarkEnd w:id="11"/>
      <w:bookmarkEnd w:id="12"/>
    </w:p>
    <w:p>
      <w:pPr>
        <w:pStyle w:val="3"/>
        <w:ind w:left="0" w:leftChars="0" w:firstLine="0" w:firstLineChars="0"/>
        <w:jc w:val="center"/>
        <w:rPr>
          <w:rFonts w:hint="default"/>
          <w:color w:val="auto"/>
          <w:lang w:val="en-US" w:eastAsia="zh-CN"/>
        </w:rPr>
      </w:pPr>
      <w:r>
        <w:rPr>
          <w:rFonts w:hint="eastAsia" w:ascii="宋体" w:hAnsi="宋体" w:eastAsia="宋体" w:cs="宋体"/>
          <w:b w:val="0"/>
          <w:bCs w:val="0"/>
          <w:color w:val="auto"/>
          <w:lang w:val="en-US" w:eastAsia="zh-CN"/>
        </w:rPr>
        <w:t xml:space="preserve">附表3 </w:t>
      </w:r>
      <w:r>
        <w:rPr>
          <w:rFonts w:hint="eastAsia" w:ascii="宋体" w:hAnsi="宋体" w:eastAsia="宋体" w:cs="宋体"/>
          <w:b w:val="0"/>
          <w:bCs w:val="0"/>
          <w:color w:val="auto"/>
          <w:sz w:val="24"/>
          <w:szCs w:val="24"/>
          <w:lang w:val="en-US" w:eastAsia="zh-CN"/>
        </w:rPr>
        <w:t>文物保护单位、登记不可移动文物一览表</w:t>
      </w:r>
    </w:p>
    <w:tbl>
      <w:tblPr>
        <w:tblStyle w:val="7"/>
        <w:tblW w:w="5000" w:type="pct"/>
        <w:tblInd w:w="0" w:type="dxa"/>
        <w:shd w:val="clear" w:color="auto" w:fill="auto"/>
        <w:tblLayout w:type="fixed"/>
        <w:tblCellMar>
          <w:top w:w="0" w:type="dxa"/>
          <w:left w:w="0" w:type="dxa"/>
          <w:bottom w:w="0" w:type="dxa"/>
          <w:right w:w="0" w:type="dxa"/>
        </w:tblCellMar>
      </w:tblPr>
      <w:tblGrid>
        <w:gridCol w:w="546"/>
        <w:gridCol w:w="1185"/>
        <w:gridCol w:w="735"/>
        <w:gridCol w:w="579"/>
        <w:gridCol w:w="2090"/>
        <w:gridCol w:w="1138"/>
        <w:gridCol w:w="2063"/>
      </w:tblGrid>
      <w:tr>
        <w:tblPrEx>
          <w:shd w:val="clear" w:color="auto" w:fill="auto"/>
          <w:tblCellMar>
            <w:top w:w="0" w:type="dxa"/>
            <w:left w:w="0" w:type="dxa"/>
            <w:bottom w:w="0" w:type="dxa"/>
            <w:right w:w="0" w:type="dxa"/>
          </w:tblCellMar>
        </w:tblPrEx>
        <w:trPr>
          <w:trHeight w:val="312"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 xml:space="preserve">文物保护单位名称        </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类别</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年代</w:t>
            </w:r>
          </w:p>
        </w:tc>
        <w:tc>
          <w:tcPr>
            <w:tcW w:w="12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详细地点</w:t>
            </w:r>
          </w:p>
        </w:tc>
        <w:tc>
          <w:tcPr>
            <w:tcW w:w="682"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管理机构</w:t>
            </w:r>
          </w:p>
        </w:tc>
        <w:tc>
          <w:tcPr>
            <w:tcW w:w="123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级别</w:t>
            </w:r>
          </w:p>
        </w:tc>
      </w:tr>
      <w:tr>
        <w:tblPrEx>
          <w:tblCellMar>
            <w:top w:w="0" w:type="dxa"/>
            <w:left w:w="0" w:type="dxa"/>
            <w:bottom w:w="0" w:type="dxa"/>
            <w:right w:w="0" w:type="dxa"/>
          </w:tblCellMar>
        </w:tblPrEx>
        <w:trPr>
          <w:trHeight w:val="40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i w:val="0"/>
                <w:color w:val="auto"/>
                <w:sz w:val="21"/>
                <w:szCs w:val="21"/>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i w:val="0"/>
                <w:color w:val="auto"/>
                <w:sz w:val="21"/>
                <w:szCs w:val="21"/>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i w:val="0"/>
                <w:color w:val="auto"/>
                <w:sz w:val="21"/>
                <w:szCs w:val="21"/>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i w:val="0"/>
                <w:color w:val="auto"/>
                <w:sz w:val="21"/>
                <w:szCs w:val="21"/>
                <w:u w:val="none"/>
              </w:rPr>
            </w:pPr>
          </w:p>
        </w:tc>
        <w:tc>
          <w:tcPr>
            <w:tcW w:w="12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i w:val="0"/>
                <w:color w:val="auto"/>
                <w:sz w:val="21"/>
                <w:szCs w:val="21"/>
                <w:u w:val="none"/>
              </w:rPr>
            </w:pPr>
          </w:p>
        </w:tc>
        <w:tc>
          <w:tcPr>
            <w:tcW w:w="682"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i w:val="0"/>
                <w:color w:val="auto"/>
                <w:sz w:val="21"/>
                <w:szCs w:val="21"/>
                <w:u w:val="none"/>
              </w:rPr>
            </w:pPr>
          </w:p>
        </w:tc>
        <w:tc>
          <w:tcPr>
            <w:tcW w:w="123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i w:val="0"/>
                <w:color w:val="auto"/>
                <w:sz w:val="21"/>
                <w:szCs w:val="21"/>
                <w:u w:val="none"/>
              </w:rPr>
            </w:pPr>
          </w:p>
        </w:tc>
      </w:tr>
      <w:tr>
        <w:tblPrEx>
          <w:tblCellMar>
            <w:top w:w="0" w:type="dxa"/>
            <w:left w:w="0" w:type="dxa"/>
            <w:bottom w:w="0" w:type="dxa"/>
            <w:right w:w="0" w:type="dxa"/>
          </w:tblCellMar>
        </w:tblPrEx>
        <w:trPr>
          <w:trHeight w:val="624"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凤塱围古村落（民居）</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古建筑</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清新区龙颈镇河洞村委会凤塱围</w:t>
            </w:r>
          </w:p>
        </w:tc>
        <w:tc>
          <w:tcPr>
            <w:tcW w:w="68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龙颈镇文化站</w:t>
            </w:r>
          </w:p>
        </w:tc>
        <w:tc>
          <w:tcPr>
            <w:tcW w:w="1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县（区）级文物保护单位</w:t>
            </w:r>
          </w:p>
        </w:tc>
      </w:tr>
      <w:tr>
        <w:tblPrEx>
          <w:tblCellMar>
            <w:top w:w="0" w:type="dxa"/>
            <w:left w:w="0" w:type="dxa"/>
            <w:bottom w:w="0" w:type="dxa"/>
            <w:right w:w="0" w:type="dxa"/>
          </w:tblCellMar>
        </w:tblPrEx>
        <w:trPr>
          <w:trHeight w:val="624"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龄瑞张公祠</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古建筑</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清</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清新区龙颈镇河洞行政村大围村</w:t>
            </w:r>
          </w:p>
        </w:tc>
        <w:tc>
          <w:tcPr>
            <w:tcW w:w="68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龙颈镇文化站</w:t>
            </w:r>
          </w:p>
        </w:tc>
        <w:tc>
          <w:tcPr>
            <w:tcW w:w="1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尚未定级</w:t>
            </w:r>
          </w:p>
        </w:tc>
      </w:tr>
      <w:tr>
        <w:tblPrEx>
          <w:tblCellMar>
            <w:top w:w="0" w:type="dxa"/>
            <w:left w:w="0" w:type="dxa"/>
            <w:bottom w:w="0" w:type="dxa"/>
            <w:right w:w="0" w:type="dxa"/>
          </w:tblCellMar>
        </w:tblPrEx>
        <w:trPr>
          <w:trHeight w:val="624"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泰階张公祠</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古建筑</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清</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清新区龙颈镇河洞行政村大围村</w:t>
            </w:r>
          </w:p>
        </w:tc>
        <w:tc>
          <w:tcPr>
            <w:tcW w:w="68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龙颈镇文化站</w:t>
            </w:r>
          </w:p>
        </w:tc>
        <w:tc>
          <w:tcPr>
            <w:tcW w:w="12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尚未定级</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13" w:name="_Toc23851"/>
      <w:bookmarkStart w:id="14" w:name="_Toc31349"/>
      <w:bookmarkStart w:id="15" w:name="_Toc26435"/>
      <w:bookmarkStart w:id="16" w:name="_Toc29453"/>
      <w:bookmarkStart w:id="17" w:name="_Toc7680"/>
      <w:bookmarkStart w:id="18" w:name="_Toc22802"/>
      <w:bookmarkStart w:id="19" w:name="_Toc4389"/>
      <w:r>
        <w:rPr>
          <w:rFonts w:hint="eastAsia" w:ascii="宋体" w:hAnsi="宋体" w:eastAsia="宋体" w:cs="宋体"/>
          <w:b/>
          <w:bCs/>
          <w:color w:val="auto"/>
          <w:sz w:val="30"/>
          <w:szCs w:val="30"/>
          <w:lang w:val="en-US" w:eastAsia="zh-CN"/>
        </w:rPr>
        <w:t>附表4推荐文物保护单位一览表</w:t>
      </w:r>
      <w:bookmarkEnd w:id="13"/>
      <w:bookmarkEnd w:id="14"/>
      <w:bookmarkEnd w:id="15"/>
      <w:bookmarkEnd w:id="16"/>
    </w:p>
    <w:p>
      <w:pPr>
        <w:pStyle w:val="3"/>
        <w:ind w:left="0" w:leftChars="0" w:firstLine="0" w:firstLineChars="0"/>
        <w:jc w:val="center"/>
        <w:rPr>
          <w:rFonts w:hint="default"/>
          <w:b w:val="0"/>
          <w:bCs w:val="0"/>
          <w:color w:val="auto"/>
          <w:lang w:val="en-US" w:eastAsia="zh-CN"/>
        </w:rPr>
      </w:pPr>
      <w:r>
        <w:rPr>
          <w:rFonts w:hint="eastAsia" w:ascii="宋体" w:hAnsi="宋体" w:eastAsia="宋体" w:cs="宋体"/>
          <w:b w:val="0"/>
          <w:bCs w:val="0"/>
          <w:color w:val="auto"/>
          <w:lang w:val="en-US" w:eastAsia="zh-CN"/>
        </w:rPr>
        <w:t xml:space="preserve">附表4 </w:t>
      </w:r>
      <w:r>
        <w:rPr>
          <w:rFonts w:hint="eastAsia" w:ascii="宋体" w:hAnsi="宋体" w:eastAsia="宋体" w:cs="宋体"/>
          <w:b w:val="0"/>
          <w:bCs w:val="0"/>
          <w:color w:val="auto"/>
          <w:sz w:val="24"/>
          <w:szCs w:val="24"/>
          <w:lang w:val="en-US" w:eastAsia="zh-CN"/>
        </w:rPr>
        <w:t>推荐文物保护单位一览表</w:t>
      </w:r>
    </w:p>
    <w:tbl>
      <w:tblPr>
        <w:tblStyle w:val="7"/>
        <w:tblW w:w="4998" w:type="pct"/>
        <w:tblInd w:w="0" w:type="dxa"/>
        <w:shd w:val="clear" w:color="auto" w:fill="auto"/>
        <w:tblLayout w:type="autofit"/>
        <w:tblCellMar>
          <w:top w:w="0" w:type="dxa"/>
          <w:left w:w="108" w:type="dxa"/>
          <w:bottom w:w="0" w:type="dxa"/>
          <w:right w:w="108" w:type="dxa"/>
        </w:tblCellMar>
      </w:tblPr>
      <w:tblGrid>
        <w:gridCol w:w="1219"/>
        <w:gridCol w:w="3626"/>
        <w:gridCol w:w="1219"/>
        <w:gridCol w:w="1236"/>
        <w:gridCol w:w="1219"/>
      </w:tblGrid>
      <w:tr>
        <w:tblPrEx>
          <w:shd w:val="clear" w:color="auto" w:fill="auto"/>
          <w:tblCellMar>
            <w:top w:w="0" w:type="dxa"/>
            <w:left w:w="108" w:type="dxa"/>
            <w:bottom w:w="0" w:type="dxa"/>
            <w:right w:w="108" w:type="dxa"/>
          </w:tblCellMar>
        </w:tblPrEx>
        <w:trPr>
          <w:trHeight w:val="651"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jc w:val="center"/>
              <w:rPr>
                <w:rFonts w:hint="eastAsia"/>
                <w:color w:val="auto"/>
              </w:rPr>
            </w:pPr>
            <w:r>
              <w:rPr>
                <w:rFonts w:hint="eastAsia"/>
                <w:color w:val="auto"/>
                <w:lang w:val="en-US" w:eastAsia="zh-CN"/>
              </w:rPr>
              <w:t>序号</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jc w:val="center"/>
              <w:rPr>
                <w:rFonts w:hint="eastAsia"/>
                <w:color w:val="auto"/>
              </w:rPr>
            </w:pPr>
            <w:r>
              <w:rPr>
                <w:rFonts w:hint="eastAsia"/>
                <w:color w:val="auto"/>
                <w:lang w:val="en-US" w:eastAsia="zh-CN"/>
              </w:rPr>
              <w:t>名称</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jc w:val="center"/>
              <w:rPr>
                <w:rFonts w:hint="eastAsia"/>
                <w:color w:val="auto"/>
              </w:rPr>
            </w:pPr>
            <w:r>
              <w:rPr>
                <w:rFonts w:hint="eastAsia"/>
                <w:color w:val="auto"/>
                <w:lang w:val="en-US" w:eastAsia="zh-CN"/>
              </w:rPr>
              <w:t>类别</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jc w:val="center"/>
              <w:rPr>
                <w:rFonts w:hint="eastAsia"/>
                <w:color w:val="auto"/>
              </w:rPr>
            </w:pPr>
            <w:r>
              <w:rPr>
                <w:rFonts w:hint="eastAsia"/>
                <w:color w:val="auto"/>
                <w:lang w:val="en-US" w:eastAsia="zh-CN"/>
              </w:rPr>
              <w:t>时代</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jc w:val="center"/>
              <w:rPr>
                <w:rFonts w:hint="eastAsia"/>
                <w:color w:val="auto"/>
              </w:rPr>
            </w:pPr>
            <w:r>
              <w:rPr>
                <w:rFonts w:hint="eastAsia"/>
                <w:color w:val="auto"/>
                <w:lang w:val="en-US" w:eastAsia="zh-CN"/>
              </w:rPr>
              <w:t>保存状况</w:t>
            </w:r>
          </w:p>
        </w:tc>
      </w:tr>
      <w:tr>
        <w:tblPrEx>
          <w:tblCellMar>
            <w:top w:w="0" w:type="dxa"/>
            <w:left w:w="108" w:type="dxa"/>
            <w:bottom w:w="0" w:type="dxa"/>
            <w:right w:w="108" w:type="dxa"/>
          </w:tblCellMar>
        </w:tblPrEx>
        <w:trPr>
          <w:trHeight w:val="341"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jc w:val="center"/>
              <w:rPr>
                <w:rFonts w:hint="eastAsia" w:ascii="宋体" w:hAnsi="宋体" w:eastAsia="宋体" w:cs="宋体"/>
                <w:color w:val="auto"/>
              </w:rPr>
            </w:pPr>
            <w:r>
              <w:rPr>
                <w:rFonts w:hint="eastAsia" w:ascii="宋体" w:hAnsi="宋体" w:eastAsia="宋体" w:cs="宋体"/>
                <w:color w:val="auto"/>
                <w:lang w:val="en-US" w:eastAsia="zh-CN"/>
              </w:rPr>
              <w:t>1</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jc w:val="center"/>
              <w:rPr>
                <w:rFonts w:hint="eastAsia" w:ascii="宋体" w:hAnsi="宋体" w:eastAsia="宋体" w:cs="宋体"/>
                <w:color w:val="auto"/>
              </w:rPr>
            </w:pPr>
            <w:r>
              <w:rPr>
                <w:rFonts w:hint="eastAsia" w:ascii="宋体" w:hAnsi="宋体" w:eastAsia="宋体" w:cs="宋体"/>
                <w:color w:val="auto"/>
                <w:lang w:val="en-US" w:eastAsia="zh-CN"/>
              </w:rPr>
              <w:t>龙凤泉</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jc w:val="center"/>
              <w:rPr>
                <w:rFonts w:hint="eastAsia" w:ascii="宋体" w:hAnsi="宋体" w:eastAsia="宋体" w:cs="宋体"/>
                <w:color w:val="auto"/>
                <w:lang w:val="en-US"/>
              </w:rPr>
            </w:pPr>
            <w:r>
              <w:rPr>
                <w:rFonts w:hint="eastAsia" w:ascii="宋体" w:hAnsi="宋体" w:eastAsia="宋体" w:cs="宋体"/>
                <w:color w:val="auto"/>
                <w:lang w:val="en-US" w:eastAsia="zh-CN"/>
              </w:rPr>
              <w:t>地下泉</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jc w:val="center"/>
              <w:rPr>
                <w:rFonts w:hint="eastAsia" w:ascii="宋体" w:hAnsi="宋体" w:eastAsia="宋体" w:cs="宋体"/>
                <w:color w:val="auto"/>
              </w:rPr>
            </w:pPr>
            <w:r>
              <w:rPr>
                <w:rFonts w:hint="eastAsia" w:ascii="宋体" w:hAnsi="宋体" w:eastAsia="宋体" w:cs="宋体"/>
                <w:color w:val="auto"/>
                <w:lang w:val="en-US" w:eastAsia="zh-CN"/>
              </w:rPr>
              <w:t>清</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jc w:val="center"/>
              <w:rPr>
                <w:rFonts w:hint="eastAsia" w:ascii="宋体" w:hAnsi="宋体" w:eastAsia="宋体" w:cs="宋体"/>
                <w:color w:val="auto"/>
              </w:rPr>
            </w:pPr>
            <w:r>
              <w:rPr>
                <w:rFonts w:hint="eastAsia" w:ascii="宋体" w:hAnsi="宋体" w:eastAsia="宋体" w:cs="宋体"/>
                <w:color w:val="auto"/>
                <w:lang w:val="en-US" w:eastAsia="zh-CN"/>
              </w:rPr>
              <w:t>良好</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20" w:name="_Toc8502"/>
      <w:r>
        <w:rPr>
          <w:rFonts w:hint="eastAsia" w:ascii="宋体" w:hAnsi="宋体" w:eastAsia="宋体" w:cs="宋体"/>
          <w:b/>
          <w:bCs/>
          <w:color w:val="auto"/>
          <w:sz w:val="30"/>
          <w:szCs w:val="30"/>
          <w:lang w:val="en-US" w:eastAsia="zh-CN"/>
        </w:rPr>
        <w:t>附表</w:t>
      </w:r>
      <w:bookmarkEnd w:id="17"/>
      <w:bookmarkEnd w:id="18"/>
      <w:r>
        <w:rPr>
          <w:rFonts w:hint="eastAsia" w:ascii="宋体" w:hAnsi="宋体" w:eastAsia="宋体" w:cs="宋体"/>
          <w:b/>
          <w:bCs/>
          <w:color w:val="auto"/>
          <w:sz w:val="30"/>
          <w:szCs w:val="30"/>
          <w:lang w:val="en-US" w:eastAsia="zh-CN"/>
        </w:rPr>
        <w:t>5推荐历史建筑一览表</w:t>
      </w:r>
      <w:bookmarkEnd w:id="19"/>
      <w:bookmarkEnd w:id="20"/>
    </w:p>
    <w:p>
      <w:pPr>
        <w:pStyle w:val="3"/>
        <w:ind w:left="0" w:leftChars="0" w:firstLine="0" w:firstLineChars="0"/>
        <w:jc w:val="center"/>
        <w:rPr>
          <w:rFonts w:hint="default"/>
          <w:color w:val="auto"/>
          <w:lang w:val="en-US" w:eastAsia="zh-CN"/>
        </w:rPr>
      </w:pPr>
      <w:r>
        <w:rPr>
          <w:rFonts w:hint="eastAsia" w:ascii="宋体" w:hAnsi="宋体" w:eastAsia="宋体" w:cs="宋体"/>
          <w:b w:val="0"/>
          <w:bCs w:val="0"/>
          <w:color w:val="auto"/>
          <w:lang w:val="en-US" w:eastAsia="zh-CN"/>
        </w:rPr>
        <w:t xml:space="preserve">附表5 </w:t>
      </w:r>
      <w:r>
        <w:rPr>
          <w:rFonts w:hint="eastAsia" w:ascii="宋体" w:hAnsi="宋体" w:eastAsia="宋体" w:cs="宋体"/>
          <w:b w:val="0"/>
          <w:bCs w:val="0"/>
          <w:color w:val="auto"/>
          <w:sz w:val="24"/>
          <w:szCs w:val="24"/>
          <w:lang w:val="en-US" w:eastAsia="zh-CN"/>
        </w:rPr>
        <w:t>推荐历史建筑一览表</w:t>
      </w:r>
    </w:p>
    <w:tbl>
      <w:tblPr>
        <w:tblStyle w:val="8"/>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048"/>
        <w:gridCol w:w="1572"/>
        <w:gridCol w:w="1290"/>
        <w:gridCol w:w="2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3" w:type="dxa"/>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序号</w:t>
            </w:r>
          </w:p>
        </w:tc>
        <w:tc>
          <w:tcPr>
            <w:tcW w:w="2048" w:type="dxa"/>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建筑名称</w:t>
            </w:r>
          </w:p>
        </w:tc>
        <w:tc>
          <w:tcPr>
            <w:tcW w:w="1572" w:type="dxa"/>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始建年代</w:t>
            </w:r>
          </w:p>
        </w:tc>
        <w:tc>
          <w:tcPr>
            <w:tcW w:w="1290" w:type="dxa"/>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建筑面积（㎡）</w:t>
            </w:r>
          </w:p>
        </w:tc>
        <w:tc>
          <w:tcPr>
            <w:tcW w:w="2854" w:type="dxa"/>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建筑地点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3" w:type="dxa"/>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c>
          <w:tcPr>
            <w:tcW w:w="2048" w:type="dxa"/>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人民公社大饭堂</w:t>
            </w:r>
          </w:p>
        </w:tc>
        <w:tc>
          <w:tcPr>
            <w:tcW w:w="1572" w:type="dxa"/>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人民公社时期 </w:t>
            </w:r>
          </w:p>
        </w:tc>
        <w:tc>
          <w:tcPr>
            <w:tcW w:w="1290" w:type="dxa"/>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388.78</w:t>
            </w:r>
          </w:p>
        </w:tc>
        <w:tc>
          <w:tcPr>
            <w:tcW w:w="2854" w:type="dxa"/>
            <w:vAlign w:val="center"/>
          </w:tcPr>
          <w:p>
            <w:pPr>
              <w:keepNext w:val="0"/>
              <w:keepLines w:val="0"/>
              <w:pageBreakBefore w:val="0"/>
              <w:widowControl/>
              <w:suppressLineNumbers w:val="0"/>
              <w:kinsoku/>
              <w:wordWrap/>
              <w:overflowPunct/>
              <w:topLinePunct w:val="0"/>
              <w:autoSpaceDE/>
              <w:autoSpaceDN/>
              <w:bidi w:val="0"/>
              <w:spacing w:beforeAutospacing="0" w:afterAutospacing="0" w:line="360" w:lineRule="auto"/>
              <w:ind w:left="0" w:leftChars="0" w:right="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清远市清新区龙颈镇河洞村凤塱村</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21" w:name="_Toc26747"/>
      <w:bookmarkStart w:id="22" w:name="_Toc21402"/>
      <w:r>
        <w:rPr>
          <w:rFonts w:hint="eastAsia" w:ascii="宋体" w:hAnsi="宋体" w:eastAsia="宋体" w:cs="宋体"/>
          <w:b/>
          <w:bCs/>
          <w:color w:val="auto"/>
          <w:sz w:val="30"/>
          <w:szCs w:val="30"/>
          <w:lang w:val="en-US" w:eastAsia="zh-CN"/>
        </w:rPr>
        <w:t>附表6推荐传统风貌建筑一览表</w:t>
      </w:r>
      <w:bookmarkEnd w:id="21"/>
      <w:bookmarkEnd w:id="22"/>
    </w:p>
    <w:p>
      <w:pPr>
        <w:pStyle w:val="3"/>
        <w:ind w:left="0" w:leftChars="0" w:firstLine="0" w:firstLineChars="0"/>
        <w:jc w:val="center"/>
        <w:rPr>
          <w:rFonts w:hint="default"/>
          <w:color w:val="auto"/>
          <w:lang w:val="en-US" w:eastAsia="zh-CN"/>
        </w:rPr>
      </w:pPr>
      <w:r>
        <w:rPr>
          <w:rFonts w:hint="eastAsia" w:ascii="宋体" w:hAnsi="宋体" w:eastAsia="宋体" w:cs="宋体"/>
          <w:b w:val="0"/>
          <w:bCs w:val="0"/>
          <w:color w:val="auto"/>
          <w:lang w:val="en-US" w:eastAsia="zh-CN"/>
        </w:rPr>
        <w:t xml:space="preserve">附表6 </w:t>
      </w:r>
      <w:r>
        <w:rPr>
          <w:rFonts w:hint="eastAsia" w:ascii="宋体" w:hAnsi="宋体" w:eastAsia="宋体" w:cs="宋体"/>
          <w:b w:val="0"/>
          <w:bCs w:val="0"/>
          <w:color w:val="auto"/>
          <w:sz w:val="24"/>
          <w:szCs w:val="24"/>
          <w:lang w:val="en-US" w:eastAsia="zh-CN"/>
        </w:rPr>
        <w:t>推荐传统风貌建筑一览表</w:t>
      </w:r>
    </w:p>
    <w:tbl>
      <w:tblPr>
        <w:tblStyle w:val="7"/>
        <w:tblW w:w="505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329"/>
        <w:gridCol w:w="1139"/>
        <w:gridCol w:w="948"/>
        <w:gridCol w:w="4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建筑名称</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始建年代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建筑面积（㎡）</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建筑地点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清远市清新区龙颈镇河洞村凤塱村11-2号民居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清远市清新区龙颈镇河洞村凤塱村11-3号民居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清远市清新区龙颈镇河洞村凤塱村12-1号民居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清远市清新区龙颈镇河洞村凤塱村12-2号民居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12-3号民居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清远市清新区龙颈镇河洞村凤塱村12-3号民居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清远市清新区龙颈镇河洞村凤塱村13-1号民居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13-2号民居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清远市清新区龙颈镇河洞村凤塱村13-2号民居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14-1号民居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95</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清远市清新区龙颈镇河洞村高坡村14-1号民居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14-2号民居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118</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清远市清新区龙颈镇河洞村高坡村14-2号民居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15-1号民居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54</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清远市清新区龙颈镇河洞村高坡村15-1号民居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119</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清远市清新区龙颈镇河洞村高坡村15-2号民居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98</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清远市清新区龙颈镇河洞村高坡村15-3号民居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15-4号民居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122</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清远市清新区龙颈镇河洞村高坡村15-4号民居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130</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清远市清新区龙颈镇河洞村高坡村15-5号民居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16-1号民居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55</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清远市清新区龙颈镇河洞村高坡村16-1号民居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16-2号民居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128</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清远市清新区龙颈镇河洞村高坡村16-2号民居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16-3号民居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104</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清远市清新区龙颈镇河洞村高坡村16-3号民居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16-4号民居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129</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清远市清新区龙颈镇河洞村高坡村16-4号民居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17-1号民居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53</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清远市清新区龙颈镇河洞村高坡村17-1号民居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17-2号民居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122</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清远市清新区龙颈镇河洞村高坡村17-2号民居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17-3号民居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99</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清远市清新区龙颈镇河洞村高坡村17-3号民居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17-4号民居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124</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清远市清新区龙颈镇河洞村高坡村17-4号民居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93</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清远市清新区龙颈镇河洞村高坡村18-1号民居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19-1号民居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88</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清远市清新区龙颈镇河洞村高坡村19-1号民居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19-2号民居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104</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清远市清新区龙颈镇河洞村高坡村19-2号民居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19-3号民居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110</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清远市清新区龙颈镇河洞村高坡村19-3号民居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20-1号民居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128</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清远市清新区龙颈镇河洞村五一村20-1号民居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135</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清远市清新区龙颈镇河洞村五一村20-2号民居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20-3号民居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125</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清远市清新区龙颈镇河洞村五一村20-3号民居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21-1号民居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136</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清远市清新区龙颈镇河洞村五一村21-1号民居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21-2号民居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127</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清远市清新区龙颈镇河洞村五一村21-2号民居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21-3号民居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123</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清远市清新区龙颈镇河洞村五一村21-3号民居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22-1号民居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138</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清远市清新区龙颈镇河洞村五一村22-1号民居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22-2号民居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129</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清远市清新区龙颈镇河洞村五一村22-2号民居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23-1号民居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143</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清远市清新区龙颈镇河洞村五一村23-1号民居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23-2号民居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133</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清远市清新区龙颈镇河洞村五一村23-2号民居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23-3号民居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64</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清远市清新区龙颈镇河洞村五一村23-3号民居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24-1号民居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142</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清远市清新区龙颈镇河洞村五一村24-1号民居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24-2号民居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132</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清远市清新区龙颈镇河洞村五一村24-2号民居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24-3号民居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64</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清远市清新区龙颈镇河洞村五一村24-3号民居</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sectPr>
          <w:pgSz w:w="11906" w:h="16838"/>
          <w:pgMar w:top="1440" w:right="1800" w:bottom="1440" w:left="1800" w:header="851" w:footer="992" w:gutter="0"/>
          <w:pgNumType w:fmt="decimal"/>
          <w:cols w:space="425" w:num="1"/>
          <w:docGrid w:type="lines" w:linePitch="312" w:charSpace="0"/>
        </w:sectPr>
      </w:pPr>
      <w:bookmarkStart w:id="23" w:name="_Toc22237"/>
      <w:bookmarkStart w:id="24" w:name="_Toc5610"/>
      <w:bookmarkStart w:id="25" w:name="_Toc30596"/>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附表7非物质文化遗产保护项目一览表</w:t>
      </w:r>
      <w:bookmarkEnd w:id="23"/>
      <w:bookmarkEnd w:id="24"/>
      <w:bookmarkEnd w:id="25"/>
    </w:p>
    <w:p>
      <w:pPr>
        <w:pStyle w:val="3"/>
        <w:ind w:left="0" w:leftChars="0" w:firstLine="0" w:firstLineChars="0"/>
        <w:jc w:val="center"/>
        <w:rPr>
          <w:rFonts w:hint="default"/>
          <w:color w:val="auto"/>
          <w:lang w:val="en-US" w:eastAsia="zh-CN"/>
        </w:rPr>
      </w:pPr>
      <w:r>
        <w:rPr>
          <w:rFonts w:hint="eastAsia" w:ascii="宋体" w:hAnsi="宋体" w:eastAsia="宋体" w:cs="宋体"/>
          <w:b w:val="0"/>
          <w:bCs w:val="0"/>
          <w:color w:val="auto"/>
          <w:lang w:val="en-US" w:eastAsia="zh-CN"/>
        </w:rPr>
        <w:t xml:space="preserve">附表7 </w:t>
      </w:r>
      <w:r>
        <w:rPr>
          <w:rFonts w:hint="eastAsia" w:ascii="宋体" w:hAnsi="宋体" w:eastAsia="宋体" w:cs="宋体"/>
          <w:b w:val="0"/>
          <w:bCs w:val="0"/>
          <w:color w:val="auto"/>
          <w:sz w:val="24"/>
          <w:szCs w:val="24"/>
          <w:lang w:val="en-US" w:eastAsia="zh-CN"/>
        </w:rPr>
        <w:t>非物质文化遗产保护项目一览表</w:t>
      </w:r>
    </w:p>
    <w:tbl>
      <w:tblPr>
        <w:tblStyle w:val="7"/>
        <w:tblW w:w="4998" w:type="pct"/>
        <w:tblInd w:w="0" w:type="dxa"/>
        <w:shd w:val="clear" w:color="auto" w:fill="auto"/>
        <w:tblLayout w:type="autofit"/>
        <w:tblCellMar>
          <w:top w:w="0" w:type="dxa"/>
          <w:left w:w="0" w:type="dxa"/>
          <w:bottom w:w="0" w:type="dxa"/>
          <w:right w:w="0" w:type="dxa"/>
        </w:tblCellMar>
      </w:tblPr>
      <w:tblGrid>
        <w:gridCol w:w="1058"/>
        <w:gridCol w:w="2084"/>
        <w:gridCol w:w="3919"/>
        <w:gridCol w:w="1272"/>
      </w:tblGrid>
      <w:tr>
        <w:tblPrEx>
          <w:shd w:val="clear" w:color="auto" w:fill="auto"/>
          <w:tblCellMar>
            <w:top w:w="0" w:type="dxa"/>
            <w:left w:w="0" w:type="dxa"/>
            <w:bottom w:w="0" w:type="dxa"/>
            <w:right w:w="0" w:type="dxa"/>
          </w:tblCellMar>
        </w:tblPrEx>
        <w:trPr>
          <w:trHeight w:val="312" w:hRule="atLeast"/>
        </w:trPr>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序号</w:t>
            </w:r>
          </w:p>
        </w:tc>
        <w:tc>
          <w:tcPr>
            <w:tcW w:w="12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项目类别</w:t>
            </w:r>
          </w:p>
        </w:tc>
        <w:tc>
          <w:tcPr>
            <w:tcW w:w="23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项目名称</w:t>
            </w: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级别</w:t>
            </w:r>
          </w:p>
        </w:tc>
      </w:tr>
      <w:tr>
        <w:tblPrEx>
          <w:tblCellMar>
            <w:top w:w="0" w:type="dxa"/>
            <w:left w:w="0" w:type="dxa"/>
            <w:bottom w:w="0" w:type="dxa"/>
            <w:right w:w="0" w:type="dxa"/>
          </w:tblCellMar>
        </w:tblPrEx>
        <w:trPr>
          <w:trHeight w:val="312" w:hRule="atLeast"/>
        </w:trPr>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p>
        </w:tc>
        <w:tc>
          <w:tcPr>
            <w:tcW w:w="12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p>
        </w:tc>
        <w:tc>
          <w:tcPr>
            <w:tcW w:w="23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p>
        </w:tc>
      </w:tr>
      <w:tr>
        <w:tblPrEx>
          <w:tblCellMar>
            <w:top w:w="0" w:type="dxa"/>
            <w:left w:w="0" w:type="dxa"/>
            <w:bottom w:w="0" w:type="dxa"/>
            <w:right w:w="0" w:type="dxa"/>
          </w:tblCellMar>
        </w:tblPrEx>
        <w:trPr>
          <w:trHeight w:val="23"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民俗</w:t>
            </w:r>
          </w:p>
        </w:tc>
        <w:tc>
          <w:tcPr>
            <w:tcW w:w="2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eastAsia="zh-CN"/>
              </w:rPr>
            </w:pPr>
            <w:r>
              <w:rPr>
                <w:rFonts w:hint="eastAsia" w:ascii="宋体" w:hAnsi="宋体" w:eastAsia="宋体" w:cs="宋体"/>
                <w:color w:val="auto"/>
                <w:lang w:eastAsia="zh-CN"/>
              </w:rPr>
              <w:t>正月里舞貔貅</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tblPrEx>
          <w:tblCellMar>
            <w:top w:w="0" w:type="dxa"/>
            <w:left w:w="0" w:type="dxa"/>
            <w:bottom w:w="0" w:type="dxa"/>
            <w:right w:w="0" w:type="dxa"/>
          </w:tblCellMar>
        </w:tblPrEx>
        <w:trPr>
          <w:trHeight w:val="23"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民俗</w:t>
            </w:r>
          </w:p>
        </w:tc>
        <w:tc>
          <w:tcPr>
            <w:tcW w:w="2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eastAsia="zh-CN"/>
              </w:rPr>
            </w:pPr>
            <w:r>
              <w:rPr>
                <w:rFonts w:hint="eastAsia" w:ascii="宋体" w:hAnsi="宋体" w:eastAsia="宋体" w:cs="宋体"/>
                <w:color w:val="auto"/>
                <w:lang w:eastAsia="zh-CN"/>
              </w:rPr>
              <w:t>禾楼歌</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tblPrEx>
          <w:tblCellMar>
            <w:top w:w="0" w:type="dxa"/>
            <w:left w:w="0" w:type="dxa"/>
            <w:bottom w:w="0" w:type="dxa"/>
            <w:right w:w="0" w:type="dxa"/>
          </w:tblCellMar>
        </w:tblPrEx>
        <w:trPr>
          <w:trHeight w:val="23"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传统技艺</w:t>
            </w:r>
          </w:p>
        </w:tc>
        <w:tc>
          <w:tcPr>
            <w:tcW w:w="2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eastAsia="zh-CN"/>
              </w:rPr>
            </w:pPr>
            <w:r>
              <w:rPr>
                <w:rFonts w:hint="eastAsia" w:ascii="宋体" w:hAnsi="宋体" w:eastAsia="宋体" w:cs="宋体"/>
                <w:color w:val="auto"/>
                <w:lang w:eastAsia="zh-CN"/>
              </w:rPr>
              <w:t>腊味制作技艺</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bl>
    <w:p>
      <w:pPr>
        <w:pStyle w:val="2"/>
        <w:ind w:left="0" w:leftChars="0" w:firstLine="0" w:firstLineChars="0"/>
        <w:rPr>
          <w:rFonts w:hint="eastAsia"/>
          <w:lang w:val="en-US" w:eastAsia="zh-CN"/>
        </w:rPr>
      </w:pPr>
    </w:p>
    <w:p>
      <w:pPr>
        <w:pStyle w:val="3"/>
        <w:numPr>
          <w:ilvl w:val="0"/>
          <w:numId w:val="0"/>
        </w:numPr>
        <w:ind w:leftChars="0"/>
        <w:rPr>
          <w:rFonts w:hint="default" w:ascii="宋体" w:hAnsi="宋体" w:eastAsia="宋体" w:cs="宋体"/>
          <w:b/>
          <w:bCs/>
          <w:color w:val="auto"/>
          <w:sz w:val="36"/>
          <w:szCs w:val="36"/>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1B7BD"/>
    <w:multiLevelType w:val="singleLevel"/>
    <w:tmpl w:val="4C61B7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OWE3NWQ2ZTI3NDZmYTFlMjQzODQ4OWMzN2E4YmYifQ=="/>
  </w:docVars>
  <w:rsids>
    <w:rsidRoot w:val="3ECB78D1"/>
    <w:rsid w:val="35071E46"/>
    <w:rsid w:val="3ECB78D1"/>
    <w:rsid w:val="55CB6F95"/>
    <w:rsid w:val="65A5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4"/>
    </w:rPr>
  </w:style>
  <w:style w:type="paragraph" w:styleId="3">
    <w:name w:val="Body Text First Indent"/>
    <w:basedOn w:val="4"/>
    <w:semiHidden/>
    <w:unhideWhenUsed/>
    <w:qFormat/>
    <w:uiPriority w:val="99"/>
    <w:pPr>
      <w:ind w:firstLine="420" w:firstLineChars="100"/>
    </w:pPr>
  </w:style>
  <w:style w:type="paragraph" w:styleId="4">
    <w:name w:val="Body Text"/>
    <w:basedOn w:val="1"/>
    <w:qFormat/>
    <w:uiPriority w:val="1"/>
    <w:pPr>
      <w:spacing w:line="360" w:lineRule="auto"/>
      <w:ind w:firstLine="200" w:firstLineChars="200"/>
    </w:pPr>
    <w:rPr>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4840</Words>
  <Characters>5282</Characters>
  <Lines>0</Lines>
  <Paragraphs>0</Paragraphs>
  <TotalTime>5</TotalTime>
  <ScaleCrop>false</ScaleCrop>
  <LinksUpToDate>false</LinksUpToDate>
  <CharactersWithSpaces>5311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2025-08-01T02:01:00Z</dcterms:created>
  <dc:creator>YX</dc:creator>
  <cp:lastModifiedBy>Yiwind</cp:lastModifiedBy>
  <dcterms:modified xsi:type="dcterms:W3CDTF">2025-08-20T07:08:44Z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58F283C787D0438084C645BE4EB92F62_11</vt:lpwstr>
  </property>
  <property fmtid="{D5CDD505-2E9C-101B-9397-08002B2CF9AE}" pid="4" name="KSOTemplateDocerSaveRecord">
    <vt:lpwstr>eyJoZGlkIjoiNzg5MWNkMDVjZTQxZGRiZGQ4MTA5ZmVhZWNmOTYxNTIiLCJ1c2VySWQiOiI0NTM1NTM4NTUifQ==</vt:lpwstr>
  </property>
</Properties>
</file>