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  <w:lang w:eastAsia="zh-CN"/>
        </w:rPr>
        <w:t>表</w:t>
      </w:r>
      <w:r>
        <w:rPr>
          <w:rFonts w:hint="eastAsia"/>
          <w:b/>
          <w:bCs/>
          <w:sz w:val="36"/>
          <w:szCs w:val="44"/>
          <w:lang w:val="en-US" w:eastAsia="zh-CN"/>
        </w:rPr>
        <w:t>1</w:t>
      </w:r>
      <w:r>
        <w:rPr>
          <w:rFonts w:hint="eastAsia"/>
          <w:b/>
          <w:bCs/>
          <w:sz w:val="36"/>
          <w:szCs w:val="44"/>
        </w:rPr>
        <w:t>清远市农村千人以上供水工程水源保护区划定方案</w:t>
      </w:r>
      <w:r>
        <w:rPr>
          <w:rFonts w:hint="eastAsia"/>
          <w:b/>
          <w:bCs/>
          <w:sz w:val="36"/>
          <w:szCs w:val="44"/>
          <w:lang w:eastAsia="zh-CN"/>
        </w:rPr>
        <w:t>(征求意见稿)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048"/>
        <w:gridCol w:w="444"/>
        <w:gridCol w:w="495"/>
        <w:gridCol w:w="1170"/>
        <w:gridCol w:w="720"/>
        <w:gridCol w:w="750"/>
        <w:gridCol w:w="1380"/>
        <w:gridCol w:w="1575"/>
        <w:gridCol w:w="750"/>
        <w:gridCol w:w="2205"/>
        <w:gridCol w:w="211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3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县（市、区）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乡镇</w:t>
            </w:r>
          </w:p>
        </w:tc>
        <w:tc>
          <w:tcPr>
            <w:tcW w:w="17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村委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保护区名称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水源类型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水质保护目标</w:t>
            </w:r>
          </w:p>
        </w:tc>
        <w:tc>
          <w:tcPr>
            <w:tcW w:w="104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饮用水水源地取水口坐标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保护级别</w:t>
            </w:r>
          </w:p>
        </w:tc>
        <w:tc>
          <w:tcPr>
            <w:tcW w:w="191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保护区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48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东经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北纬</w:t>
            </w:r>
          </w:p>
        </w:tc>
        <w:tc>
          <w:tcPr>
            <w:tcW w:w="2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水域保护范围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陆域保护范围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面积（平方公里）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3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清新区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禾云镇</w:t>
            </w:r>
          </w:p>
        </w:tc>
        <w:tc>
          <w:tcPr>
            <w:tcW w:w="17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北社村委会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禾云镇北社村李仔坑饮用水水源地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河流型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Ⅲ类</w:t>
            </w:r>
          </w:p>
        </w:tc>
        <w:tc>
          <w:tcPr>
            <w:tcW w:w="48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112.860787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24.016836</w:t>
            </w: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以取水口为中心，水域长度为上游500米，下游50米，宽度为正常水位线内的全部水域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陆域长度同水域长度，宽度为河岸两侧纵深以山路为界，不超过第一重山脊线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8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二级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水域长度为上游1000米，下游100米，宽度为正常水位线内，除一级保护区范围外的全部水域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陆域长度同水域长度，宽度为河岸两侧纵深50米，优先以第一重山脊线为边界，除一级保护区范围外的全部陆域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3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清新区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浸潭镇</w:t>
            </w:r>
          </w:p>
        </w:tc>
        <w:tc>
          <w:tcPr>
            <w:tcW w:w="17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渔汕村委会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浸潭镇渔汕村梅仔冲饮用水水源地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河流型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Ⅲ类</w:t>
            </w:r>
          </w:p>
        </w:tc>
        <w:tc>
          <w:tcPr>
            <w:tcW w:w="48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112.590113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23.996565</w:t>
            </w: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以取水口为中心，长度为上游500米，下游至防洪堤坝，宽度为正常水位线内的全部水域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陆域长度同水域长度，宽度为河岸两侧纵深以山路为界，不超过第一重山脊线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8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二级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以取水口为中心，水域长度为上游1000米，下游至防洪堤坝，宽度为正常水位线内，除一级保护区范围外的全部水域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陆域长度同水域长度，宽度为河岸两侧纵深50米，优先以第一重山脊线为边界，除一级保护区范围外的全部陆域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</w:t>
            </w:r>
          </w:p>
        </w:tc>
        <w:tc>
          <w:tcPr>
            <w:tcW w:w="36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清新区</w:t>
            </w:r>
          </w:p>
        </w:tc>
        <w:tc>
          <w:tcPr>
            <w:tcW w:w="1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石潭镇</w:t>
            </w:r>
          </w:p>
        </w:tc>
        <w:tc>
          <w:tcPr>
            <w:tcW w:w="17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白湾村委会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石潭镇白湾村大井饮用水水源地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地下水型</w:t>
            </w:r>
          </w:p>
        </w:tc>
        <w:tc>
          <w:tcPr>
            <w:tcW w:w="26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Ⅲ类</w:t>
            </w:r>
          </w:p>
        </w:tc>
        <w:tc>
          <w:tcPr>
            <w:tcW w:w="48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112.818771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24.251320</w:t>
            </w: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一级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地下水型水源地，不存在水域范围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以取水口为中心，东至径向距离30米，南至径向距离30米，西至径向距离30米，北至居民生活区边界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0.0053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6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8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6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二级</w:t>
            </w:r>
          </w:p>
        </w:tc>
        <w:tc>
          <w:tcPr>
            <w:tcW w:w="77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不设置二级保护区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不设置二级保护区</w:t>
            </w:r>
          </w:p>
        </w:tc>
        <w:tc>
          <w:tcPr>
            <w:tcW w:w="38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</w:p>
        </w:tc>
      </w:tr>
    </w:tbl>
    <w:p>
      <w:pPr>
        <w:pStyle w:val="2"/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  <w:bookmarkStart w:id="0" w:name="_Toc209986385"/>
    </w:p>
    <w:p>
      <w:pPr>
        <w:pStyle w:val="2"/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/>
          <w:sz w:val="32"/>
          <w:szCs w:val="32"/>
        </w:rPr>
      </w:pPr>
    </w:p>
    <w:bookmarkEnd w:id="0"/>
    <w:p>
      <w:pPr>
        <w:spacing w:line="240" w:lineRule="auto"/>
        <w:ind w:firstLine="0" w:firstLineChars="0"/>
        <w:jc w:val="center"/>
      </w:pPr>
      <w:r>
        <w:t xml:space="preserve"> </w:t>
      </w:r>
    </w:p>
    <w:p>
      <w:pPr>
        <w:spacing w:line="240" w:lineRule="auto"/>
        <w:ind w:firstLine="0" w:firstLineChars="0"/>
        <w:jc w:val="center"/>
      </w:pPr>
      <w:r>
        <w:drawing>
          <wp:inline distT="0" distB="0" distL="0" distR="0">
            <wp:extent cx="7595235" cy="5027295"/>
            <wp:effectExtent l="0" t="0" r="5715" b="1905"/>
            <wp:docPr id="2137793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79313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2" t="22657" r="5980" b="1987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图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 xml:space="preserve"> 禾云镇北社村李仔坑饮用水水源保护区示意图及拐点坐标</w:t>
      </w:r>
      <w:bookmarkStart w:id="1" w:name="_Toc209986387"/>
    </w:p>
    <w:p>
      <w:pPr>
        <w:pStyle w:val="2"/>
        <w:numPr>
          <w:ilvl w:val="0"/>
          <w:numId w:val="0"/>
        </w:numPr>
        <w:rPr>
          <w:rFonts w:hint="eastAsia"/>
        </w:rPr>
      </w:pPr>
      <w:bookmarkStart w:id="3" w:name="_GoBack"/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-8255</wp:posOffset>
            </wp:positionV>
            <wp:extent cx="7313930" cy="5118735"/>
            <wp:effectExtent l="0" t="0" r="1270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8" t="18099" r="5676" b="1860"/>
                    <a:stretch>
                      <a:fillRect/>
                    </a:stretch>
                  </pic:blipFill>
                  <pic:spPr>
                    <a:xfrm>
                      <a:off x="0" y="0"/>
                      <a:ext cx="731393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bookmarkEnd w:id="1"/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/>
          <w:sz w:val="30"/>
          <w:szCs w:val="30"/>
        </w:rPr>
        <w:t>图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 xml:space="preserve"> 浸潭镇渔汕村梅仔冲饮用水水源保护区示意图及拐点坐标</w:t>
      </w:r>
    </w:p>
    <w:p>
      <w:pPr>
        <w:spacing w:line="240" w:lineRule="auto"/>
        <w:ind w:firstLine="0" w:firstLineChars="0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20320</wp:posOffset>
            </wp:positionV>
            <wp:extent cx="7282180" cy="4772025"/>
            <wp:effectExtent l="0" t="0" r="13970" b="9525"/>
            <wp:wrapSquare wrapText="bothSides"/>
            <wp:docPr id="173806578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65783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4" t="23194" r="5778" b="1856"/>
                    <a:stretch>
                      <a:fillRect/>
                    </a:stretch>
                  </pic:blipFill>
                  <pic:spPr>
                    <a:xfrm>
                      <a:off x="0" y="0"/>
                      <a:ext cx="728218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rPr>
          <w:rFonts w:hint="eastAsia"/>
        </w:rPr>
      </w:pPr>
      <w:bookmarkStart w:id="2" w:name="_Toc209986388"/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图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 石潭镇白湾村大井饮用水水源保护区示意图及拐点坐标</w:t>
      </w:r>
      <w:bookmarkEnd w:id="2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3DAD"/>
    <w:multiLevelType w:val="multilevel"/>
    <w:tmpl w:val="57C43DAD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A6C83"/>
    <w:rsid w:val="00061F00"/>
    <w:rsid w:val="000B1664"/>
    <w:rsid w:val="001D296D"/>
    <w:rsid w:val="00220892"/>
    <w:rsid w:val="003021E7"/>
    <w:rsid w:val="004E0DB6"/>
    <w:rsid w:val="0063295D"/>
    <w:rsid w:val="006362B3"/>
    <w:rsid w:val="006418C0"/>
    <w:rsid w:val="00652BD9"/>
    <w:rsid w:val="006C1FC0"/>
    <w:rsid w:val="006E2E44"/>
    <w:rsid w:val="007B24A3"/>
    <w:rsid w:val="007B660B"/>
    <w:rsid w:val="00821F62"/>
    <w:rsid w:val="00870716"/>
    <w:rsid w:val="009B2F5A"/>
    <w:rsid w:val="00A01816"/>
    <w:rsid w:val="00AE0843"/>
    <w:rsid w:val="00B60A46"/>
    <w:rsid w:val="00D04D4C"/>
    <w:rsid w:val="00DA6926"/>
    <w:rsid w:val="00DF39B7"/>
    <w:rsid w:val="00E32669"/>
    <w:rsid w:val="00E71856"/>
    <w:rsid w:val="00F06BF8"/>
    <w:rsid w:val="00F26DC6"/>
    <w:rsid w:val="00F3657D"/>
    <w:rsid w:val="00FE5CD8"/>
    <w:rsid w:val="06951656"/>
    <w:rsid w:val="27EA6C83"/>
    <w:rsid w:val="2DE236DA"/>
    <w:rsid w:val="37737C8C"/>
    <w:rsid w:val="3A0727EE"/>
    <w:rsid w:val="44F54019"/>
    <w:rsid w:val="47D6679C"/>
    <w:rsid w:val="48513F30"/>
    <w:rsid w:val="584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640" w:lineRule="exact"/>
      <w:ind w:firstLineChars="0"/>
      <w:outlineLvl w:val="1"/>
    </w:pPr>
    <w:rPr>
      <w:rFonts w:ascii="楷体_GB2312" w:hAnsi="楷体_GB2312" w:eastAsia="楷体_GB231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440</Characters>
  <Lines>48</Lines>
  <Paragraphs>51</Paragraphs>
  <TotalTime>2</TotalTime>
  <ScaleCrop>false</ScaleCrop>
  <LinksUpToDate>false</LinksUpToDate>
  <CharactersWithSpaces>767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2025-07-08T03:00:00Z</dcterms:created>
  <dc:creator>三色小胖纸</dc:creator>
  <cp:lastModifiedBy>莫容清</cp:lastModifiedBy>
  <dcterms:modified xsi:type="dcterms:W3CDTF">2025-10-21T02:52:23Z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A0BBA7C424C74411BDC92970A88721A3_11</vt:lpwstr>
  </property>
  <property fmtid="{D5CDD505-2E9C-101B-9397-08002B2CF9AE}" pid="4" name="KSOTemplateDocerSaveRecord">
    <vt:lpwstr>eyJoZGlkIjoiNDI1NGQ4MDY4NjMxYWVlMzc3ODM2NDE0MmU1ODUxYzYiLCJ1c2VySWQiOiI0MTk4NDkxNjEifQ==</vt:lpwstr>
  </property>
</Properties>
</file>