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2" w:afterAutospacing="0"/>
        <w:ind w:left="0" w:right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lang w:val="en-US" w:eastAsia="zh-CN"/>
        </w:rPr>
        <w:t>清远市清新区创业孵化基地运营商遴选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2" w:afterAutospacing="0"/>
        <w:ind w:left="0" w:right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lang w:val="en-US" w:eastAsia="zh-CN"/>
        </w:rPr>
        <w:t>评比规则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2" w:afterAutospacing="0" w:line="300" w:lineRule="exact"/>
        <w:ind w:left="0" w:right="0" w:firstLine="723" w:firstLineChars="20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2" w:afterAutospacing="0"/>
        <w:ind w:left="0" w:right="0" w:firstLine="482" w:firstLineChars="20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一、资格审查（准入条件，不计入总分，一票否决）</w:t>
      </w:r>
    </w:p>
    <w:tbl>
      <w:tblPr>
        <w:tblStyle w:val="6"/>
        <w:tblW w:w="90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1170"/>
        <w:gridCol w:w="3630"/>
        <w:gridCol w:w="3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审查项目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审查内容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佐证材料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法人资质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在中华人民共和国境内依法注册登记，具有独立法人资格，营业执照处于有效期内。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营业执照副本复印件（加盖公章）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经营记录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近三年内在经营活动中无重大违法违规记录，未被列入严重失信主体名单。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  <w:t>国家企业信用信息公示网截图、“信用中国”网站下载的信用信息报告。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运营团队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配备专职运营团队，专职负责人具有项目管理经验，专职从事创业服务工作的管理人员不少于3名（其中本科以上学历≥2名）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。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专职运营团队成员履历+社保缴纳证明+劳动合同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孵化场地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具有固定的创业孵化场所，场地面积不少于600平方米，场所产权清晰或租赁剩余期限不少于3年。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  <w:t>不动产权证书或租赁合同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复印件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  <w:t>（剩余期限≥3年）+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规划平面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  <w:t>图（标注总面积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和功能分区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地理位置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场地处于以下位置范围内：北至清新区环城路（含两侧），西至环城路、城西大道，南至城西大道、飞来北路，东至飞来北路、环城路。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百度地图POI点位截图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关联关系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不存在单位负责人为同一人或者存在直接控股、管理关系的单位同时参与遴选的情形。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  <w:t>国家企业信用信息公示网截图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注：以上六项任意一项不满足或材料缺失，不进入后续评分环节。</w:t>
            </w:r>
          </w:p>
        </w:tc>
      </w:tr>
    </w:tbl>
    <w:p>
      <w:pPr>
        <w:rPr>
          <w:vanish/>
          <w:sz w:val="32"/>
          <w:szCs w:val="32"/>
        </w:rPr>
      </w:pPr>
    </w:p>
    <w:tbl>
      <w:tblPr>
        <w:tblStyle w:val="6"/>
        <w:tblW w:w="9137" w:type="dxa"/>
        <w:tblInd w:w="-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9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/>
              <w:ind w:left="0" w:right="0" w:firstLine="482" w:firstLineChars="200"/>
              <w:jc w:val="left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二、评审细则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（满分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100分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rPr>
          <w:vanish/>
          <w:sz w:val="32"/>
          <w:szCs w:val="32"/>
        </w:rPr>
      </w:pPr>
    </w:p>
    <w:tbl>
      <w:tblPr>
        <w:tblStyle w:val="6"/>
        <w:tblW w:w="90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740"/>
        <w:gridCol w:w="430"/>
        <w:gridCol w:w="6059"/>
        <w:gridCol w:w="13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9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（一）运营服务方案（满分40分）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评分项目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分值</w:t>
            </w:r>
          </w:p>
        </w:tc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评分标准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佐证材料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总体运营规划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10分</w:t>
            </w:r>
          </w:p>
        </w:tc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（1）方案整体科学合理、针对性强、可操作性强，完全符合创业孵化基地建设要求，优于或满足需求的，得10分；（2）方案比较科学合理、针对性一般、可操作性一般，满足部分需求的，得5分；（3）方案不满足需求或缺失的，不得分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运营服务方案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目标指标体系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6分</w:t>
            </w:r>
          </w:p>
        </w:tc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（1）设定的运营目标（孵化企业数量、孵化成功率、带动就业人数、活动场次等）量化清晰、指标合理且具有挑战性的，得6分；（2）目标量化不完整或指标偏低、缺乏挑战性的，酌情得2—4分；（3）未设定具体目标指标的，不得分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运营服务方案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孵化服务方案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8分</w:t>
            </w:r>
          </w:p>
        </w:tc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（1）对入驻评估、孵化服务、毕业退出等全流程有详细设计，创业导师制度安排具体明确，跟踪服务机制完善的，得8分；（2）方案设计完整但细节不够具体的，酌情得4—6分；（3）方案较为粗糙或缺项的，酌情得1—3分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运营服务方案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活动规划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6分</w:t>
            </w:r>
          </w:p>
        </w:tc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（1）年度创业培训、沙龙、路演、资源对接会等活动规划系统完整，活动场次安排合理，主题具有针对性的，得6分；（2）活动规划基本完整但场次偏少或主题单一的，酌情得3—5分；（3）活动规划缺失的，不得分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运营服务方案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运营计划及进度安排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（1）运营计划及进度安排科学合理、专业性强、可行性强，满足或优于需求的，得5分；（2）比较科学合理、专业性比较强、可行性比较强的，得3分；（3）科学合理性差、专业性差、可行性差的，不得分。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运营服务方案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服务质量保障措施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（1）服务质量保障体系及措施完整、具体、合理可行，且有与本项目相关的应急处理措施方案的，得5分；（2）保障体系基本完整但缺乏具体措施的，酌情得2—4分；（3）缺失的，不得分。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运营服务方案</w:t>
            </w:r>
          </w:p>
        </w:tc>
      </w:tr>
    </w:tbl>
    <w:p>
      <w:pPr>
        <w:rPr>
          <w:vanish/>
          <w:color w:val="auto"/>
          <w:sz w:val="32"/>
          <w:szCs w:val="32"/>
        </w:rPr>
      </w:pPr>
    </w:p>
    <w:tbl>
      <w:tblPr>
        <w:tblStyle w:val="6"/>
        <w:tblW w:w="90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747"/>
        <w:gridCol w:w="432"/>
        <w:gridCol w:w="6058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90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（二）资源与服务能力（满分40分）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评分项目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评分标准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佐证材料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创业导师队伍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建立创业导师团队，每位创业导师得1分，最高5分。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创业导师名单、简介、聘用证书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团队专业能力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运营团队成员中，每有1人持有创业辅导师、人力资源管理师、会计师、知识产权师等专业资质证书的，得1分，最高得4分（同一人持有多个证书不重复计分）。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资质证书复印件、社保缴纳证明。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中介服务机构合作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与工商代理、财务税务代理、法律、知识产权、投融资等服务机构签订合作协议的，每签约1类得1分，最高4分。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合作协议复印件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投融资服务能力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6分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  <w:t>与银行、担保公司、小额贷款公司等金融机构签订合作协议，可为入孵企业提供融资渠道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  <w:t>合作金融机构≥3家，得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  <w:t>分； 合作金融机构≥2家，得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  <w:t>分；合作金融机构≥1家，得1分。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  <w:t>合作协议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宣传推广能力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拥有孵化基地品牌宣传和推广的具体计划方案，具备线上推广渠道（网站、公众号等）或媒体合作资源的，得3分；计划方案不完整或渠道资源不足的，酌情得1—2分。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宣传方案、合作合同等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资源引进与合作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7分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（1）与高校、科研院所、行业协会等有明确合作协议或合作意向的，每提供1项得2分，最高得4分；（2）拥有产业资源对接渠道，能够为在孵企业提供技术、市场等资源支持的，得3分；不具备的不得分。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合作协议或意向书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项目业绩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8分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（1）运营主体具有运营管理经验的，每提供1个成功运营案例得2分，最高得6分。（2）运营案例中，有获得国家级/省级相关认定或评优的，每项加1分，最高加2分。材料：合同关键页、认定文件等复印件。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附合同或相关证明文件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资质认证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运营主体获得国家级众创空间备案得3分，获得省级认定得2分，获得市级认定得1分，不累计。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认定文件复印件。</w:t>
            </w:r>
          </w:p>
        </w:tc>
      </w:tr>
    </w:tbl>
    <w:p>
      <w:pPr>
        <w:rPr>
          <w:vanish/>
          <w:color w:val="auto"/>
          <w:sz w:val="32"/>
          <w:szCs w:val="32"/>
        </w:rPr>
      </w:pPr>
    </w:p>
    <w:tbl>
      <w:tblPr>
        <w:tblStyle w:val="6"/>
        <w:tblW w:w="90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3"/>
        <w:gridCol w:w="841"/>
        <w:gridCol w:w="373"/>
        <w:gridCol w:w="6078"/>
        <w:gridCol w:w="13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90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（三）管理制度与规范（满分10分）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评分项目</w:t>
            </w: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分值</w:t>
            </w:r>
          </w:p>
        </w:tc>
        <w:tc>
          <w:tcPr>
            <w:tcW w:w="6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评分标准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佐证材料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运营管理制度</w:t>
            </w: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4分</w:t>
            </w:r>
          </w:p>
        </w:tc>
        <w:tc>
          <w:tcPr>
            <w:tcW w:w="6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有完善的运营管理制度，包括创业团队和企业的入驻评估机制、孵化服务流程、毕业与退出机制等。运营制度完善有效，计4分；运营制度具备但效果欠缺，计2分；运营制度缺失、无效，计0分。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运营管理制度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财务管理制度</w:t>
            </w: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2分</w:t>
            </w:r>
          </w:p>
        </w:tc>
        <w:tc>
          <w:tcPr>
            <w:tcW w:w="6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有完善的财务管理制度，计2分；制度基本具备但不够完善，计1分；缺失的计0分。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财务管理制度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日常管理制度</w:t>
            </w: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2分</w:t>
            </w:r>
          </w:p>
        </w:tc>
        <w:tc>
          <w:tcPr>
            <w:tcW w:w="6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有完善的日常管理制度（包括岗位责任制、管理维护运行制度、管理人员考核制度、考勤制度、安全保密制度、风险防控制度等），计2分；制度基本具备但不完善的，计1分；缺失的计0分。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日常管理制度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档案管理制度</w:t>
            </w: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2分</w:t>
            </w:r>
          </w:p>
        </w:tc>
        <w:tc>
          <w:tcPr>
            <w:tcW w:w="6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有规范的基础资料台账管理制度，能够完整记录孵化过程和服务内容的，计2分；基本具备但记录不完善的，计1分；缺失的计0分。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档案管理制度</w:t>
            </w:r>
          </w:p>
        </w:tc>
      </w:tr>
    </w:tbl>
    <w:p>
      <w:pPr>
        <w:rPr>
          <w:vanish/>
          <w:color w:val="auto"/>
          <w:sz w:val="32"/>
          <w:szCs w:val="32"/>
        </w:rPr>
      </w:pPr>
    </w:p>
    <w:tbl>
      <w:tblPr>
        <w:tblStyle w:val="6"/>
        <w:tblW w:w="90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3"/>
        <w:gridCol w:w="599"/>
        <w:gridCol w:w="373"/>
        <w:gridCol w:w="6305"/>
        <w:gridCol w:w="13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9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（四）场地条件（满分10分）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评分项目</w:t>
            </w: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分值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评分标准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佐证材料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距离城区中心距离</w:t>
            </w: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以到清新区人民政府直线距离计算：≤1公里，计5分；,＞1公里≤3公里，计3分；＞3公里≤4.0公里，计1分；&gt;4公里/处于郊区农村/超出县城范围内，计0分。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百度地图网页版测距工具测量截图（标注起点和终点）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功能分区完整度</w:t>
            </w: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具备以下5类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区域：独立办公区、共享工位、会议室、路演厅、洽谈区，计5分，每缺1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类扣1分，扣完为止。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规划平面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  <w:t>图（标注总面积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和功能分区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</w:rPr>
              <w:t>）</w:t>
            </w:r>
          </w:p>
        </w:tc>
      </w:tr>
    </w:tbl>
    <w:p>
      <w:pPr>
        <w:rPr>
          <w:vanish/>
          <w:color w:val="auto"/>
          <w:sz w:val="32"/>
          <w:szCs w:val="3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2" w:afterAutospacing="0"/>
        <w:ind w:left="0" w:right="0" w:firstLine="482" w:firstLineChars="200"/>
        <w:jc w:val="left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4"/>
          <w:szCs w:val="24"/>
        </w:rPr>
        <w:t>、总分与排名规则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left"/>
        <w:textAlignment w:val="top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通过资格审查的参选方，按总分从高到低排序，总分最高者确定为拟合作运营商。如出现同分，按运营方案质量得分高者胜出。排名结果及最终确定的运营商名单将向社会公示5个工作日。</w:t>
      </w:r>
    </w:p>
    <w:p>
      <w:pPr>
        <w:rPr>
          <w:rFonts w:hint="eastAsia" w:eastAsia="宋体"/>
          <w:vanish/>
          <w:sz w:val="32"/>
          <w:szCs w:val="32"/>
          <w:lang w:eastAsia="zh-CN"/>
        </w:rPr>
      </w:pPr>
      <w:r>
        <w:rPr>
          <w:rFonts w:hint="eastAsia"/>
          <w:vanish/>
          <w:sz w:val="32"/>
          <w:szCs w:val="32"/>
          <w:lang w:eastAsia="zh-CN"/>
        </w:rPr>
        <w:t>四</w:t>
      </w:r>
    </w:p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91B44"/>
    <w:rsid w:val="13593392"/>
    <w:rsid w:val="144815FE"/>
    <w:rsid w:val="2BFF0166"/>
    <w:rsid w:val="2E3062B5"/>
    <w:rsid w:val="2E614268"/>
    <w:rsid w:val="2EAD660E"/>
    <w:rsid w:val="31B91B44"/>
    <w:rsid w:val="339D2E67"/>
    <w:rsid w:val="3A1D51AE"/>
    <w:rsid w:val="4FC12337"/>
    <w:rsid w:val="5FB2532E"/>
    <w:rsid w:val="60122818"/>
    <w:rsid w:val="62C053FD"/>
    <w:rsid w:val="746A75CF"/>
    <w:rsid w:val="77791BF7"/>
    <w:rsid w:val="7A21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公文标题"/>
    <w:basedOn w:val="1"/>
    <w:qFormat/>
    <w:uiPriority w:val="0"/>
    <w:pPr>
      <w:ind w:firstLine="640" w:firstLineChars="200"/>
    </w:pPr>
    <w:rPr>
      <w:rFonts w:hint="eastAsia" w:ascii="方正小标宋_GBK" w:hAnsi="方正小标宋_GBK" w:eastAsia="方正小标宋_GBK" w:cs="方正小标宋_GBK"/>
      <w:b/>
      <w:bCs/>
      <w:sz w:val="44"/>
      <w:szCs w:val="44"/>
    </w:rPr>
  </w:style>
  <w:style w:type="paragraph" w:customStyle="1" w:styleId="10">
    <w:name w:val="公文正文"/>
    <w:basedOn w:val="1"/>
    <w:qFormat/>
    <w:uiPriority w:val="0"/>
    <w:pPr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11">
    <w:name w:val="一级标题"/>
    <w:basedOn w:val="1"/>
    <w:qFormat/>
    <w:uiPriority w:val="0"/>
    <w:pPr>
      <w:ind w:firstLine="64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山根镇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2026-06-03T01:03:00Z</dcterms:created>
  <dc:creator>Lai Nok Si</dc:creator>
  <cp:lastModifiedBy>Lai Nok Si</cp:lastModifiedBy>
  <cp:lastPrinted>2026-06-05T03:33:01Z</cp:lastPrinted>
  <dcterms:modified xsi:type="dcterms:W3CDTF">2026-06-05T03:33:04Z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