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0" w:leftChars="0" w:right="0" w:rightChars="0" w:firstLine="0" w:firstLineChars="0"/>
        <w:jc w:val="center"/>
        <w:rPr>
          <w:rFonts w:hint="eastAsia" w:ascii="方正小标宋_GBK" w:hAnsi="方正小标宋_GBK" w:eastAsia="方正小标宋_GBK"/>
          <w:color w:val="FF0000"/>
          <w:w w:val="60"/>
          <w:sz w:val="96"/>
          <w:szCs w:val="96"/>
          <w:lang w:eastAsia="zh-CN"/>
        </w:rPr>
      </w:pPr>
    </w:p>
    <w:p>
      <w:pPr>
        <w:spacing w:line="240" w:lineRule="auto"/>
        <w:ind w:left="0" w:leftChars="0" w:right="0" w:rightChars="0" w:firstLine="0" w:firstLineChars="0"/>
        <w:jc w:val="center"/>
        <w:rPr>
          <w:rFonts w:hint="eastAsia" w:ascii="方正小标宋_GBK" w:hAnsi="方正小标宋_GBK" w:eastAsia="方正小标宋_GBK"/>
          <w:color w:val="FF0000"/>
          <w:w w:val="60"/>
          <w:sz w:val="116"/>
          <w:lang w:eastAsia="zh-CN"/>
        </w:rPr>
      </w:pPr>
      <w:r>
        <w:rPr>
          <w:rFonts w:hint="eastAsia" w:ascii="方正小标宋_GBK" w:hAnsi="方正小标宋_GBK" w:eastAsia="方正小标宋_GBK"/>
          <w:color w:val="FF0000"/>
          <w:w w:val="60"/>
          <w:sz w:val="116"/>
          <w:lang w:eastAsia="zh-CN"/>
        </w:rPr>
        <w:t>清远市清新区人民政府文件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86" w:rightChars="-27" w:firstLine="0" w:firstLineChars="0"/>
        <w:jc w:val="center"/>
        <w:textAlignment w:val="auto"/>
        <w:rPr>
          <w:rFonts w:hint="eastAsia"/>
          <w:lang w:eastAsia="zh-CN"/>
        </w:rPr>
      </w:pPr>
      <w:r>
        <w:rPr>
          <w:rFonts w:hint="eastAsia" w:ascii="仿宋_GB2312" w:hAnsi="仿宋_GB2312" w:eastAsia="仿宋_GB2312" w:cs="仿宋_GB2312"/>
          <w:b w:val="0"/>
          <w:bCs/>
          <w:sz w:val="32"/>
          <w:szCs w:val="32"/>
        </w:rPr>
        <w:t>清新府〔202</w:t>
      </w: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val="en-US" w:eastAsia="zh-CN"/>
        </w:rPr>
        <w:t>14</w:t>
      </w:r>
      <w:r>
        <w:rPr>
          <w:rFonts w:hint="eastAsia" w:ascii="仿宋_GB2312" w:hAnsi="仿宋_GB2312" w:cs="仿宋_GB2312"/>
          <w:b w:val="0"/>
          <w:bCs/>
          <w:sz w:val="32"/>
          <w:szCs w:val="32"/>
          <w:lang w:val="en-US" w:eastAsia="zh-CN"/>
        </w:rPr>
        <w:t>6</w:t>
      </w:r>
      <w:bookmarkStart w:id="65" w:name="_GoBack"/>
      <w:bookmarkEnd w:id="65"/>
      <w:r>
        <w:rPr>
          <w:rFonts w:hint="eastAsia" w:ascii="仿宋_GB2312" w:hAnsi="仿宋_GB2312" w:eastAsia="仿宋_GB2312" w:cs="仿宋_GB2312"/>
          <w:b w:val="0"/>
          <w:bCs/>
          <w:sz w:val="32"/>
          <w:szCs w:val="32"/>
        </w:rPr>
        <w:t>号</w:t>
      </w:r>
    </w:p>
    <w:p>
      <w:pPr>
        <w:keepNext w:val="0"/>
        <w:keepLines w:val="0"/>
        <w:pageBreakBefore w:val="0"/>
        <w:widowControl w:val="0"/>
        <w:kinsoku/>
        <w:wordWrap/>
        <w:overflowPunct/>
        <w:topLinePunct w:val="0"/>
        <w:autoSpaceDE/>
        <w:autoSpaceDN/>
        <w:bidi w:val="0"/>
        <w:adjustRightInd/>
        <w:snapToGrid/>
        <w:spacing w:line="760" w:lineRule="exact"/>
        <w:ind w:left="0" w:leftChars="0" w:right="0" w:rightChars="0" w:firstLine="0" w:firstLineChars="0"/>
        <w:jc w:val="center"/>
        <w:textAlignment w:val="auto"/>
        <w:rPr>
          <w:rFonts w:hint="eastAsia" w:eastAsia="方正小标宋简体"/>
          <w:b w:val="0"/>
          <w:bCs/>
          <w:color w:val="000000" w:themeColor="text1"/>
          <w:sz w:val="44"/>
          <w:szCs w:val="44"/>
          <w:highlight w:val="none"/>
          <w:lang w:val="en-US" w:eastAsia="zh-CN"/>
          <w14:textFill>
            <w14:solidFill>
              <w14:schemeClr w14:val="tx1"/>
            </w14:solidFill>
          </w14:textFill>
        </w:rPr>
      </w:pPr>
      <w:r>
        <w:rPr>
          <w:rFonts w:hint="eastAsia" w:ascii="方正小标宋_GBK" w:hAnsi="方正小标宋_GBK" w:eastAsia="方正小标宋_GBK"/>
        </w:rPr>
        <mc:AlternateContent>
          <mc:Choice Requires="wps">
            <w:drawing>
              <wp:anchor distT="0" distB="0" distL="114300" distR="114300" simplePos="0" relativeHeight="251660288" behindDoc="0" locked="0" layoutInCell="1" allowOverlap="1">
                <wp:simplePos x="0" y="0"/>
                <wp:positionH relativeFrom="column">
                  <wp:posOffset>-219075</wp:posOffset>
                </wp:positionH>
                <wp:positionV relativeFrom="paragraph">
                  <wp:posOffset>128270</wp:posOffset>
                </wp:positionV>
                <wp:extent cx="5972175" cy="3810"/>
                <wp:effectExtent l="0" t="19050" r="1905" b="22860"/>
                <wp:wrapNone/>
                <wp:docPr id="2" name="直接连接符 2"/>
                <wp:cNvGraphicFramePr/>
                <a:graphic xmlns:a="http://schemas.openxmlformats.org/drawingml/2006/main">
                  <a:graphicData uri="http://schemas.microsoft.com/office/word/2010/wordprocessingShape">
                    <wps:wsp>
                      <wps:cNvCnPr/>
                      <wps:spPr>
                        <a:xfrm flipV="1">
                          <a:off x="0" y="0"/>
                          <a:ext cx="5972175" cy="381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7.25pt;margin-top:10.1pt;height:0.3pt;width:470.25pt;z-index:251660288;mso-width-relative:page;mso-height-relative:page;" filled="f" stroked="t" coordsize="21600,21600" o:gfxdata="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DDtMgbYAAAACQEAAA8A&#10;AAAAAAAAAQAgAAAAOAAAAGRycy9kb3ducmV2LnhtbFBLAQIUABQAAAAIAIdO4kCjhQJ0AQIAAPID&#10;AAAOAAAAAAAAAAEAIAAAAD0BAABkcnMvZTJvRG9jLnhtbFBLBQYAAAAABgAGAFkBAACwBQAAAAA=&#10;">
                <v:fill on="f" focussize="0,0"/>
                <v:stroke weight="3pt" color="#FF0000" joinstyle="round"/>
                <v:imagedata o:title=""/>
                <o:lock v:ext="edit" aspectratio="f"/>
              </v:line>
            </w:pict>
          </mc:Fallback>
        </mc:AlternateContent>
      </w:r>
      <w:r>
        <w:rPr>
          <w:rFonts w:hint="eastAsia" w:ascii="方正小标宋_GBK" w:hAnsi="方正小标宋_GBK" w:eastAsia="方正小标宋_GBK" w:cs="Times New Roman"/>
          <w:sz w:val="32"/>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t>清远市清新区人民政府关于印发《清远市</w:t>
      </w:r>
    </w:p>
    <w:p>
      <w:pPr>
        <w:keepNext w:val="0"/>
        <w:keepLines w:val="0"/>
        <w:pageBreakBefore w:val="0"/>
        <w:widowControl w:val="0"/>
        <w:shd w:val="clear"/>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t>清新区国民经济和社会发展第十五个五年</w:t>
      </w:r>
    </w:p>
    <w:p>
      <w:pPr>
        <w:keepNext w:val="0"/>
        <w:keepLines w:val="0"/>
        <w:pageBreakBefore w:val="0"/>
        <w:widowControl w:val="0"/>
        <w:shd w:val="clear"/>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z w:val="44"/>
          <w:szCs w:val="44"/>
          <w:highlight w:val="none"/>
          <w:lang w:val="en-US" w:eastAsia="zh-CN"/>
          <w14:textFill>
            <w14:solidFill>
              <w14:schemeClr w14:val="tx1"/>
            </w14:solidFill>
          </w14:textFill>
        </w:rPr>
        <w:t>规划纲要（2026—2030年）》的通知</w:t>
      </w:r>
    </w:p>
    <w:p>
      <w:pPr>
        <w:shd w:val="clear"/>
        <w:bidi w:val="0"/>
        <w:spacing w:line="360" w:lineRule="auto"/>
        <w:ind w:firstLine="602"/>
        <w:jc w:val="center"/>
        <w:rPr>
          <w:rFonts w:hint="eastAsia" w:ascii="方正小标宋_GBK" w:hAnsi="方正小标宋_GBK" w:eastAsia="方正小标宋_GBK" w:cs="方正小标宋_GBK"/>
          <w:color w:val="000000" w:themeColor="text1"/>
          <w:highlight w:val="none"/>
          <w:lang w:val="en-US" w:eastAsia="zh-CN"/>
          <w14:textFill>
            <w14:solidFill>
              <w14:schemeClr w14:val="tx1"/>
            </w14:solidFill>
          </w14:textFill>
        </w:rPr>
      </w:pPr>
    </w:p>
    <w:p>
      <w:pPr>
        <w:shd w:val="clear"/>
        <w:bidi w:val="0"/>
        <w:ind w:left="0" w:leftChars="0" w:firstLine="0" w:firstLineChars="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各镇人民政府，区政府各部门、各直属机构：</w:t>
      </w:r>
    </w:p>
    <w:p>
      <w:pPr>
        <w:keepNext w:val="0"/>
        <w:keepLines w:val="0"/>
        <w:pageBreakBefore w:val="0"/>
        <w:widowControl w:val="0"/>
        <w:shd w:val="clear"/>
        <w:kinsoku/>
        <w:wordWrap/>
        <w:overflowPunct/>
        <w:topLinePunct w:val="0"/>
        <w:autoSpaceDE/>
        <w:autoSpaceDN/>
        <w:bidi w:val="0"/>
        <w:adjustRightInd/>
        <w:snapToGrid/>
        <w:ind w:left="0" w:leftChars="0" w:firstLine="640" w:firstLineChars="200"/>
        <w:textAlignment w:val="auto"/>
        <w:rPr>
          <w:rFonts w:hint="eastAsia" w:ascii="方正楷体_GBK" w:hAnsi="方正楷体_GBK" w:eastAsia="方正楷体_GBK" w:cs="方正楷体_GBK"/>
          <w:b w:val="0"/>
          <w:bCs w:val="0"/>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vertAlign w:val="baseline"/>
          <w:lang w:val="en-US" w:eastAsia="zh-CN"/>
        </w:rPr>
        <w:t>《清远市清新区国民经济和社会发展第十五个五年规划纲要（2026—2030年）》业经区</w:t>
      </w:r>
      <w:r>
        <w:rPr>
          <w:rFonts w:hint="eastAsia" w:ascii="方正楷体_GBK" w:hAnsi="方正楷体_GBK" w:eastAsia="方正楷体_GBK" w:cs="方正楷体_GBK"/>
          <w:b w:val="0"/>
          <w:bCs w:val="0"/>
          <w:color w:val="auto"/>
          <w:sz w:val="32"/>
          <w:szCs w:val="32"/>
          <w:highlight w:val="none"/>
          <w:lang w:val="en-US" w:eastAsia="zh-CN"/>
        </w:rPr>
        <w:t>九届人大六次会议审查批准，现印发给你们，请认真组织实施。</w:t>
      </w:r>
    </w:p>
    <w:p>
      <w:pPr>
        <w:keepNext w:val="0"/>
        <w:keepLines w:val="0"/>
        <w:pageBreakBefore w:val="0"/>
        <w:widowControl w:val="0"/>
        <w:shd w:val="clear"/>
        <w:kinsoku/>
        <w:wordWrap/>
        <w:overflowPunct/>
        <w:topLinePunct w:val="0"/>
        <w:autoSpaceDE/>
        <w:autoSpaceDN/>
        <w:bidi w:val="0"/>
        <w:adjustRightInd/>
        <w:snapToGrid/>
        <w:ind w:left="0" w:leftChars="0" w:firstLine="640" w:firstLineChars="200"/>
        <w:jc w:val="center"/>
        <w:textAlignment w:val="auto"/>
        <w:rPr>
          <w:rFonts w:hint="eastAsia" w:ascii="方正楷体_GBK" w:hAnsi="方正楷体_GBK" w:eastAsia="方正楷体_GBK" w:cs="方正楷体_GBK"/>
          <w:b w:val="0"/>
          <w:bCs w:val="0"/>
          <w:color w:val="auto"/>
          <w:sz w:val="32"/>
          <w:szCs w:val="32"/>
          <w:highlight w:val="none"/>
          <w:lang w:val="en-US" w:eastAsia="zh-CN"/>
        </w:rPr>
      </w:pPr>
      <w:r>
        <w:rPr>
          <w:rFonts w:hint="eastAsia" w:ascii="方正楷体_GBK" w:hAnsi="方正楷体_GBK" w:eastAsia="方正楷体_GBK" w:cs="方正楷体_GBK"/>
          <w:b w:val="0"/>
          <w:bCs w:val="0"/>
          <w:color w:val="auto"/>
          <w:sz w:val="32"/>
          <w:szCs w:val="32"/>
          <w:highlight w:val="none"/>
          <w:lang w:val="en-US" w:eastAsia="zh-CN"/>
        </w:rPr>
        <w:t xml:space="preserve">   </w:t>
      </w:r>
    </w:p>
    <w:p>
      <w:pPr>
        <w:pStyle w:val="2"/>
        <w:rPr>
          <w:rFonts w:hint="eastAsia"/>
          <w:lang w:val="en-US" w:eastAsia="zh-CN"/>
        </w:rPr>
      </w:pPr>
    </w:p>
    <w:p>
      <w:pPr>
        <w:keepNext w:val="0"/>
        <w:keepLines w:val="0"/>
        <w:pageBreakBefore w:val="0"/>
        <w:widowControl w:val="0"/>
        <w:shd w:val="clear"/>
        <w:kinsoku/>
        <w:wordWrap/>
        <w:overflowPunct/>
        <w:topLinePunct w:val="0"/>
        <w:autoSpaceDE/>
        <w:autoSpaceDN/>
        <w:bidi w:val="0"/>
        <w:adjustRightInd/>
        <w:snapToGrid/>
        <w:ind w:left="0" w:leftChars="0" w:firstLine="640" w:firstLineChars="200"/>
        <w:jc w:val="center"/>
        <w:textAlignment w:val="auto"/>
        <w:rPr>
          <w:rFonts w:hint="eastAsia" w:ascii="方正楷体_GBK" w:hAnsi="方正楷体_GBK" w:eastAsia="方正楷体_GBK" w:cs="方正楷体_GBK"/>
          <w:b w:val="0"/>
          <w:bCs w:val="0"/>
          <w:color w:val="auto"/>
          <w:sz w:val="32"/>
          <w:szCs w:val="32"/>
          <w:highlight w:val="none"/>
          <w:lang w:val="en-US" w:eastAsia="zh-CN"/>
        </w:rPr>
      </w:pPr>
      <w:r>
        <w:rPr>
          <w:rFonts w:hint="eastAsia" w:ascii="方正楷体_GBK" w:hAnsi="方正楷体_GBK" w:eastAsia="方正楷体_GBK" w:cs="方正楷体_GBK"/>
          <w:b w:val="0"/>
          <w:bCs w:val="0"/>
          <w:color w:val="auto"/>
          <w:sz w:val="32"/>
          <w:szCs w:val="32"/>
          <w:highlight w:val="none"/>
          <w:lang w:val="en-US" w:eastAsia="zh-CN"/>
        </w:rPr>
        <w:t xml:space="preserve">                  清远市清新区人民政府</w:t>
      </w:r>
    </w:p>
    <w:p>
      <w:pPr>
        <w:keepNext w:val="0"/>
        <w:keepLines w:val="0"/>
        <w:pageBreakBefore w:val="0"/>
        <w:widowControl w:val="0"/>
        <w:shd w:val="clear"/>
        <w:kinsoku/>
        <w:wordWrap/>
        <w:overflowPunct/>
        <w:topLinePunct w:val="0"/>
        <w:autoSpaceDE/>
        <w:autoSpaceDN/>
        <w:bidi w:val="0"/>
        <w:adjustRightInd/>
        <w:snapToGrid/>
        <w:ind w:left="0" w:leftChars="0" w:firstLine="640" w:firstLineChars="200"/>
        <w:jc w:val="center"/>
        <w:textAlignment w:val="auto"/>
        <w:rPr>
          <w:color w:val="000000" w:themeColor="text1"/>
          <w:highlight w:val="none"/>
          <w14:textFill>
            <w14:solidFill>
              <w14:schemeClr w14:val="tx1"/>
            </w14:solidFill>
          </w14:textFill>
        </w:rPr>
        <w:sectPr>
          <w:headerReference r:id="rId5" w:type="default"/>
          <w:footerReference r:id="rId6" w:type="default"/>
          <w:pgSz w:w="11906" w:h="16838"/>
          <w:pgMar w:top="2098" w:right="1474" w:bottom="1984" w:left="1587" w:header="851" w:footer="992" w:gutter="0"/>
          <w:pgNumType w:fmt="numberInDash"/>
          <w:cols w:space="0" w:num="1"/>
          <w:rtlGutter w:val="0"/>
          <w:docGrid w:type="lines" w:linePitch="439" w:charSpace="0"/>
        </w:sectPr>
      </w:pPr>
      <w:r>
        <w:rPr>
          <w:rFonts w:hint="eastAsia" w:ascii="方正楷体_GBK" w:hAnsi="方正楷体_GBK" w:eastAsia="方正楷体_GBK" w:cs="方正楷体_GBK"/>
          <w:b w:val="0"/>
          <w:bCs w:val="0"/>
          <w:color w:val="auto"/>
          <w:sz w:val="32"/>
          <w:szCs w:val="32"/>
          <w:highlight w:val="none"/>
          <w:lang w:val="en-US" w:eastAsia="zh-CN"/>
        </w:rPr>
        <w:t xml:space="preserve">                    2026年7月29日</w:t>
      </w:r>
    </w:p>
    <w:p>
      <w:pPr>
        <w:pStyle w:val="2"/>
        <w:ind w:left="0" w:leftChars="0" w:firstLine="0" w:firstLineChars="0"/>
      </w:pPr>
    </w:p>
    <w:p>
      <w:pPr>
        <w:keepNext w:val="0"/>
        <w:keepLines w:val="0"/>
        <w:pageBreakBefore w:val="0"/>
        <w:widowControl w:val="0"/>
        <w:shd w:val="clear"/>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color w:val="000000" w:themeColor="text1"/>
          <w:sz w:val="48"/>
          <w:szCs w:val="48"/>
          <w:highlight w:val="none"/>
          <w14:textFill>
            <w14:solidFill>
              <w14:schemeClr w14:val="tx1"/>
            </w14:solidFill>
          </w14:textFill>
        </w:rPr>
      </w:pPr>
      <w:r>
        <w:rPr>
          <w:rFonts w:hint="eastAsia" w:ascii="方正小标宋_GBK" w:hAnsi="方正小标宋_GBK" w:eastAsia="方正小标宋_GBK" w:cs="方正小标宋_GBK"/>
          <w:b w:val="0"/>
          <w:bCs/>
          <w:color w:val="000000" w:themeColor="text1"/>
          <w:sz w:val="48"/>
          <w:szCs w:val="48"/>
          <w:highlight w:val="none"/>
          <w:lang w:val="en-US" w:eastAsia="zh-CN"/>
          <w14:textFill>
            <w14:solidFill>
              <w14:schemeClr w14:val="tx1"/>
            </w14:solidFill>
          </w14:textFill>
        </w:rPr>
        <w:t>清远市清新区</w:t>
      </w:r>
      <w:r>
        <w:rPr>
          <w:rFonts w:hint="eastAsia" w:ascii="方正小标宋_GBK" w:hAnsi="方正小标宋_GBK" w:eastAsia="方正小标宋_GBK" w:cs="方正小标宋_GBK"/>
          <w:b w:val="0"/>
          <w:bCs/>
          <w:color w:val="000000" w:themeColor="text1"/>
          <w:sz w:val="48"/>
          <w:szCs w:val="48"/>
          <w:highlight w:val="none"/>
          <w14:textFill>
            <w14:solidFill>
              <w14:schemeClr w14:val="tx1"/>
            </w14:solidFill>
          </w14:textFill>
        </w:rPr>
        <w:t>国民经济和社会发展</w:t>
      </w:r>
    </w:p>
    <w:p>
      <w:pPr>
        <w:keepNext w:val="0"/>
        <w:keepLines w:val="0"/>
        <w:pageBreakBefore w:val="0"/>
        <w:widowControl w:val="0"/>
        <w:shd w:val="clear"/>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color w:val="000000" w:themeColor="text1"/>
          <w:sz w:val="48"/>
          <w:szCs w:val="48"/>
          <w:highlight w:val="none"/>
          <w:lang w:val="en-US"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z w:val="48"/>
          <w:szCs w:val="48"/>
          <w:highlight w:val="none"/>
          <w14:textFill>
            <w14:solidFill>
              <w14:schemeClr w14:val="tx1"/>
            </w14:solidFill>
          </w14:textFill>
        </w:rPr>
        <w:t>第十</w:t>
      </w:r>
      <w:r>
        <w:rPr>
          <w:rFonts w:hint="eastAsia" w:ascii="方正小标宋_GBK" w:hAnsi="方正小标宋_GBK" w:eastAsia="方正小标宋_GBK" w:cs="方正小标宋_GBK"/>
          <w:b w:val="0"/>
          <w:bCs/>
          <w:color w:val="000000" w:themeColor="text1"/>
          <w:sz w:val="48"/>
          <w:szCs w:val="48"/>
          <w:highlight w:val="none"/>
          <w:lang w:val="en-US" w:eastAsia="zh-CN"/>
          <w14:textFill>
            <w14:solidFill>
              <w14:schemeClr w14:val="tx1"/>
            </w14:solidFill>
          </w14:textFill>
        </w:rPr>
        <w:t>五</w:t>
      </w:r>
      <w:r>
        <w:rPr>
          <w:rFonts w:hint="eastAsia" w:ascii="方正小标宋_GBK" w:hAnsi="方正小标宋_GBK" w:eastAsia="方正小标宋_GBK" w:cs="方正小标宋_GBK"/>
          <w:b w:val="0"/>
          <w:bCs/>
          <w:color w:val="000000" w:themeColor="text1"/>
          <w:sz w:val="48"/>
          <w:szCs w:val="48"/>
          <w:highlight w:val="none"/>
          <w14:textFill>
            <w14:solidFill>
              <w14:schemeClr w14:val="tx1"/>
            </w14:solidFill>
          </w14:textFill>
        </w:rPr>
        <w:t>个五年规划纲</w:t>
      </w:r>
      <w:r>
        <w:rPr>
          <w:rFonts w:hint="eastAsia" w:ascii="方正小标宋_GBK" w:hAnsi="方正小标宋_GBK" w:eastAsia="方正小标宋_GBK" w:cs="方正小标宋_GBK"/>
          <w:b w:val="0"/>
          <w:bCs/>
          <w:color w:val="000000" w:themeColor="text1"/>
          <w:sz w:val="48"/>
          <w:szCs w:val="48"/>
          <w:highlight w:val="none"/>
          <w:lang w:val="en-US" w:eastAsia="zh-CN"/>
          <w14:textFill>
            <w14:solidFill>
              <w14:schemeClr w14:val="tx1"/>
            </w14:solidFill>
          </w14:textFill>
        </w:rPr>
        <w:t>要</w:t>
      </w:r>
    </w:p>
    <w:p>
      <w:pPr>
        <w:keepNext w:val="0"/>
        <w:keepLines w:val="0"/>
        <w:pageBreakBefore w:val="0"/>
        <w:widowControl w:val="0"/>
        <w:shd w:val="clear"/>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color w:val="000000" w:themeColor="text1"/>
          <w:sz w:val="48"/>
          <w:szCs w:val="48"/>
          <w:highlight w:val="none"/>
          <w:lang w:val="en-US"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z w:val="48"/>
          <w:szCs w:val="48"/>
          <w:highlight w:val="none"/>
          <w:lang w:val="en-US" w:eastAsia="zh-CN"/>
          <w14:textFill>
            <w14:solidFill>
              <w14:schemeClr w14:val="tx1"/>
            </w14:solidFill>
          </w14:textFill>
        </w:rPr>
        <w:t>（2026—2030年）</w:t>
      </w:r>
    </w:p>
    <w:p>
      <w:pPr>
        <w:pStyle w:val="2"/>
        <w:ind w:left="0" w:leftChars="0" w:firstLine="0" w:firstLineChars="0"/>
        <w:jc w:val="center"/>
        <w:rPr>
          <w:rFonts w:hint="eastAsia" w:ascii="方正楷体_GBK" w:hAnsi="方正楷体_GBK" w:eastAsia="方正楷体_GBK" w:cs="方正楷体_GBK"/>
          <w:b w:val="0"/>
          <w:bCs w:val="0"/>
          <w:lang w:val="en-US" w:eastAsia="zh-CN"/>
        </w:rPr>
      </w:pPr>
      <w:r>
        <w:rPr>
          <w:rFonts w:hint="eastAsia" w:ascii="方正楷体_GBK" w:hAnsi="方正楷体_GBK" w:eastAsia="方正楷体_GBK" w:cs="方正楷体_GBK"/>
          <w:b w:val="0"/>
          <w:bCs w:val="0"/>
          <w:lang w:val="en-US" w:eastAsia="zh-CN"/>
        </w:rPr>
        <w:t>（2026年3月6日区九届人大六次会议审查批准）</w:t>
      </w: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pStyle w:val="2"/>
        <w:ind w:left="0" w:leftChars="0" w:firstLine="0" w:firstLineChars="0"/>
        <w:jc w:val="center"/>
        <w:rPr>
          <w:rFonts w:hint="eastAsia" w:ascii="方正楷体_GBK" w:hAnsi="方正楷体_GBK" w:eastAsia="方正楷体_GBK" w:cs="方正楷体_GBK"/>
          <w:lang w:val="en-US" w:eastAsia="zh-CN"/>
        </w:rPr>
      </w:pPr>
    </w:p>
    <w:p>
      <w:pPr>
        <w:shd w:val="clear"/>
        <w:bidi w:val="0"/>
        <w:jc w:val="center"/>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jc w:val="center"/>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jc w:val="center"/>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jc w:val="center"/>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jc w:val="both"/>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jc w:val="center"/>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ind w:left="0" w:leftChars="0" w:firstLine="0" w:firstLineChars="0"/>
        <w:jc w:val="center"/>
        <w:rPr>
          <w:rFonts w:hint="eastAsia" w:ascii="方正楷体_GBK" w:hAnsi="方正楷体_GBK" w:eastAsia="方正楷体_GBK" w:cs="方正楷体_GBK"/>
          <w:b w:val="0"/>
          <w:bCs w:val="0"/>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b w:val="0"/>
          <w:bCs w:val="0"/>
          <w:color w:val="000000" w:themeColor="text1"/>
          <w:highlight w:val="none"/>
          <w:lang w:val="en-US" w:eastAsia="zh-CN"/>
          <w14:textFill>
            <w14:solidFill>
              <w14:schemeClr w14:val="tx1"/>
            </w14:solidFill>
          </w14:textFill>
        </w:rPr>
        <w:t>2026年7月</w:t>
      </w:r>
    </w:p>
    <w:p>
      <w:pPr>
        <w:shd w:val="clear"/>
        <w:bidi w:val="0"/>
        <w:jc w:val="center"/>
        <w:rPr>
          <w:rFonts w:hint="eastAsia" w:ascii="方正黑体_GBK" w:hAnsi="方正黑体_GBK" w:eastAsia="方正黑体_GBK" w:cs="方正黑体_GBK"/>
          <w:b w:val="0"/>
          <w:bCs w:val="0"/>
          <w:color w:val="000000" w:themeColor="text1"/>
          <w:highlight w:val="none"/>
          <w:lang w:val="en-US" w:eastAsia="zh-CN"/>
          <w14:textFill>
            <w14:solidFill>
              <w14:schemeClr w14:val="tx1"/>
            </w14:solidFill>
          </w14:textFill>
        </w:rPr>
      </w:pPr>
    </w:p>
    <w:p>
      <w:pPr>
        <w:shd w:val="clear"/>
        <w:bidi w:val="0"/>
        <w:jc w:val="center"/>
        <w:rPr>
          <w:rFonts w:hint="eastAsia" w:ascii="方正小标宋_GBK" w:hAnsi="方正小标宋_GBK" w:eastAsia="方正小标宋_GBK" w:cs="方正小标宋_GBK"/>
          <w:b w:val="0"/>
          <w:bCs w:val="0"/>
          <w:color w:val="000000" w:themeColor="text1"/>
          <w:sz w:val="44"/>
          <w:szCs w:val="44"/>
          <w:highlight w:val="none"/>
          <w:lang w:val="en-US" w:eastAsia="zh-CN"/>
          <w14:textFill>
            <w14:solidFill>
              <w14:schemeClr w14:val="tx1"/>
            </w14:solidFill>
          </w14:textFill>
        </w:rPr>
        <w:sectPr>
          <w:headerReference r:id="rId7" w:type="default"/>
          <w:footerReference r:id="rId8" w:type="default"/>
          <w:pgSz w:w="11906" w:h="16838"/>
          <w:pgMar w:top="2098" w:right="1417" w:bottom="1984" w:left="1587" w:header="851" w:footer="992" w:gutter="0"/>
          <w:paperSrc/>
          <w:pgNumType w:fmt="numberInDash" w:start="1"/>
          <w:cols w:space="0" w:num="1"/>
          <w:rtlGutter w:val="0"/>
          <w:docGrid w:type="lines" w:linePitch="439" w:charSpace="0"/>
        </w:sectPr>
      </w:pPr>
    </w:p>
    <w:p>
      <w:pPr>
        <w:keepNext w:val="0"/>
        <w:keepLines w:val="0"/>
        <w:pageBreakBefore w:val="0"/>
        <w:widowControl w:val="0"/>
        <w:shd w:val="clear"/>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黑体_GBK" w:hAnsi="方正黑体_GBK" w:eastAsia="方正黑体_GBK" w:cs="方正黑体_GBK"/>
          <w:b w:val="0"/>
          <w:bCs w:val="0"/>
          <w:color w:val="000000" w:themeColor="text1"/>
          <w:sz w:val="44"/>
          <w:szCs w:val="44"/>
          <w:highlight w:val="none"/>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44"/>
          <w:szCs w:val="44"/>
          <w:highlight w:val="none"/>
          <w:lang w:val="en-US" w:eastAsia="zh-CN"/>
          <w14:textFill>
            <w14:solidFill>
              <w14:schemeClr w14:val="tx1"/>
            </w14:solidFill>
          </w14:textFill>
        </w:rPr>
        <w:t>目  录</w:t>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TOC \o "1-2" \h \u </w:instrText>
      </w:r>
      <w:r>
        <w:rPr>
          <w:rFonts w:hint="default"/>
          <w:color w:val="000000" w:themeColor="text1"/>
          <w:highlight w:val="none"/>
          <w:lang w:val="en-US" w:eastAsia="zh-CN"/>
          <w14:textFill>
            <w14:solidFill>
              <w14:schemeClr w14:val="tx1"/>
            </w14:solidFill>
          </w14:textFill>
        </w:rPr>
        <w:fldChar w:fldCharType="separate"/>
      </w: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_Toc22418 </w:instrText>
      </w:r>
      <w:r>
        <w:rPr>
          <w:rFonts w:hint="default"/>
          <w:highlight w:val="none"/>
          <w:lang w:val="en-US" w:eastAsia="zh-CN"/>
        </w:rPr>
        <w:fldChar w:fldCharType="separate"/>
      </w:r>
      <w:r>
        <w:rPr>
          <w:rFonts w:hint="eastAsia"/>
          <w:highlight w:val="none"/>
        </w:rPr>
        <w:t xml:space="preserve">第一章 </w:t>
      </w:r>
      <w:r>
        <w:rPr>
          <w:rFonts w:hint="eastAsia"/>
          <w:highlight w:val="none"/>
          <w:lang w:eastAsia="zh-CN"/>
        </w:rPr>
        <w:t>“</w:t>
      </w:r>
      <w:r>
        <w:rPr>
          <w:rFonts w:hint="eastAsia"/>
          <w:highlight w:val="none"/>
        </w:rPr>
        <w:t>十</w:t>
      </w:r>
      <w:r>
        <w:rPr>
          <w:rFonts w:hint="eastAsia"/>
          <w:highlight w:val="none"/>
          <w:lang w:val="en-US" w:eastAsia="zh-CN"/>
        </w:rPr>
        <w:t>四</w:t>
      </w:r>
      <w:r>
        <w:rPr>
          <w:rFonts w:hint="eastAsia"/>
          <w:highlight w:val="none"/>
        </w:rPr>
        <w:t>五</w:t>
      </w:r>
      <w:r>
        <w:rPr>
          <w:rFonts w:hint="eastAsia"/>
          <w:highlight w:val="none"/>
          <w:lang w:eastAsia="zh-CN"/>
        </w:rPr>
        <w:t>”</w:t>
      </w:r>
      <w:r>
        <w:rPr>
          <w:rFonts w:hint="eastAsia"/>
          <w:highlight w:val="none"/>
        </w:rPr>
        <w:t>发展成就和</w:t>
      </w:r>
      <w:r>
        <w:rPr>
          <w:rFonts w:hint="eastAsia"/>
          <w:highlight w:val="none"/>
          <w:lang w:eastAsia="zh-CN"/>
        </w:rPr>
        <w:t>“</w:t>
      </w:r>
      <w:r>
        <w:rPr>
          <w:rFonts w:hint="eastAsia"/>
          <w:highlight w:val="none"/>
        </w:rPr>
        <w:t>十</w:t>
      </w:r>
      <w:r>
        <w:rPr>
          <w:rFonts w:hint="eastAsia"/>
          <w:highlight w:val="none"/>
          <w:lang w:val="en-US" w:eastAsia="zh-CN"/>
        </w:rPr>
        <w:t>五</w:t>
      </w:r>
      <w:r>
        <w:rPr>
          <w:rFonts w:hint="eastAsia"/>
          <w:highlight w:val="none"/>
        </w:rPr>
        <w:t>五</w:t>
      </w:r>
      <w:r>
        <w:rPr>
          <w:rFonts w:hint="eastAsia"/>
          <w:highlight w:val="none"/>
          <w:lang w:eastAsia="zh-CN"/>
        </w:rPr>
        <w:t>”</w:t>
      </w:r>
      <w:r>
        <w:rPr>
          <w:rFonts w:hint="eastAsia"/>
          <w:highlight w:val="none"/>
        </w:rPr>
        <w:t>发展环境</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_Toc22418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fldChar w:fldCharType="begin"/>
      </w:r>
      <w:r>
        <w:rPr>
          <w:rFonts w:hint="eastAsia" w:ascii="方正楷体_GBK" w:hAnsi="方正楷体_GBK" w:eastAsia="方正楷体_GBK" w:cs="方正楷体_GBK"/>
          <w:highlight w:val="none"/>
          <w:lang w:val="en-US" w:eastAsia="zh-CN"/>
        </w:rPr>
        <w:instrText xml:space="preserve"> HYPERLINK \l _Toc10140 </w:instrText>
      </w:r>
      <w:r>
        <w:rPr>
          <w:rFonts w:hint="eastAsia" w:ascii="方正楷体_GBK" w:hAnsi="方正楷体_GBK" w:eastAsia="方正楷体_GBK" w:cs="方正楷体_GBK"/>
          <w:highlight w:val="none"/>
          <w:lang w:val="en-US" w:eastAsia="zh-CN"/>
        </w:rPr>
        <w:fldChar w:fldCharType="separate"/>
      </w:r>
      <w:r>
        <w:rPr>
          <w:rFonts w:hint="eastAsia" w:ascii="方正楷体_GBK" w:hAnsi="方正楷体_GBK" w:eastAsia="方正楷体_GBK" w:cs="方正楷体_GBK"/>
          <w:highlight w:val="none"/>
        </w:rPr>
        <w:t xml:space="preserve">第一节  </w:t>
      </w:r>
      <w:r>
        <w:rPr>
          <w:rFonts w:hint="eastAsia" w:ascii="方正楷体_GBK" w:hAnsi="方正楷体_GBK" w:eastAsia="方正楷体_GBK" w:cs="方正楷体_GBK"/>
          <w:highlight w:val="none"/>
          <w:lang w:eastAsia="zh-CN"/>
        </w:rPr>
        <w:t>“</w:t>
      </w:r>
      <w:r>
        <w:rPr>
          <w:rFonts w:hint="eastAsia" w:ascii="方正楷体_GBK" w:hAnsi="方正楷体_GBK" w:eastAsia="方正楷体_GBK" w:cs="方正楷体_GBK"/>
          <w:highlight w:val="none"/>
        </w:rPr>
        <w:t>十四五</w:t>
      </w:r>
      <w:r>
        <w:rPr>
          <w:rFonts w:hint="eastAsia" w:ascii="方正楷体_GBK" w:hAnsi="方正楷体_GBK" w:eastAsia="方正楷体_GBK" w:cs="方正楷体_GBK"/>
          <w:highlight w:val="none"/>
          <w:lang w:eastAsia="zh-CN"/>
        </w:rPr>
        <w:t>”</w:t>
      </w:r>
      <w:r>
        <w:rPr>
          <w:rFonts w:hint="eastAsia" w:ascii="方正楷体_GBK" w:hAnsi="方正楷体_GBK" w:eastAsia="方正楷体_GBK" w:cs="方正楷体_GBK"/>
          <w:highlight w:val="none"/>
          <w:lang w:val="en-US" w:eastAsia="zh-CN"/>
        </w:rPr>
        <w:t>时期取得的重大成就</w:t>
      </w:r>
      <w:r>
        <w:rPr>
          <w:rFonts w:hint="eastAsia" w:ascii="方正楷体_GBK" w:hAnsi="方正楷体_GBK" w:eastAsia="方正楷体_GBK" w:cs="方正楷体_GBK"/>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_Toc10140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2</w:t>
      </w:r>
      <w:r>
        <w:rPr>
          <w:rFonts w:hint="eastAsia" w:ascii="方正仿宋_GBK" w:hAnsi="方正仿宋_GBK" w:eastAsia="方正仿宋_GBK" w:cs="方正仿宋_GBK"/>
          <w:highlight w:val="none"/>
        </w:rPr>
        <w:fldChar w:fldCharType="end"/>
      </w: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_Toc23806 </w:instrText>
      </w:r>
      <w:r>
        <w:rPr>
          <w:rFonts w:hint="default"/>
          <w:highlight w:val="none"/>
          <w:lang w:val="en-US" w:eastAsia="zh-CN"/>
        </w:rPr>
        <w:fldChar w:fldCharType="separate"/>
      </w:r>
      <w:r>
        <w:rPr>
          <w:rFonts w:hint="eastAsia" w:ascii="方正楷体_GBK" w:hAnsi="方正楷体_GBK" w:eastAsia="方正楷体_GBK" w:cs="方正楷体_GBK"/>
          <w:highlight w:val="none"/>
        </w:rPr>
        <w:t xml:space="preserve">第二节  </w:t>
      </w:r>
      <w:r>
        <w:rPr>
          <w:rFonts w:hint="eastAsia" w:ascii="方正楷体_GBK" w:hAnsi="方正楷体_GBK" w:eastAsia="方正楷体_GBK" w:cs="方正楷体_GBK"/>
          <w:highlight w:val="none"/>
          <w:lang w:eastAsia="zh-CN"/>
        </w:rPr>
        <w:t>“</w:t>
      </w:r>
      <w:r>
        <w:rPr>
          <w:rFonts w:hint="eastAsia" w:ascii="方正楷体_GBK" w:hAnsi="方正楷体_GBK" w:eastAsia="方正楷体_GBK" w:cs="方正楷体_GBK"/>
          <w:highlight w:val="none"/>
        </w:rPr>
        <w:t>十五五</w:t>
      </w:r>
      <w:r>
        <w:rPr>
          <w:rFonts w:hint="eastAsia" w:ascii="方正楷体_GBK" w:hAnsi="方正楷体_GBK" w:eastAsia="方正楷体_GBK" w:cs="方正楷体_GBK"/>
          <w:highlight w:val="none"/>
          <w:lang w:eastAsia="zh-CN"/>
        </w:rPr>
        <w:t>”</w:t>
      </w:r>
      <w:r>
        <w:rPr>
          <w:rFonts w:hint="eastAsia" w:ascii="方正楷体_GBK" w:hAnsi="方正楷体_GBK" w:eastAsia="方正楷体_GBK" w:cs="方正楷体_GBK"/>
          <w:highlight w:val="none"/>
          <w:lang w:val="en-US" w:eastAsia="zh-CN"/>
        </w:rPr>
        <w:t>时</w:t>
      </w:r>
      <w:r>
        <w:rPr>
          <w:rFonts w:hint="eastAsia" w:ascii="方正楷体_GBK" w:hAnsi="方正楷体_GBK" w:eastAsia="方正楷体_GBK" w:cs="方正楷体_GBK"/>
          <w:highlight w:val="none"/>
        </w:rPr>
        <w:t>期面临</w:t>
      </w:r>
      <w:r>
        <w:rPr>
          <w:rFonts w:hint="eastAsia" w:ascii="方正楷体_GBK" w:hAnsi="方正楷体_GBK" w:eastAsia="方正楷体_GBK" w:cs="方正楷体_GBK"/>
          <w:highlight w:val="none"/>
          <w:lang w:val="en-US" w:eastAsia="zh-CN"/>
        </w:rPr>
        <w:t>的发展环境</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_Toc23806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7</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_Toc14214 </w:instrText>
      </w:r>
      <w:r>
        <w:rPr>
          <w:rFonts w:hint="default"/>
          <w:highlight w:val="none"/>
          <w:lang w:val="en-US" w:eastAsia="zh-CN"/>
        </w:rPr>
        <w:fldChar w:fldCharType="separate"/>
      </w:r>
      <w:r>
        <w:rPr>
          <w:rFonts w:hint="eastAsia"/>
          <w:highlight w:val="none"/>
        </w:rPr>
        <w:t>第二章  总体要求</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_Toc14214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_Toc13912 </w:instrText>
      </w:r>
      <w:r>
        <w:rPr>
          <w:rFonts w:hint="default"/>
          <w:highlight w:val="none"/>
          <w:lang w:val="en-US" w:eastAsia="zh-CN"/>
        </w:rPr>
        <w:fldChar w:fldCharType="separate"/>
      </w:r>
      <w:r>
        <w:rPr>
          <w:rFonts w:hint="eastAsia" w:ascii="方正楷体_GBK" w:hAnsi="方正楷体_GBK" w:eastAsia="方正楷体_GBK" w:cs="方正楷体_GBK"/>
          <w:highlight w:val="none"/>
        </w:rPr>
        <w:t>第一节  指导思想</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_Toc13912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_Toc21334 </w:instrText>
      </w:r>
      <w:r>
        <w:rPr>
          <w:rFonts w:hint="default"/>
          <w:highlight w:val="none"/>
          <w:lang w:val="en-US" w:eastAsia="zh-CN"/>
        </w:rPr>
        <w:fldChar w:fldCharType="separate"/>
      </w:r>
      <w:r>
        <w:rPr>
          <w:rFonts w:hint="eastAsia" w:ascii="方正楷体_GBK" w:hAnsi="方正楷体_GBK" w:eastAsia="方正楷体_GBK" w:cs="方正楷体_GBK"/>
          <w:highlight w:val="none"/>
        </w:rPr>
        <w:t>第二节  基本原则</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_Toc21334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_Toc8689 </w:instrText>
      </w:r>
      <w:r>
        <w:rPr>
          <w:rFonts w:hint="default"/>
          <w:highlight w:val="none"/>
          <w:lang w:val="en-US" w:eastAsia="zh-CN"/>
        </w:rPr>
        <w:fldChar w:fldCharType="separate"/>
      </w:r>
      <w:r>
        <w:rPr>
          <w:rFonts w:hint="eastAsia" w:ascii="方正楷体_GBK" w:hAnsi="方正楷体_GBK" w:eastAsia="方正楷体_GBK" w:cs="方正楷体_GBK"/>
          <w:highlight w:val="none"/>
        </w:rPr>
        <w:t>第三节  发展目标</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_Toc8689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12</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_Toc7115 </w:instrText>
      </w:r>
      <w:r>
        <w:rPr>
          <w:rFonts w:hint="default"/>
          <w:highlight w:val="none"/>
          <w:lang w:val="en-US" w:eastAsia="zh-CN"/>
        </w:rPr>
        <w:fldChar w:fldCharType="separate"/>
      </w:r>
      <w:r>
        <w:rPr>
          <w:rFonts w:hint="eastAsia"/>
          <w:szCs w:val="24"/>
          <w:highlight w:val="none"/>
        </w:rPr>
        <w:t>第</w:t>
      </w:r>
      <w:r>
        <w:rPr>
          <w:rFonts w:hint="eastAsia"/>
          <w:szCs w:val="24"/>
          <w:highlight w:val="none"/>
          <w:lang w:val="en-US" w:eastAsia="zh-CN"/>
        </w:rPr>
        <w:t>三</w:t>
      </w:r>
      <w:r>
        <w:rPr>
          <w:rFonts w:hint="eastAsia"/>
          <w:szCs w:val="24"/>
          <w:highlight w:val="none"/>
        </w:rPr>
        <w:t xml:space="preserve">章  </w:t>
      </w:r>
      <w:r>
        <w:rPr>
          <w:rFonts w:hint="eastAsia"/>
          <w:szCs w:val="24"/>
          <w:highlight w:val="none"/>
          <w:lang w:val="en-US" w:eastAsia="zh-CN"/>
        </w:rPr>
        <w:t>加快“融湾强区”建设，全面</w:t>
      </w:r>
      <w:r>
        <w:rPr>
          <w:rFonts w:hint="eastAsia"/>
          <w:szCs w:val="24"/>
          <w:highlight w:val="none"/>
        </w:rPr>
        <w:t>推进</w:t>
      </w:r>
      <w:r>
        <w:rPr>
          <w:rFonts w:hint="eastAsia"/>
          <w:szCs w:val="24"/>
          <w:highlight w:val="none"/>
          <w:lang w:val="en-US" w:eastAsia="zh-CN"/>
        </w:rPr>
        <w:t>新阶段一体化发展</w:t>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_Toc21371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主动融入粤港澳大湾区建设</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_Toc21371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17</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_Toc17472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深度参与广清一体化发展</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_Toc17472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19</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_Toc17316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全面推进市区一体化建设</w:t>
      </w:r>
      <w:r>
        <w:rPr>
          <w:highlight w:val="none"/>
        </w:rPr>
        <w:tab/>
      </w:r>
      <w:r>
        <w:rPr>
          <w:rFonts w:hint="eastAsia" w:ascii="方正仿宋_GBK" w:hAnsi="方正仿宋_GBK" w:eastAsia="方正仿宋_GBK" w:cs="方正仿宋_GBK"/>
          <w:b w:val="0"/>
          <w:bCs w:val="0"/>
          <w:highlight w:val="none"/>
        </w:rPr>
        <w:fldChar w:fldCharType="begin"/>
      </w:r>
      <w:r>
        <w:rPr>
          <w:rFonts w:hint="eastAsia" w:ascii="方正仿宋_GBK" w:hAnsi="方正仿宋_GBK" w:eastAsia="方正仿宋_GBK" w:cs="方正仿宋_GBK"/>
          <w:b w:val="0"/>
          <w:bCs w:val="0"/>
          <w:highlight w:val="none"/>
        </w:rPr>
        <w:instrText xml:space="preserve"> PAGEREF _Toc17316 \h </w:instrText>
      </w:r>
      <w:r>
        <w:rPr>
          <w:rFonts w:hint="eastAsia" w:ascii="方正仿宋_GBK" w:hAnsi="方正仿宋_GBK" w:eastAsia="方正仿宋_GBK" w:cs="方正仿宋_GBK"/>
          <w:b w:val="0"/>
          <w:bCs w:val="0"/>
          <w:highlight w:val="none"/>
        </w:rPr>
        <w:fldChar w:fldCharType="separate"/>
      </w:r>
      <w:r>
        <w:rPr>
          <w:rFonts w:hint="eastAsia" w:ascii="方正仿宋_GBK" w:hAnsi="方正仿宋_GBK" w:eastAsia="方正仿宋_GBK" w:cs="方正仿宋_GBK"/>
          <w:b w:val="0"/>
          <w:bCs w:val="0"/>
          <w:highlight w:val="none"/>
        </w:rPr>
        <w:t>21</w:t>
      </w:r>
      <w:r>
        <w:rPr>
          <w:rFonts w:hint="eastAsia" w:ascii="方正仿宋_GBK" w:hAnsi="方正仿宋_GBK" w:eastAsia="方正仿宋_GBK" w:cs="方正仿宋_GBK"/>
          <w:b w:val="0"/>
          <w:bCs w:val="0"/>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_Toc17616 </w:instrText>
      </w:r>
      <w:r>
        <w:rPr>
          <w:rFonts w:hint="default"/>
          <w:highlight w:val="none"/>
          <w:lang w:val="en-US" w:eastAsia="zh-CN"/>
        </w:rPr>
        <w:fldChar w:fldCharType="separate"/>
      </w:r>
      <w:r>
        <w:rPr>
          <w:rFonts w:hint="eastAsia"/>
          <w:highlight w:val="none"/>
        </w:rPr>
        <w:t>第</w:t>
      </w:r>
      <w:r>
        <w:rPr>
          <w:rFonts w:hint="eastAsia"/>
          <w:highlight w:val="none"/>
          <w:lang w:val="en-US" w:eastAsia="zh-CN"/>
        </w:rPr>
        <w:t>四</w:t>
      </w:r>
      <w:r>
        <w:rPr>
          <w:rFonts w:hint="eastAsia"/>
          <w:highlight w:val="none"/>
        </w:rPr>
        <w:t>章  坚持制造业当家，</w:t>
      </w:r>
      <w:r>
        <w:rPr>
          <w:rFonts w:hint="eastAsia"/>
          <w:highlight w:val="none"/>
          <w:lang w:val="en-US" w:eastAsia="zh-CN"/>
        </w:rPr>
        <w:t>构建</w:t>
      </w:r>
      <w:r>
        <w:rPr>
          <w:rFonts w:hint="eastAsia"/>
          <w:highlight w:val="none"/>
        </w:rPr>
        <w:t>现代化产业体系</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_Toc17616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23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_Toc9713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发展壮大“3+1”特色产业集群</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_Toc9713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23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_Toc27790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培育发展新兴和未来产业</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_Toc27790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25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_Toc21222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建设高能级产业平台</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_Toc21222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27</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_Toc18626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推进产业基础高级化</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_Toc18626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30</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_Toc9782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第五节  发展优质高效现代服务业</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_Toc9782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_Toc25521 </w:instrText>
      </w:r>
      <w:r>
        <w:rPr>
          <w:rFonts w:hint="default"/>
          <w:highlight w:val="none"/>
          <w:lang w:val="en-US" w:eastAsia="zh-CN"/>
        </w:rPr>
        <w:fldChar w:fldCharType="separate"/>
      </w:r>
      <w:r>
        <w:rPr>
          <w:rFonts w:hint="eastAsia"/>
          <w:highlight w:val="none"/>
          <w:lang w:val="en-US" w:eastAsia="zh-CN"/>
        </w:rPr>
        <w:t>第五章 坚持创新驱动发展</w:t>
      </w:r>
      <w:r>
        <w:rPr>
          <w:rFonts w:hint="eastAsia"/>
          <w:highlight w:val="none"/>
        </w:rPr>
        <w:t>，</w:t>
      </w:r>
      <w:r>
        <w:rPr>
          <w:rFonts w:hint="eastAsia"/>
          <w:highlight w:val="none"/>
          <w:lang w:val="en-US" w:eastAsia="zh-CN"/>
        </w:rPr>
        <w:t>加快培育发展新质生产力</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_Toc25521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34</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_Toc12522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加快科技创新平台发展</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_Toc12522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34</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_Toc25270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推进科技创新与产业发展互促双强</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_Toc25270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_Toc16792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打造高水平创新人才队伍</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_Toc16792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37</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rFonts w:hint="default"/>
          <w:color w:val="000000" w:themeColor="text1"/>
          <w:highlight w:val="none"/>
          <w:lang w:val="en-US" w:eastAsia="zh-CN"/>
          <w14:textFill>
            <w14:solidFill>
              <w14:schemeClr w14:val="tx1"/>
            </w14:solidFill>
          </w14:textFill>
        </w:rPr>
        <w:sectPr>
          <w:footerReference r:id="rId9" w:type="default"/>
          <w:pgSz w:w="11906" w:h="16838"/>
          <w:pgMar w:top="2154" w:right="1417" w:bottom="1984" w:left="1587" w:header="851" w:footer="992" w:gutter="0"/>
          <w:pgNumType w:fmt="numberInDash"/>
          <w:cols w:space="0" w:num="1"/>
          <w:rtlGutter w:val="0"/>
          <w:docGrid w:type="lines" w:linePitch="437" w:charSpace="0"/>
        </w:sectPr>
      </w:pP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_Toc17936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营造良好创新创业环境</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_Toc17936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39</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_Toc7043 </w:instrText>
      </w:r>
      <w:r>
        <w:rPr>
          <w:rFonts w:hint="default"/>
          <w:highlight w:val="none"/>
          <w:lang w:val="en-US" w:eastAsia="zh-CN"/>
        </w:rPr>
        <w:fldChar w:fldCharType="separate"/>
      </w:r>
      <w:r>
        <w:rPr>
          <w:rFonts w:hint="eastAsia"/>
          <w:szCs w:val="24"/>
          <w:highlight w:val="none"/>
          <w:lang w:val="en-US" w:eastAsia="zh-CN"/>
        </w:rPr>
        <w:t>第六章推动农文旅融合发展，打造粤港澳大湾区休闲旅游目的地</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_Toc7043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41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_Toc24580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建设旅游强区</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_Toc24580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41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_Toc15268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提升发展文化体育产业</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_Toc15268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44</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_Toc1615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打造广东北部优质农产品生产基地</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_Toc1615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45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_Toc17114 </w:instrText>
      </w:r>
      <w:r>
        <w:rPr>
          <w:rFonts w:hint="default"/>
          <w:highlight w:val="none"/>
          <w:lang w:val="en-US" w:eastAsia="zh-CN"/>
        </w:rPr>
        <w:fldChar w:fldCharType="separate"/>
      </w:r>
      <w:r>
        <w:rPr>
          <w:rFonts w:hint="eastAsia"/>
          <w:highlight w:val="none"/>
          <w:lang w:val="en-US" w:eastAsia="zh-CN"/>
        </w:rPr>
        <w:t>第七章  坚持扩大内需战略，主动服务和融入新发展格局</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_Toc17114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49</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_Toc22531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促进消费扩容升级</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_Toc22531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49</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_Toc5856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精准扩大有效投资</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_Toc5856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_Toc815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加快融入全国统一大市场</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_Toc815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52</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_Toc6077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提升开放型经济发展水平</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_Toc6077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54</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_Toc4371 </w:instrText>
      </w:r>
      <w:r>
        <w:rPr>
          <w:rFonts w:hint="default"/>
          <w:highlight w:val="none"/>
          <w:lang w:val="en-US" w:eastAsia="zh-CN"/>
        </w:rPr>
        <w:fldChar w:fldCharType="separate"/>
      </w:r>
      <w:r>
        <w:rPr>
          <w:rFonts w:hint="eastAsia"/>
          <w:highlight w:val="none"/>
          <w:lang w:val="en-US" w:eastAsia="zh-CN"/>
        </w:rPr>
        <w:t xml:space="preserve">第八章  </w:t>
      </w:r>
      <w:r>
        <w:rPr>
          <w:rFonts w:hint="eastAsia"/>
          <w:highlight w:val="none"/>
        </w:rPr>
        <w:t>全面深化</w:t>
      </w:r>
      <w:r>
        <w:rPr>
          <w:rFonts w:hint="eastAsia"/>
          <w:highlight w:val="none"/>
          <w:lang w:val="en-US" w:eastAsia="zh-CN"/>
        </w:rPr>
        <w:t>重点领域</w:t>
      </w:r>
      <w:r>
        <w:rPr>
          <w:rFonts w:hint="eastAsia"/>
          <w:highlight w:val="none"/>
        </w:rPr>
        <w:t>改革，释放高质量发展活力</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_Toc4371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56</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_Toc30141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培育高质量市场主体</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_Toc30141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56</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_Toc13487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建设高标准市场体系</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_Toc13487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58</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_Toc21562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深化投融资及财税体制改革</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_Toc21562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59</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_Toc14049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提升政府服务效能</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_Toc14049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61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_Toc1991 </w:instrText>
      </w:r>
      <w:r>
        <w:rPr>
          <w:rFonts w:hint="default"/>
          <w:highlight w:val="none"/>
          <w:lang w:val="en-US" w:eastAsia="zh-CN"/>
        </w:rPr>
        <w:fldChar w:fldCharType="separate"/>
      </w:r>
      <w:r>
        <w:rPr>
          <w:rFonts w:hint="eastAsia"/>
          <w:highlight w:val="none"/>
          <w:lang w:val="en-US" w:eastAsia="zh-CN"/>
        </w:rPr>
        <w:t xml:space="preserve">第九章  </w:t>
      </w:r>
      <w:r>
        <w:rPr>
          <w:rFonts w:hint="eastAsia"/>
          <w:spacing w:val="-6"/>
          <w:highlight w:val="none"/>
          <w:lang w:val="en-US" w:eastAsia="zh-CN"/>
        </w:rPr>
        <w:t>加力提速</w:t>
      </w:r>
      <w:r>
        <w:rPr>
          <w:rFonts w:hint="eastAsia"/>
          <w:spacing w:val="-6"/>
          <w:highlight w:val="none"/>
          <w:lang w:eastAsia="zh-CN"/>
        </w:rPr>
        <w:t>“</w:t>
      </w:r>
      <w:r>
        <w:rPr>
          <w:rFonts w:hint="eastAsia"/>
          <w:spacing w:val="-6"/>
          <w:highlight w:val="none"/>
        </w:rPr>
        <w:t>百千万工程</w:t>
      </w:r>
      <w:r>
        <w:rPr>
          <w:rFonts w:hint="eastAsia"/>
          <w:spacing w:val="-6"/>
          <w:highlight w:val="none"/>
          <w:lang w:eastAsia="zh-CN"/>
        </w:rPr>
        <w:t>”</w:t>
      </w:r>
      <w:r>
        <w:rPr>
          <w:rFonts w:hint="eastAsia"/>
          <w:spacing w:val="-6"/>
          <w:highlight w:val="none"/>
        </w:rPr>
        <w:t>，促进城乡区域协调发展</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_Toc1991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63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_Toc13432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 xml:space="preserve">第一节  </w:t>
      </w:r>
      <w:r>
        <w:rPr>
          <w:rFonts w:hint="eastAsia" w:ascii="方正楷体_GBK" w:hAnsi="方正楷体_GBK" w:eastAsia="方正楷体_GBK" w:cs="方正楷体_GBK"/>
          <w:highlight w:val="none"/>
        </w:rPr>
        <w:t>建设现代化</w:t>
      </w:r>
      <w:r>
        <w:rPr>
          <w:rFonts w:hint="eastAsia" w:ascii="方正楷体_GBK" w:hAnsi="方正楷体_GBK" w:eastAsia="方正楷体_GBK" w:cs="方正楷体_GBK"/>
          <w:highlight w:val="none"/>
          <w:lang w:val="en-US" w:eastAsia="zh-CN"/>
        </w:rPr>
        <w:t>高</w:t>
      </w:r>
      <w:r>
        <w:rPr>
          <w:rFonts w:hint="eastAsia" w:ascii="方正楷体_GBK" w:hAnsi="方正楷体_GBK" w:eastAsia="方正楷体_GBK" w:cs="方正楷体_GBK"/>
          <w:highlight w:val="none"/>
        </w:rPr>
        <w:t>品质城区</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_Toc13432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63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_Toc29293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优化城镇空间发展格局</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_Toc29293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65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_Toc17894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建设宜居宜业和美乡村</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_Toc17894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66</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_Toc22303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加强城乡基础设施建设</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_Toc22303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68</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_Toc9591 </w:instrText>
      </w:r>
      <w:r>
        <w:rPr>
          <w:rFonts w:hint="default"/>
          <w:highlight w:val="none"/>
          <w:lang w:val="en-US" w:eastAsia="zh-CN"/>
        </w:rPr>
        <w:fldChar w:fldCharType="separate"/>
      </w:r>
      <w:r>
        <w:rPr>
          <w:rFonts w:hint="eastAsia"/>
          <w:highlight w:val="none"/>
          <w:lang w:val="en-US" w:eastAsia="zh-CN"/>
        </w:rPr>
        <w:t>第十章  加强</w:t>
      </w:r>
      <w:r>
        <w:rPr>
          <w:rFonts w:hint="eastAsia"/>
          <w:highlight w:val="none"/>
        </w:rPr>
        <w:t>民生事业</w:t>
      </w:r>
      <w:r>
        <w:rPr>
          <w:rFonts w:hint="eastAsia"/>
          <w:highlight w:val="none"/>
          <w:lang w:val="en-US" w:eastAsia="zh-CN"/>
        </w:rPr>
        <w:t>建设</w:t>
      </w:r>
      <w:r>
        <w:rPr>
          <w:rFonts w:hint="eastAsia"/>
          <w:highlight w:val="none"/>
        </w:rPr>
        <w:t>，不断提高人民生活品质</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_Toc9591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73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rFonts w:hint="default"/>
          <w:color w:val="000000" w:themeColor="text1"/>
          <w:highlight w:val="none"/>
          <w:lang w:val="en-US" w:eastAsia="zh-CN"/>
          <w14:textFill>
            <w14:solidFill>
              <w14:schemeClr w14:val="tx1"/>
            </w14:solidFill>
          </w14:textFill>
        </w:rPr>
        <w:sectPr>
          <w:footerReference r:id="rId10" w:type="default"/>
          <w:pgSz w:w="11906" w:h="16838"/>
          <w:pgMar w:top="2154" w:right="1417" w:bottom="1984" w:left="1587" w:header="851" w:footer="992" w:gutter="0"/>
          <w:pgNumType w:fmt="numberInDash"/>
          <w:cols w:space="0" w:num="1"/>
          <w:rtlGutter w:val="0"/>
          <w:docGrid w:type="lines" w:linePitch="437" w:charSpace="0"/>
        </w:sectPr>
      </w:pP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_Toc1430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扎实推进稳就业增收入</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_Toc1430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73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_Toc20529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持续办好人民满意的教育</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_Toc20529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74</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_Toc2603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建设更高水平的健康清新</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_Toc2603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78</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_Toc16076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提高社会保障水平</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_Toc16076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80</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_Toc10606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第五节  推动人口高质量发展</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_Toc10606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82</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_Toc32615 </w:instrText>
      </w:r>
      <w:r>
        <w:rPr>
          <w:rFonts w:hint="default"/>
          <w:highlight w:val="none"/>
          <w:lang w:val="en-US" w:eastAsia="zh-CN"/>
        </w:rPr>
        <w:fldChar w:fldCharType="separate"/>
      </w:r>
      <w:r>
        <w:rPr>
          <w:rFonts w:hint="eastAsia"/>
          <w:highlight w:val="none"/>
          <w:lang w:val="en-US" w:eastAsia="zh-CN"/>
        </w:rPr>
        <w:t>第十一章  促进人与自然和谐共生，建设绿美生态清新</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_Toc32615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85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_Toc28044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维育绿美生态系统</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_Toc28044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85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_Toc32227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全面提升生态环境品质</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_Toc32227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86</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_Toc31676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推进绿色低碳循环发展</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_Toc31676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88</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_Toc30728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健全生态文明体制</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_Toc30728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90</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_Toc23120 </w:instrText>
      </w:r>
      <w:r>
        <w:rPr>
          <w:rFonts w:hint="default"/>
          <w:highlight w:val="none"/>
          <w:lang w:val="en-US" w:eastAsia="zh-CN"/>
        </w:rPr>
        <w:fldChar w:fldCharType="separate"/>
      </w:r>
      <w:r>
        <w:rPr>
          <w:rFonts w:hint="eastAsia"/>
          <w:highlight w:val="none"/>
          <w:lang w:val="en-US" w:eastAsia="zh-CN"/>
        </w:rPr>
        <w:t xml:space="preserve">第十二章  </w:t>
      </w:r>
      <w:r>
        <w:rPr>
          <w:rFonts w:hint="eastAsia"/>
          <w:spacing w:val="-6"/>
          <w:highlight w:val="none"/>
        </w:rPr>
        <w:t>统筹发展和安全，建设更高水平的平安法治清新</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_Toc23120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93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_Toc17376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大力维护政治经济安全</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_Toc17376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93</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_Toc21539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加强和创新社会治理</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_Toc21539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95</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_Toc499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全力维护社会和谐稳定</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_Toc499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97</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4"/>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_Toc19561 </w:instrText>
      </w:r>
      <w:r>
        <w:rPr>
          <w:rFonts w:hint="default"/>
          <w:highlight w:val="none"/>
          <w:lang w:val="en-US" w:eastAsia="zh-CN"/>
        </w:rPr>
        <w:fldChar w:fldCharType="separate"/>
      </w:r>
      <w:r>
        <w:rPr>
          <w:rFonts w:hint="eastAsia"/>
          <w:highlight w:val="none"/>
          <w:lang w:val="en-US" w:eastAsia="zh-CN"/>
        </w:rPr>
        <w:t>第十三章  完善规划保障机制，确保规划有效落实</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_Toc19561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_Toc25153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第一节  加强党的全面领导</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_Toc25153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101</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_Toc11838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第二节  完善统一规划体系</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_Toc11838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102</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_Toc6701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第三节  健全规划保障机制</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_Toc6701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102</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16"/>
        <w:tabs>
          <w:tab w:val="right" w:leader="dot" w:pos="8902"/>
        </w:tabs>
        <w:rPr>
          <w:highlight w:val="none"/>
        </w:rPr>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_Toc15710 </w:instrText>
      </w:r>
      <w:r>
        <w:rPr>
          <w:rFonts w:hint="default"/>
          <w:highlight w:val="none"/>
          <w:lang w:val="en-US" w:eastAsia="zh-CN"/>
        </w:rPr>
        <w:fldChar w:fldCharType="separate"/>
      </w:r>
      <w:r>
        <w:rPr>
          <w:rFonts w:hint="eastAsia" w:ascii="方正楷体_GBK" w:hAnsi="方正楷体_GBK" w:eastAsia="方正楷体_GBK" w:cs="方正楷体_GBK"/>
          <w:highlight w:val="none"/>
          <w:lang w:val="en-US" w:eastAsia="zh-CN"/>
        </w:rPr>
        <w:t>第四节  强化重大项目支撑</w:t>
      </w:r>
      <w:r>
        <w:rPr>
          <w:highlight w:val="none"/>
        </w:rPr>
        <w:tab/>
      </w:r>
      <w:r>
        <w:rPr>
          <w:rFonts w:hint="eastAsia" w:ascii="方正仿宋_GBK" w:hAnsi="方正仿宋_GBK" w:eastAsia="方正仿宋_GBK" w:cs="方正仿宋_GBK"/>
          <w:highlight w:val="none"/>
        </w:rPr>
        <w:fldChar w:fldCharType="begin"/>
      </w:r>
      <w:r>
        <w:rPr>
          <w:rFonts w:hint="eastAsia" w:ascii="方正仿宋_GBK" w:hAnsi="方正仿宋_GBK" w:eastAsia="方正仿宋_GBK" w:cs="方正仿宋_GBK"/>
          <w:highlight w:val="none"/>
        </w:rPr>
        <w:instrText xml:space="preserve"> PAGEREF _Toc15710 \h </w:instrText>
      </w:r>
      <w:r>
        <w:rPr>
          <w:rFonts w:hint="eastAsia" w:ascii="方正仿宋_GBK" w:hAnsi="方正仿宋_GBK" w:eastAsia="方正仿宋_GBK" w:cs="方正仿宋_GBK"/>
          <w:highlight w:val="none"/>
        </w:rPr>
        <w:fldChar w:fldCharType="separate"/>
      </w:r>
      <w:r>
        <w:rPr>
          <w:rFonts w:hint="eastAsia" w:ascii="方正仿宋_GBK" w:hAnsi="方正仿宋_GBK" w:eastAsia="方正仿宋_GBK" w:cs="方正仿宋_GBK"/>
          <w:highlight w:val="none"/>
        </w:rPr>
        <w:t>102</w:t>
      </w:r>
      <w:r>
        <w:rPr>
          <w:rFonts w:hint="eastAsia" w:ascii="方正仿宋_GBK" w:hAnsi="方正仿宋_GBK" w:eastAsia="方正仿宋_GBK" w:cs="方正仿宋_GBK"/>
          <w:highlight w:val="none"/>
        </w:rPr>
        <w:fldChar w:fldCharType="end"/>
      </w:r>
      <w:r>
        <w:rPr>
          <w:rFonts w:hint="default"/>
          <w:color w:val="000000" w:themeColor="text1"/>
          <w:highlight w:val="none"/>
          <w:lang w:val="en-US" w:eastAsia="zh-CN"/>
          <w14:textFill>
            <w14:solidFill>
              <w14:schemeClr w14:val="tx1"/>
            </w14:solidFill>
          </w14:textFill>
        </w:rPr>
        <w:fldChar w:fldCharType="end"/>
      </w:r>
    </w:p>
    <w:p>
      <w:pPr>
        <w:pStyle w:val="8"/>
        <w:shd w:val="clear"/>
        <w:rPr>
          <w:rFonts w:hint="eastAsia"/>
          <w:color w:val="000000" w:themeColor="text1"/>
          <w:highlight w:val="none"/>
          <w:lang w:val="en-US" w:eastAsia="zh-CN"/>
          <w14:textFill>
            <w14:solidFill>
              <w14:schemeClr w14:val="tx1"/>
            </w14:solidFill>
          </w14:textFill>
        </w:rPr>
        <w:sectPr>
          <w:footerReference r:id="rId11" w:type="default"/>
          <w:pgSz w:w="11906" w:h="16838"/>
          <w:pgMar w:top="2154" w:right="1417" w:bottom="1984" w:left="1587" w:header="851" w:footer="992" w:gutter="0"/>
          <w:pgNumType w:fmt="numberInDash"/>
          <w:cols w:space="0" w:num="1"/>
          <w:rtlGutter w:val="0"/>
          <w:docGrid w:type="lines" w:linePitch="437" w:charSpace="0"/>
        </w:sectPr>
      </w:pPr>
      <w:r>
        <w:rPr>
          <w:rFonts w:hint="default"/>
          <w:color w:val="000000" w:themeColor="text1"/>
          <w:highlight w:val="none"/>
          <w:lang w:val="en-US" w:eastAsia="zh-CN"/>
          <w14:textFill>
            <w14:solidFill>
              <w14:schemeClr w14:val="tx1"/>
            </w14:solidFill>
          </w14:textFill>
        </w:rPr>
        <w:fldChar w:fldCharType="end"/>
      </w:r>
    </w:p>
    <w:p>
      <w:pPr>
        <w:shd w:val="clear"/>
        <w:bidi w:val="0"/>
        <w:ind w:firstLine="64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清远市清新区国民经济和社会发展第十五个五年规划纲要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2026—2030年</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根据党的二十届四中全会、省委十三届七次全会、市委八届九次全会精神和《中共清远市清新区委关于制定清新区国民经济和社会发展第十五个五年规划的建议》编制，主要阐明“十五五”时期全区经济社会发展的指导思想、基本原则、发展目标，谋划重大战略，部署重大任务，是战略性、指导性规划，是政府履行经济调节、市场监管、社会管理、公共服务和生态环境保护职能的重要依据，是未来五年我区国民经济和社会发展的宏伟蓝图和全区人民共同奋斗的行动纲领。</w:t>
      </w:r>
    </w:p>
    <w:p>
      <w:pPr>
        <w:rPr>
          <w:rFonts w:hint="default"/>
          <w:color w:val="000000" w:themeColor="text1"/>
          <w:highlight w:val="none"/>
          <w:lang w:val="en-US" w:eastAsia="zh-CN"/>
          <w14:textFill>
            <w14:solidFill>
              <w14:schemeClr w14:val="tx1"/>
            </w14:solidFill>
          </w14:textFill>
        </w:rPr>
      </w:pPr>
    </w:p>
    <w:p>
      <w:pPr>
        <w:pStyle w:val="3"/>
        <w:numPr>
          <w:ilvl w:val="0"/>
          <w:numId w:val="1"/>
        </w:numPr>
        <w:shd w:val="clear"/>
        <w:bidi w:val="0"/>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14:textFill>
            <w14:solidFill>
              <w14:schemeClr w14:val="tx1"/>
            </w14:solidFill>
          </w14:textFill>
        </w:rPr>
        <w:t xml:space="preserve"> </w:t>
      </w:r>
      <w:bookmarkStart w:id="0" w:name="_Toc22418"/>
      <w:r>
        <w:rPr>
          <w:rFonts w:hint="eastAsia" w:ascii="方正黑体_GBK" w:hAnsi="方正黑体_GBK" w:eastAsia="方正黑体_GBK" w:cs="方正黑体_GBK"/>
          <w:color w:val="000000" w:themeColor="text1"/>
          <w:highlight w:val="none"/>
          <w:lang w:eastAsia="zh-CN"/>
          <w14:textFill>
            <w14:solidFill>
              <w14:schemeClr w14:val="tx1"/>
            </w14:solidFill>
          </w14:textFill>
        </w:rPr>
        <w:t>“</w:t>
      </w:r>
      <w:r>
        <w:rPr>
          <w:rFonts w:hint="eastAsia" w:ascii="方正黑体_GBK" w:hAnsi="方正黑体_GBK" w:eastAsia="方正黑体_GBK" w:cs="方正黑体_GBK"/>
          <w:color w:val="000000" w:themeColor="text1"/>
          <w:highlight w:val="none"/>
          <w14:textFill>
            <w14:solidFill>
              <w14:schemeClr w14:val="tx1"/>
            </w14:solidFill>
          </w14:textFill>
        </w:rPr>
        <w:t>十</w:t>
      </w: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四</w:t>
      </w:r>
      <w:r>
        <w:rPr>
          <w:rFonts w:hint="eastAsia" w:ascii="方正黑体_GBK" w:hAnsi="方正黑体_GBK" w:eastAsia="方正黑体_GBK" w:cs="方正黑体_GBK"/>
          <w:color w:val="000000" w:themeColor="text1"/>
          <w:highlight w:val="none"/>
          <w14:textFill>
            <w14:solidFill>
              <w14:schemeClr w14:val="tx1"/>
            </w14:solidFill>
          </w14:textFill>
        </w:rPr>
        <w:t>五</w:t>
      </w:r>
      <w:r>
        <w:rPr>
          <w:rFonts w:hint="eastAsia" w:ascii="方正黑体_GBK" w:hAnsi="方正黑体_GBK" w:eastAsia="方正黑体_GBK" w:cs="方正黑体_GBK"/>
          <w:color w:val="000000" w:themeColor="text1"/>
          <w:highlight w:val="none"/>
          <w:lang w:eastAsia="zh-CN"/>
          <w14:textFill>
            <w14:solidFill>
              <w14:schemeClr w14:val="tx1"/>
            </w14:solidFill>
          </w14:textFill>
        </w:rPr>
        <w:t>”</w:t>
      </w:r>
      <w:r>
        <w:rPr>
          <w:rFonts w:hint="eastAsia" w:ascii="方正黑体_GBK" w:hAnsi="方正黑体_GBK" w:eastAsia="方正黑体_GBK" w:cs="方正黑体_GBK"/>
          <w:color w:val="000000" w:themeColor="text1"/>
          <w:highlight w:val="none"/>
          <w14:textFill>
            <w14:solidFill>
              <w14:schemeClr w14:val="tx1"/>
            </w14:solidFill>
          </w14:textFill>
        </w:rPr>
        <w:t>发展成就和</w:t>
      </w:r>
      <w:r>
        <w:rPr>
          <w:rFonts w:hint="eastAsia" w:ascii="方正黑体_GBK" w:hAnsi="方正黑体_GBK" w:eastAsia="方正黑体_GBK" w:cs="方正黑体_GBK"/>
          <w:color w:val="000000" w:themeColor="text1"/>
          <w:highlight w:val="none"/>
          <w:lang w:eastAsia="zh-CN"/>
          <w14:textFill>
            <w14:solidFill>
              <w14:schemeClr w14:val="tx1"/>
            </w14:solidFill>
          </w14:textFill>
        </w:rPr>
        <w:t>“</w:t>
      </w:r>
      <w:r>
        <w:rPr>
          <w:rFonts w:hint="eastAsia" w:ascii="方正黑体_GBK" w:hAnsi="方正黑体_GBK" w:eastAsia="方正黑体_GBK" w:cs="方正黑体_GBK"/>
          <w:color w:val="000000" w:themeColor="text1"/>
          <w:highlight w:val="none"/>
          <w14:textFill>
            <w14:solidFill>
              <w14:schemeClr w14:val="tx1"/>
            </w14:solidFill>
          </w14:textFill>
        </w:rPr>
        <w:t>十</w:t>
      </w: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五</w:t>
      </w:r>
      <w:r>
        <w:rPr>
          <w:rFonts w:hint="eastAsia" w:ascii="方正黑体_GBK" w:hAnsi="方正黑体_GBK" w:eastAsia="方正黑体_GBK" w:cs="方正黑体_GBK"/>
          <w:color w:val="000000" w:themeColor="text1"/>
          <w:highlight w:val="none"/>
          <w14:textFill>
            <w14:solidFill>
              <w14:schemeClr w14:val="tx1"/>
            </w14:solidFill>
          </w14:textFill>
        </w:rPr>
        <w:t>五</w:t>
      </w:r>
      <w:r>
        <w:rPr>
          <w:rFonts w:hint="eastAsia" w:ascii="方正黑体_GBK" w:hAnsi="方正黑体_GBK" w:eastAsia="方正黑体_GBK" w:cs="方正黑体_GBK"/>
          <w:color w:val="000000" w:themeColor="text1"/>
          <w:highlight w:val="none"/>
          <w:lang w:eastAsia="zh-CN"/>
          <w14:textFill>
            <w14:solidFill>
              <w14:schemeClr w14:val="tx1"/>
            </w14:solidFill>
          </w14:textFill>
        </w:rPr>
        <w:t>”</w:t>
      </w:r>
      <w:r>
        <w:rPr>
          <w:rFonts w:hint="eastAsia" w:ascii="方正黑体_GBK" w:hAnsi="方正黑体_GBK" w:eastAsia="方正黑体_GBK" w:cs="方正黑体_GBK"/>
          <w:color w:val="000000" w:themeColor="text1"/>
          <w:highlight w:val="none"/>
          <w14:textFill>
            <w14:solidFill>
              <w14:schemeClr w14:val="tx1"/>
            </w14:solidFill>
          </w14:textFill>
        </w:rPr>
        <w:t>发展环境</w:t>
      </w:r>
      <w:bookmarkEnd w:id="0"/>
    </w:p>
    <w:p>
      <w:pPr>
        <w:rPr>
          <w:rFonts w:hint="eastAsia"/>
          <w:color w:val="000000" w:themeColor="text1"/>
          <w:highlight w:val="none"/>
          <w14:textFill>
            <w14:solidFill>
              <w14:schemeClr w14:val="tx1"/>
            </w14:solidFill>
          </w14:textFill>
        </w:rPr>
      </w:pPr>
    </w:p>
    <w:p>
      <w:pPr>
        <w:shd w:val="clear"/>
        <w:bidi w:val="0"/>
        <w:rPr>
          <w:rFonts w:hint="eastAsia" w:ascii="方正仿宋_GBK" w:hAnsi="方正仿宋_GBK" w:eastAsia="方正仿宋_GBK" w:cs="方正仿宋_GBK"/>
          <w:color w:val="000000" w:themeColor="text1"/>
          <w:szCs w:val="40"/>
          <w:highlight w:val="none"/>
          <w:u w:val="none" w:color="auto"/>
          <w14:textFill>
            <w14:solidFill>
              <w14:schemeClr w14:val="tx1"/>
            </w14:solidFill>
          </w14:textFill>
        </w:rPr>
      </w:pP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十四五</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时期，在以习近平同志为核心的</w:t>
      </w:r>
      <w:r>
        <w:rPr>
          <w:rFonts w:hint="eastAsia" w:ascii="方正仿宋_GBK" w:hAnsi="方正仿宋_GBK" w:eastAsia="方正仿宋_GBK" w:cs="方正仿宋_GBK"/>
          <w:color w:val="000000" w:themeColor="text1"/>
          <w:kern w:val="2"/>
          <w:sz w:val="32"/>
          <w:szCs w:val="40"/>
          <w:highlight w:val="none"/>
          <w:u w:val="none" w:color="auto"/>
          <w:lang w:val="en-US" w:eastAsia="zh-CN" w:bidi="ar"/>
          <w14:textFill>
            <w14:solidFill>
              <w14:schemeClr w14:val="tx1"/>
            </w14:solidFill>
          </w14:textFill>
        </w:rPr>
        <w:t>党</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中央坚强领导下，</w:t>
      </w:r>
      <w:r>
        <w:rPr>
          <w:rFonts w:hint="eastAsia" w:ascii="方正仿宋_GBK" w:hAnsi="方正仿宋_GBK" w:eastAsia="方正仿宋_GBK" w:cs="方正仿宋_GBK"/>
          <w:color w:val="000000" w:themeColor="text1"/>
          <w:kern w:val="2"/>
          <w:sz w:val="32"/>
          <w:szCs w:val="40"/>
          <w:highlight w:val="none"/>
          <w:u w:val="none" w:color="auto"/>
          <w:lang w:val="en-US" w:eastAsia="zh-CN" w:bidi="ar"/>
          <w14:textFill>
            <w14:solidFill>
              <w14:schemeClr w14:val="tx1"/>
            </w14:solidFill>
          </w14:textFill>
        </w:rPr>
        <w:t>全</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区深入学习贯彻党的二十大和二十届历次全会精神以及习近平总书记对广东系列重要讲话和重要指示精神，认真贯彻落实省委</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1310</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具体部署</w:t>
      </w:r>
      <w:r>
        <w:rPr>
          <w:rStyle w:val="24"/>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footnoteReference w:id="0"/>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百县千镇万村高质量发展工程</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以及市委</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十大行动方案</w:t>
      </w:r>
      <w:r>
        <w:rPr>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t>”</w:t>
      </w:r>
      <w:r>
        <w:rPr>
          <w:rStyle w:val="24"/>
          <w:rFonts w:hint="eastAsia" w:ascii="方正仿宋_GBK" w:hAnsi="方正仿宋_GBK" w:eastAsia="方正仿宋_GBK" w:cs="方正仿宋_GBK"/>
          <w:color w:val="000000" w:themeColor="text1"/>
          <w:kern w:val="2"/>
          <w:sz w:val="32"/>
          <w:szCs w:val="40"/>
          <w:highlight w:val="none"/>
          <w:u w:val="none" w:color="auto"/>
          <w:lang w:eastAsia="zh-CN" w:bidi="ar"/>
          <w14:textFill>
            <w14:solidFill>
              <w14:schemeClr w14:val="tx1"/>
            </w14:solidFill>
          </w14:textFill>
        </w:rPr>
        <w:footnoteReference w:id="1"/>
      </w:r>
      <w:r>
        <w:rPr>
          <w:rFonts w:hint="eastAsia" w:ascii="方正仿宋_GBK" w:hAnsi="方正仿宋_GBK" w:eastAsia="方正仿宋_GBK" w:cs="方正仿宋_GBK"/>
          <w:color w:val="000000" w:themeColor="text1"/>
          <w:kern w:val="2"/>
          <w:sz w:val="32"/>
          <w:szCs w:val="40"/>
          <w:highlight w:val="none"/>
          <w:u w:val="none" w:color="auto"/>
          <w:lang w:bidi="ar"/>
          <w14:textFill>
            <w14:solidFill>
              <w14:schemeClr w14:val="tx1"/>
            </w14:solidFill>
          </w14:textFill>
        </w:rPr>
        <w:t>工作部署，</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沉着应对百年变局、世纪疫情和自然灾害，聚焦高质量发展首要任务，全面推进“四个清新”</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建设，全区各项事业取得新进展新成效。“十五五”时期，面对深刻复杂变化的发展环境，我们必须保持战略定力，增强必胜信心，扎实推进经济社会高质量发展，确保基本实现社会主义现代化取得决定性进展。</w:t>
      </w:r>
    </w:p>
    <w:p>
      <w:pPr>
        <w:pStyle w:val="4"/>
        <w:shd w:val="clear"/>
        <w:bidi w:val="0"/>
        <w:rPr>
          <w:rFonts w:hint="default" w:eastAsia="楷体"/>
          <w:color w:val="000000" w:themeColor="text1"/>
          <w:highlight w:val="none"/>
          <w:lang w:val="en-US" w:eastAsia="zh-CN"/>
          <w14:textFill>
            <w14:solidFill>
              <w14:schemeClr w14:val="tx1"/>
            </w14:solidFill>
          </w14:textFill>
        </w:rPr>
      </w:pPr>
      <w:bookmarkStart w:id="1" w:name="_Toc10140"/>
      <w:r>
        <w:rPr>
          <w:rFonts w:hint="eastAsia"/>
          <w:color w:val="000000" w:themeColor="text1"/>
          <w:highlight w:val="none"/>
          <w14:textFill>
            <w14:solidFill>
              <w14:schemeClr w14:val="tx1"/>
            </w14:solidFill>
          </w14:textFill>
        </w:rPr>
        <w:t xml:space="preserve">第一节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十四五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时期取得的重大成就</w:t>
      </w:r>
      <w:bookmarkEnd w:id="1"/>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经济实力</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稳步</w:t>
      </w:r>
      <w:r>
        <w:rPr>
          <w:rFonts w:hint="eastAsia" w:ascii="方正仿宋_GBK" w:hAnsi="方正仿宋_GBK" w:eastAsia="方正仿宋_GBK" w:cs="方正仿宋_GBK"/>
          <w:b/>
          <w:bCs/>
          <w:color w:val="000000" w:themeColor="text1"/>
          <w:highlight w:val="none"/>
          <w14:textFill>
            <w14:solidFill>
              <w14:schemeClr w14:val="tx1"/>
            </w14:solidFill>
          </w14:textFill>
        </w:rPr>
        <w:t>增强</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2025年，全区地区生产总值357.9亿元，五年年均增长4.0%；人均地区生产总值约5.8万元，年均增长4.1%；地方财政一般公共预算收入25.4亿元，年均增长4.9%；产业结构持续优化，三次产业结构由2020年的19.6:42.9:37.4调整为2025年的18.5:34.4:47.1，先进制造业增加值占规模以上工业增加值比重达47.4%。入选省全域打造整县推进农文旅融合发展试点，全市唯一获批省级食品工业培育试点县（区）。2025年社会消费品零售总额72.1亿元，年均增长5.7%。外资外贸量稳质升，“十四五”期间完成外贸进出口总额389亿元，2025年比2020年增长1%；实际利用外资总量12.85亿元，2025年比2020年增长64.3%。镇域经济发展基础逐步夯实，</w:t>
      </w:r>
      <w:r>
        <w:rPr>
          <w:rFonts w:hint="eastAsia" w:ascii="方正仿宋_GBK" w:hAnsi="方正仿宋_GBK" w:eastAsia="方正仿宋_GBK" w:cs="方正仿宋_GBK"/>
          <w:color w:val="000000" w:themeColor="text1"/>
          <w:highlight w:val="none"/>
          <w14:textFill>
            <w14:solidFill>
              <w14:schemeClr w14:val="tx1"/>
            </w14:solidFill>
          </w14:textFill>
        </w:rPr>
        <w:t>太和镇综合发展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w:t>
      </w:r>
      <w:r>
        <w:rPr>
          <w:rFonts w:hint="eastAsia" w:ascii="方正仿宋_GBK" w:hAnsi="方正仿宋_GBK" w:eastAsia="方正仿宋_GBK" w:cs="方正仿宋_GBK"/>
          <w:color w:val="000000" w:themeColor="text1"/>
          <w:highlight w:val="none"/>
          <w14:textFill>
            <w14:solidFill>
              <w14:schemeClr w14:val="tx1"/>
            </w14:solidFill>
          </w14:textFill>
        </w:rPr>
        <w:t>力位列广东</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百强镇</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第35名，</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上榜“2024镇域经济全国500强”榜单。</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现代化产业体系加快建设。</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特色农业产业加快发展。获授“省级水产健康养殖和生态养殖示范区”称号，区内现有4个省级现代农业产业园，数量居全市首位</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清新桂花鱼</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成功升级为国家地理标志保护产品。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山塘镇入选全国首批国家农业产业强镇；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累计新增省级农业龙头企业8家、市级11家，培育农民合作社109家、家庭农场168家。现代工业稳步发展。</w:t>
      </w:r>
      <w:r>
        <w:rPr>
          <w:rFonts w:hint="eastAsia" w:ascii="方正仿宋_GBK" w:hAnsi="方正仿宋_GBK" w:eastAsia="方正仿宋_GBK" w:cs="方正仿宋_GBK"/>
          <w:color w:val="000000" w:themeColor="text1"/>
          <w:highlight w:val="none"/>
          <w14:textFill>
            <w14:solidFill>
              <w14:schemeClr w14:val="tx1"/>
            </w14:solidFill>
          </w14:textFill>
        </w:rPr>
        <w:t>先进材料、轻工制鞋及纺织服装、农副食品加工、汽车零部件等“3+1”产业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实现总产值299.5亿元，较2020年增长7.5%</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i w:val="0"/>
          <w:iCs w:val="0"/>
          <w:caps w:val="0"/>
          <w:color w:val="000000" w:themeColor="text1"/>
          <w:spacing w:val="0"/>
          <w:kern w:val="2"/>
          <w:sz w:val="32"/>
          <w:szCs w:val="24"/>
          <w:highlight w:val="none"/>
          <w:u w:val="none"/>
          <w:shd w:val="clear"/>
          <w:lang w:val="en-US" w:eastAsia="zh-CN" w:bidi="ar"/>
          <w14:textFill>
            <w14:solidFill>
              <w14:schemeClr w14:val="tx1"/>
            </w14:solidFill>
          </w14:textFill>
        </w:rPr>
        <w:t>清远清新产业园区获评省四星级服务园区、省级“先进材料”特色产业园，成为清远市首个工业类特色园区，并入选省产业有序转移主平台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区拥有规模以上工业企业175家，比2020年增加37家。现代服务业加快发展，荣获“广东省全域旅游示范区”称号，成功打造1条国家级户外精品旅游线路、2条省级四季美食旅游精品线路，建成环笔架山、环温矿泉、环桃花湖等差异化民宿集群，“十四五”时期累计接待旅游人数1245万人次、旅游收入109.48亿元。</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城乡基础设施提档升级。</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交通路网进一步完善，国道G107线清新三坑滩路段升级改造工程、省道S354线清新太和至太平段路面改造工程、省道S382线清新迳下至车仔尾段路面改造工程</w:t>
      </w:r>
      <w:r>
        <w:rPr>
          <w:rFonts w:hint="eastAsia" w:ascii="方正仿宋_GBK" w:hAnsi="方正仿宋_GBK" w:eastAsia="方正仿宋_GBK" w:cs="方正仿宋_GBK"/>
          <w:b w:val="0"/>
          <w:bCs w:val="0"/>
          <w:highlight w:val="none"/>
          <w:lang w:eastAsia="zh-CN"/>
        </w:rPr>
        <w:t>、</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国道G107石潭至迳口段路面预防养护及功能性修复养护工程均已完工，</w:t>
      </w:r>
      <w:r>
        <w:rPr>
          <w:rFonts w:hint="eastAsia" w:ascii="方正仿宋_GBK" w:hAnsi="方正仿宋_GBK" w:eastAsia="方正仿宋_GBK" w:cs="方正仿宋_GBK"/>
          <w:b w:val="0"/>
          <w:bCs w:val="0"/>
          <w:sz w:val="32"/>
          <w:szCs w:val="32"/>
          <w:highlight w:val="none"/>
          <w:u w:val="none" w:color="auto"/>
        </w:rPr>
        <w:t>清花高速清新段</w:t>
      </w:r>
      <w:r>
        <w:rPr>
          <w:rFonts w:hint="eastAsia" w:ascii="方正仿宋_GBK" w:hAnsi="方正仿宋_GBK" w:eastAsia="方正仿宋_GBK" w:cs="方正仿宋_GBK"/>
          <w:b w:val="0"/>
          <w:bCs w:val="0"/>
          <w:sz w:val="32"/>
          <w:szCs w:val="32"/>
          <w:highlight w:val="none"/>
          <w:u w:val="none" w:color="auto"/>
          <w:lang w:eastAsia="zh-CN"/>
        </w:rPr>
        <w:t>投资完成率达</w:t>
      </w:r>
      <w:r>
        <w:rPr>
          <w:rFonts w:hint="eastAsia" w:ascii="方正仿宋_GBK" w:hAnsi="方正仿宋_GBK" w:eastAsia="方正仿宋_GBK" w:cs="方正仿宋_GBK"/>
          <w:b w:val="0"/>
          <w:bCs w:val="0"/>
          <w:sz w:val="32"/>
          <w:szCs w:val="32"/>
          <w:highlight w:val="none"/>
          <w:u w:val="none" w:color="auto"/>
          <w:lang w:val="en-US" w:eastAsia="zh-CN"/>
        </w:rPr>
        <w:t>85.58</w:t>
      </w:r>
      <w:r>
        <w:rPr>
          <w:rFonts w:hint="eastAsia" w:ascii="方正仿宋_GBK" w:hAnsi="方正仿宋_GBK" w:eastAsia="方正仿宋_GBK" w:cs="方正仿宋_GBK"/>
          <w:b w:val="0"/>
          <w:bCs w:val="0"/>
          <w:sz w:val="32"/>
          <w:szCs w:val="32"/>
          <w:highlight w:val="none"/>
          <w:u w:val="none" w:color="auto"/>
        </w:rPr>
        <w:t>%</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。城镇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加速</w:t>
      </w:r>
      <w:r>
        <w:rPr>
          <w:rFonts w:hint="eastAsia" w:ascii="方正仿宋_GBK" w:hAnsi="方正仿宋_GBK" w:eastAsia="方正仿宋_GBK" w:cs="方正仿宋_GBK"/>
          <w:color w:val="000000" w:themeColor="text1"/>
          <w:highlight w:val="none"/>
          <w14:textFill>
            <w14:solidFill>
              <w14:schemeClr w14:val="tx1"/>
            </w14:solidFill>
          </w14:textFill>
        </w:rPr>
        <w:t>扩容提质，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城西大道等交通优化改造工程加快推进，中山路与清和大道人行天桥等项目建成投入使用，打通笔架南等“断头路”；“十四五”期间累计开工改造老旧居住区项目21个、完成改造15个，惠及居民2.2万户；滨江、迳口、太平水厂建成投运，完成农村集中供水工程51宗，自来水普及率超99%；建成天然气</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市政</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管道185.05公里，完成“县县通”工程禾云分输站至园区城燃管网铺设，打造太平镇龙湾村委会小秦桥南村“气化示范村”，完成全市首次试点天然气进村入户；</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新建8个充电站点，52个总充电桩；实现区、镇、行政村光纤线路和4G网络全覆盖，建成5G基站1783个</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。加快农业转移人口市民化进程，累计新增城镇户籍人口16545人，其中农业转移人口城镇落户4832人。</w:t>
      </w:r>
    </w:p>
    <w:p>
      <w:pPr>
        <w:shd w:val="clear"/>
        <w:bidi w:val="0"/>
        <w:ind w:firstLine="643"/>
        <w:rPr>
          <w:rFonts w:hint="eastAsia"/>
          <w:b/>
          <w:bCs/>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改革、开放、创新“三大动力”不断增强。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域纳入广州都市圈建设范围，扎实推进国家城乡融合发展试验区广清接合片区建设；与广州市海珠区建立新一轮对口帮扶协作关系，共建产业投资促进中心，累计承接产业转移项目60个，总投资69.56亿元。营商环境持续提升，企业开办全流程实现“零成本”“一网通办”，工程建设项目施工许可办理时间压缩至0.5个工作日；审批主流程平均用时由117个工作日压缩至50个工作日，缩减57.26%。清新区养老服务改革案例入选全国、全省改革典型案例，浸潭镇“三块地”</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3"/>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改革案例入选“粤治—治理现代化”广东优秀案例，石潭镇数字人大案例入选2024年省县乡人大工作创新案例。“十四五”时期累计新增高新技术企业25家、科技型中小企业18家，新增市级以上工程技术研发中心17家，规模以上工业企业研发机构覆盖率达25%；成功创建省级农业科技园，山塘镇、太平镇、禾云镇先后上榜“百千万工程”创新型专业镇建设名单；推动114家企业开展数字化转型，累计完成工业技改投资30.37亿元。</w:t>
      </w:r>
    </w:p>
    <w:p>
      <w:pPr>
        <w:shd w:val="clear"/>
        <w:bidi w:val="0"/>
        <w:ind w:firstLine="643"/>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百县千镇万村高质量发展工程</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初见成效</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获评2023年度省“百千万工程”考核消薄类区优秀等次。创新开展“清新擂台·六比六拼”活动，在全市率先建立“百千万工程”常态化新闻发布会制度。</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典型镇村培育取得实效，分批次培育7个典型镇和56个典型村。人居环境明显改善，</w:t>
      </w:r>
      <w:r>
        <w:rPr>
          <w:rFonts w:hint="eastAsia" w:ascii="方正仿宋_GBK" w:hAnsi="方正仿宋_GBK" w:eastAsia="方正仿宋_GBK" w:cs="方正仿宋_GBK"/>
          <w:color w:val="000000" w:themeColor="text1"/>
          <w:highlight w:val="none"/>
          <w14:textFill>
            <w14:solidFill>
              <w14:schemeClr w14:val="tx1"/>
            </w14:solidFill>
          </w14:textFill>
        </w:rPr>
        <w:t>全区8个镇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均</w:t>
      </w:r>
      <w:r>
        <w:rPr>
          <w:rFonts w:hint="eastAsia" w:ascii="方正仿宋_GBK" w:hAnsi="方正仿宋_GBK" w:eastAsia="方正仿宋_GBK" w:cs="方正仿宋_GBK"/>
          <w:color w:val="000000" w:themeColor="text1"/>
          <w:highlight w:val="none"/>
          <w14:textFill>
            <w14:solidFill>
              <w14:schemeClr w14:val="tx1"/>
            </w14:solidFill>
          </w14:textFill>
        </w:rPr>
        <w:t>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美丽</w:t>
      </w:r>
      <w:r>
        <w:rPr>
          <w:rFonts w:hint="eastAsia" w:ascii="方正仿宋_GBK" w:hAnsi="方正仿宋_GBK" w:eastAsia="方正仿宋_GBK" w:cs="方正仿宋_GBK"/>
          <w:color w:val="000000" w:themeColor="text1"/>
          <w:highlight w:val="none"/>
          <w14:textFill>
            <w14:solidFill>
              <w14:schemeClr w14:val="tx1"/>
            </w14:solidFill>
          </w14:textFill>
        </w:rPr>
        <w:t>圩镇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创建</w:t>
      </w:r>
      <w:r>
        <w:rPr>
          <w:rFonts w:hint="eastAsia" w:ascii="方正仿宋_GBK" w:hAnsi="方正仿宋_GBK" w:eastAsia="方正仿宋_GBK" w:cs="方正仿宋_GBK"/>
          <w:color w:val="000000" w:themeColor="text1"/>
          <w:highlight w:val="none"/>
          <w14:textFill>
            <w14:solidFill>
              <w14:schemeClr w14:val="tx1"/>
            </w14:solidFill>
          </w14:textFill>
        </w:rPr>
        <w:t>标准</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，159个行政村达美丽宜居村标准，占比87.36%，累计完成5496栋农房改造提升，建成4条乡村振兴示范带。</w:t>
      </w:r>
      <w:r>
        <w:rPr>
          <w:rFonts w:hint="eastAsia" w:ascii="方正仿宋_GBK" w:hAnsi="方正仿宋_GBK" w:eastAsia="方正仿宋_GBK" w:cs="方正仿宋_GBK"/>
          <w:color w:val="000000" w:themeColor="text1"/>
          <w:highlight w:val="none"/>
          <w14:textFill>
            <w14:solidFill>
              <w14:schemeClr w14:val="tx1"/>
            </w14:solidFill>
          </w14:textFill>
        </w:rPr>
        <w:t>“四好农村路”建设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深入推进</w:t>
      </w:r>
      <w:r>
        <w:rPr>
          <w:rFonts w:hint="eastAsia" w:ascii="方正仿宋_GBK" w:hAnsi="方正仿宋_GBK" w:eastAsia="方正仿宋_GBK" w:cs="方正仿宋_GBK"/>
          <w:color w:val="000000" w:themeColor="text1"/>
          <w:highlight w:val="none"/>
          <w14:textFill>
            <w14:solidFill>
              <w14:schemeClr w14:val="tx1"/>
            </w14:solidFill>
          </w14:textFill>
        </w:rPr>
        <w:t>，完成通建制村单改双改造项目建设共50.37公里，路网联结项目70.21公里，危桥改造项目44座，村道生命安全防护工程126.36公里，美丽农村路58.47公里</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在全市率先完成“全区城乡垃圾收运一体化”工作，建成村级垃圾收集点3300个</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深化乡村运营模式，培育强村公司21家，辐射带动农户超1.7万人，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全区行政村集体经营性收入均超10万元。</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生态</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环境质量持续改善</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生态红线管控、资源和环境监管、生态环境保护责任等机制基本健全。聚力打好打赢污染防治三大攻坚战，</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十四五”时期全区环境空气质量达标天数比例保持在95%以上；市级集中式饮用水源水质达标率100%，滨江河、漫水河流域治理成效明显，累计完成中小河流治理项目5宗，治理总河长41.91公里。超额完成省市下达的森林质量精准提升建设任务，全区森林覆盖率达68.39%。成功打造太和洞森林公园绿美广东生态建设示范点，创建白湾省级自然教育基地，建设省级森林旅游新兴品牌地2个、省级森林康养基地（试点）1个；累计培育省级以上优质新型林业经营主体18个。在全省率先以区级国有企业为主体实施国储林项目，累计收储国家储备林林地3.36万亩。</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完成</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111宗</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新增违法乱占耕地建房整改工作，成为全市首个实现清零的县（区）。</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民生福祉不断增进</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持续加大民生投入力度，“十四五”时期累计民生投入209.22亿元。</w:t>
      </w:r>
      <w:r>
        <w:rPr>
          <w:rFonts w:hint="eastAsia" w:ascii="方正仿宋_GBK" w:hAnsi="方正仿宋_GBK" w:eastAsia="方正仿宋_GBK" w:cs="方正仿宋_GBK"/>
          <w:color w:val="000000" w:themeColor="text1"/>
          <w:highlight w:val="none"/>
          <w14:textFill>
            <w14:solidFill>
              <w14:schemeClr w14:val="tx1"/>
            </w14:solidFill>
          </w14:textFill>
        </w:rPr>
        <w:t>202</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5</w:t>
      </w:r>
      <w:r>
        <w:rPr>
          <w:rFonts w:hint="eastAsia" w:ascii="方正仿宋_GBK" w:hAnsi="方正仿宋_GBK" w:eastAsia="方正仿宋_GBK" w:cs="方正仿宋_GBK"/>
          <w:color w:val="000000" w:themeColor="text1"/>
          <w:highlight w:val="none"/>
          <w14:textFill>
            <w14:solidFill>
              <w14:schemeClr w14:val="tx1"/>
            </w14:solidFill>
          </w14:textFill>
        </w:rPr>
        <w:t>年城乡居民人均可支配收入</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3.3</w:t>
      </w:r>
      <w:r>
        <w:rPr>
          <w:rFonts w:hint="eastAsia" w:ascii="方正仿宋_GBK" w:hAnsi="方正仿宋_GBK" w:eastAsia="方正仿宋_GBK" w:cs="方正仿宋_GBK"/>
          <w:color w:val="000000" w:themeColor="text1"/>
          <w:highlight w:val="none"/>
          <w14:textFill>
            <w14:solidFill>
              <w14:schemeClr w14:val="tx1"/>
            </w14:solidFill>
          </w14:textFill>
        </w:rPr>
        <w:t>万元，比2020年增长</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37.1</w:t>
      </w:r>
      <w:r>
        <w:rPr>
          <w:rFonts w:hint="eastAsia" w:ascii="方正仿宋_GBK" w:hAnsi="方正仿宋_GBK" w:eastAsia="方正仿宋_GBK" w:cs="方正仿宋_GBK"/>
          <w:color w:val="000000" w:themeColor="text1"/>
          <w:highlight w:val="none"/>
          <w14:textFill>
            <w14:solidFill>
              <w14:schemeClr w14:val="tx1"/>
            </w14:solidFill>
          </w14:textFill>
        </w:rPr>
        <w:t>%，年均增长</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6.5</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累计城镇新增就业人数超3.7万人，开展“三项工程”</w:t>
      </w:r>
      <w:r>
        <w:rPr>
          <w:rStyle w:val="24"/>
          <w:rFonts w:hint="eastAsia" w:ascii="方正仿宋_GBK" w:hAnsi="方正仿宋_GBK" w:eastAsia="方正仿宋_GBK" w:cs="方正仿宋_GBK"/>
          <w:snapToGrid/>
          <w:color w:val="000000" w:themeColor="text1"/>
          <w:kern w:val="2"/>
          <w:szCs w:val="32"/>
          <w:highlight w:val="none"/>
          <w:u w:val="none" w:color="auto"/>
          <w:lang w:val="en-US" w:eastAsia="zh-CN" w:bidi="ar-SA"/>
          <w14:textFill>
            <w14:solidFill>
              <w14:schemeClr w14:val="tx1"/>
            </w14:solidFill>
          </w14:textFill>
        </w:rPr>
        <w:footnoteReference w:id="4"/>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培训超5.1万人次，完成各年市下达目标任务。基础教育扩优提质，新</w:t>
      </w:r>
      <w:r>
        <w:rPr>
          <w:rFonts w:hint="eastAsia" w:ascii="方正仿宋_GBK" w:hAnsi="方正仿宋_GBK" w:eastAsia="方正仿宋_GBK" w:cs="方正仿宋_GBK"/>
          <w:b w:val="0"/>
          <w:bCs w:val="0"/>
          <w:i w:val="0"/>
          <w:iCs w:val="0"/>
          <w:caps w:val="0"/>
          <w:color w:val="000000"/>
          <w:spacing w:val="0"/>
          <w:kern w:val="0"/>
          <w:sz w:val="32"/>
          <w:szCs w:val="32"/>
          <w:highlight w:val="none"/>
          <w:u w:val="none" w:color="auto"/>
          <w:shd w:val="clear" w:color="auto" w:fill="FFFFFF"/>
          <w:lang w:val="en-US" w:eastAsia="zh-CN" w:bidi="ar"/>
        </w:rPr>
        <w:t>（改、扩）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中小学幼儿园15所，新增义务教育学位7980个，公办学前学位1510个，全区乡镇中心小学、寄宿制初中学校均已完成省义务教育标准化学校创建。医疗卫生服务能力稳步提升，广东省妇幼保健院清远院区开业运营，区人民医院成功创建三级综合医院，市级卫生镇覆盖率达100%。区文化馆被评为国家一级文化馆，区图书馆获评国家二级公共图书馆，文明村镇、文明校园覆盖率均达100%。区人均体育场地面积3.66平方米，高于市人均面积要求。重点群体保障服务持续优化，建成镇级综合养老服务中心8个、村（社区）综合养老服务站38个，累计开设长者饭堂21家，实现镇级全覆盖。超额完成城镇住房保障任务，累计建成公共租赁住房637套，发放租赁补贴822户，困难群众居住条件得到改善。</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社会大局</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保持</w:t>
      </w:r>
      <w:r>
        <w:rPr>
          <w:rFonts w:hint="eastAsia" w:ascii="方正仿宋_GBK" w:hAnsi="方正仿宋_GBK" w:eastAsia="方正仿宋_GBK" w:cs="方正仿宋_GBK"/>
          <w:b/>
          <w:bCs/>
          <w:color w:val="000000" w:themeColor="text1"/>
          <w:highlight w:val="none"/>
          <w14:textFill>
            <w14:solidFill>
              <w14:schemeClr w14:val="tx1"/>
            </w14:solidFill>
          </w14:textFill>
        </w:rPr>
        <w:t>和谐稳定</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筑牢粮食安全根基，全区粮食生产面积稳定在38.5万亩左右，总产量稳定在13万吨左右。食品药品安全监管有力，获评全市首个省食品安全示范县。深入推进质量强区建设，建立并实施首席质量官制度，连续五年获评全市质量工作考核A级等次。着力健全乡村治理体系，浸潭镇及太和镇坑口村等8个村被认定为2022年度全省乡村治理示范镇（村）</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，浸潭镇六甲洞村获评“第三批全国乡村治理示范村”。</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深入开展安全生产治本攻坚三年行动，连续8年未发生较大及以上生产安全事故，获颁2023年度省“平安鼎”。深化“两化”“两员”工作体系建设，</w:t>
      </w:r>
      <w:r>
        <w:rPr>
          <w:rFonts w:hint="eastAsia" w:ascii="方正仿宋_GBK" w:hAnsi="方正仿宋_GBK" w:eastAsia="方正仿宋_GBK" w:cs="方正仿宋_GBK"/>
          <w:color w:val="000000" w:themeColor="text1"/>
          <w:highlight w:val="none"/>
          <w14:textFill>
            <w14:solidFill>
              <w14:schemeClr w14:val="tx1"/>
            </w14:solidFill>
          </w14:textFill>
        </w:rPr>
        <w:t>在全市率先建立区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镇</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社区三级多元共治中心</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。全区信访形势总体平稳，禾云镇获颁“广东省2023年信访工作示范镇”荣誉牌匾。有效防范金融风险，全区无发生涉金融案件及重大风险事件。</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default" w:eastAsia="楷体"/>
          <w:color w:val="000000" w:themeColor="text1"/>
          <w:highlight w:val="none"/>
          <w:lang w:val="en-US" w:eastAsia="zh-CN"/>
          <w14:textFill>
            <w14:solidFill>
              <w14:schemeClr w14:val="tx1"/>
            </w14:solidFill>
          </w14:textFill>
        </w:rPr>
      </w:pPr>
      <w:bookmarkStart w:id="2" w:name="_Toc23806"/>
      <w:r>
        <w:rPr>
          <w:rFonts w:hint="eastAsia"/>
          <w:color w:val="000000" w:themeColor="text1"/>
          <w:highlight w:val="none"/>
          <w14:textFill>
            <w14:solidFill>
              <w14:schemeClr w14:val="tx1"/>
            </w14:solidFill>
          </w14:textFill>
        </w:rPr>
        <w:t xml:space="preserve">第二节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十五五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时</w:t>
      </w:r>
      <w:r>
        <w:rPr>
          <w:rFonts w:hint="eastAsia"/>
          <w:color w:val="000000" w:themeColor="text1"/>
          <w:highlight w:val="none"/>
          <w14:textFill>
            <w14:solidFill>
              <w14:schemeClr w14:val="tx1"/>
            </w14:solidFill>
          </w14:textFill>
        </w:rPr>
        <w:t>期面临</w:t>
      </w:r>
      <w:r>
        <w:rPr>
          <w:rFonts w:hint="eastAsia"/>
          <w:color w:val="000000" w:themeColor="text1"/>
          <w:highlight w:val="none"/>
          <w:lang w:val="en-US" w:eastAsia="zh-CN"/>
          <w14:textFill>
            <w14:solidFill>
              <w14:schemeClr w14:val="tx1"/>
            </w14:solidFill>
          </w14:textFill>
        </w:rPr>
        <w:t>的发展环境</w:t>
      </w:r>
      <w:bookmarkEnd w:id="2"/>
    </w:p>
    <w:p>
      <w:pPr>
        <w:shd w:val="clear"/>
        <w:bidi w:val="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十五五</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时期</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世界进入竞争优势重塑、国际经贸规则重建、全球力量格局重构叠加期，国家发展条件和增长模式发生深刻变化，</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我区</w:t>
      </w:r>
      <w:r>
        <w:rPr>
          <w:rFonts w:hint="eastAsia" w:ascii="方正仿宋_GBK" w:hAnsi="方正仿宋_GBK" w:eastAsia="方正仿宋_GBK" w:cs="方正仿宋_GBK"/>
          <w:color w:val="000000" w:themeColor="text1"/>
          <w:highlight w:val="none"/>
          <w14:textFill>
            <w14:solidFill>
              <w14:schemeClr w14:val="tx1"/>
            </w14:solidFill>
          </w14:textFill>
        </w:rPr>
        <w:t>经济社会发展呈现诸多新趋势、新特征，不确定性和风险挑战明显加大将成为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十五五</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时期的突出特征之一。</w:t>
      </w:r>
    </w:p>
    <w:p>
      <w:pPr>
        <w:shd w:val="clear"/>
        <w:bidi w:val="0"/>
        <w:ind w:firstLine="642" w:firstLineChars="200"/>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从国际环境看</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世界百年变局加速演进，</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国际力量对比</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深刻调整，</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大国博弈更加复杂激烈。</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地缘冲突、极端气候多发</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易发</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全球经济增速放缓</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政治、安全、意识形态等</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非市场因素嵌入</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国际</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产业分工，产业链供应链</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布局</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转向</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更侧重</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安全、稳定</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和政治</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同时，</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新一轮科技革命和产业变革加速推进，前沿技术迭代融合，深刻重塑</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全球</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产业形态与经济格局。</w:t>
      </w:r>
    </w:p>
    <w:p>
      <w:pPr>
        <w:shd w:val="clear"/>
        <w:bidi w:val="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从国内环境看</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我国正处在中等收入国家迈向高收入国家的重要关口，面临一系列新任务、新要求、新挑战</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发展处于战略机遇和风险挑战并存、不确定难料因素增多的时期，但经济基础稳、优势多、韧性强、潜能大，长期向好的支撑条件和基本趋势没有变，中国特色社会主义制度优势、超大规模市场优势、完整产业体系优势、丰富人才资源优势更加彰显</w:t>
      </w:r>
      <w:r>
        <w:rPr>
          <w:rFonts w:hint="eastAsia" w:ascii="方正仿宋_GBK" w:hAnsi="方正仿宋_GBK" w:eastAsia="方正仿宋_GBK" w:cs="方正仿宋_GBK"/>
          <w:color w:val="000000" w:themeColor="text1"/>
          <w:highlight w:val="none"/>
          <w14:textFill>
            <w14:solidFill>
              <w14:schemeClr w14:val="tx1"/>
            </w14:solidFill>
          </w14:textFill>
        </w:rPr>
        <w:t>。</w:t>
      </w:r>
    </w:p>
    <w:p>
      <w:pPr>
        <w:shd w:val="clear"/>
        <w:bidi w:val="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从省市层面看，</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广东经济大省、人口大省地位稳固，横琴粤澳深度合作区、粤港澳大湾区建设加速和广清一体化深入发展，省委、市委深入实施“百县千镇万村高质量发展工程”，将促使人才、技术、资金等要素更加频繁、更加顺畅向粤东西北流动。清新区作为清远中心城区重要组成，在市“一心三副三支点”</w:t>
      </w:r>
      <w:r>
        <w:rPr>
          <w:rStyle w:val="24"/>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footnoteReference w:id="5"/>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城镇化发展新格局指导下和清城清新两区一体化建设加速推进下，</w:t>
      </w:r>
      <w:r>
        <w:rPr>
          <w:rFonts w:hint="eastAsia" w:ascii="方正仿宋_GBK" w:hAnsi="方正仿宋_GBK" w:eastAsia="方正仿宋_GBK" w:cs="方正仿宋_GBK"/>
          <w:color w:val="000000" w:themeColor="text1"/>
          <w:highlight w:val="none"/>
          <w14:textFill>
            <w14:solidFill>
              <w14:schemeClr w14:val="tx1"/>
            </w14:solidFill>
          </w14:textFill>
        </w:rPr>
        <w:t>城乡区域发展格局持续优化，为清新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区</w:t>
      </w:r>
      <w:r>
        <w:rPr>
          <w:rFonts w:hint="eastAsia" w:ascii="方正仿宋_GBK" w:hAnsi="方正仿宋_GBK" w:eastAsia="方正仿宋_GBK" w:cs="方正仿宋_GBK"/>
          <w:color w:val="000000" w:themeColor="text1"/>
          <w:highlight w:val="none"/>
          <w14:textFill>
            <w14:solidFill>
              <w14:schemeClr w14:val="tx1"/>
            </w14:solidFill>
          </w14:textFill>
        </w:rPr>
        <w:t>高质量发展注入强劲动力。</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从自身发展看，</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清新区生态环境优越，森林覆盖率高，拥有“中国漂流之乡”“中国温泉之乡”等称号，特色农产品丰富，随着粤港澳大湾区、广州都市圈建设的推进，有利于清新区发挥本地区特色和优势，积极对接大湾区市场，拓展农副食品加工、旅游康养服务产业发展空间。人工智能领域加速创新突破、城市发展方式加快转型，为清新区推动传统产业智能化改造、高端化升级，以及培育壮大现代服务业提供了重要机遇。清远市清新产业园等</w:t>
      </w:r>
      <w:r>
        <w:rPr>
          <w:rFonts w:hint="eastAsia" w:ascii="方正仿宋_GBK" w:hAnsi="方正仿宋_GBK" w:eastAsia="方正仿宋_GBK" w:cs="方正仿宋_GBK"/>
          <w:color w:val="000000" w:themeColor="text1"/>
          <w:kern w:val="21"/>
          <w:sz w:val="32"/>
          <w:szCs w:val="32"/>
          <w:highlight w:val="none"/>
          <w:u w:val="none" w:color="auto"/>
          <w:lang w:val="en-US" w:eastAsia="zh-CN"/>
          <w14:textFill>
            <w14:solidFill>
              <w14:schemeClr w14:val="tx1"/>
            </w14:solidFill>
          </w14:textFill>
        </w:rPr>
        <w:t>产业平台</w:t>
      </w:r>
      <w:r>
        <w:rPr>
          <w:rFonts w:hint="eastAsia" w:ascii="方正仿宋_GBK" w:hAnsi="方正仿宋_GBK" w:eastAsia="方正仿宋_GBK" w:cs="方正仿宋_GBK"/>
          <w:color w:val="000000" w:themeColor="text1"/>
          <w:kern w:val="2"/>
          <w:sz w:val="32"/>
          <w:szCs w:val="24"/>
          <w:highlight w:val="none"/>
          <w:u w:val="none"/>
          <w:lang w:val="en-US" w:eastAsia="zh-CN"/>
          <w14:textFill>
            <w14:solidFill>
              <w14:schemeClr w14:val="tx1"/>
            </w14:solidFill>
          </w14:textFill>
        </w:rPr>
        <w:t>承载能力持续增强，高质量发展具备巨大潜力。同时，清新发展也存在不少短板，主要体现在经济总量和发展质效不高，产业结构亟待优化，城乡区域发展不平衡不充分问题较为突出，生态环保、民生保障、社会治理等存在短板弱项；同时，周边县（市、区）百舸争流、万马奔腾，存在不小的“虹吸效应”</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p>
    <w:p>
      <w:pPr>
        <w:shd w:val="clear"/>
        <w:bidi w:val="0"/>
        <w:rPr>
          <w:rFonts w:hint="default" w:ascii="Times New Roman" w:hAnsi="Times New Roman" w:eastAsia="仿宋_GB2312" w:cs="Times New Roman"/>
          <w:b/>
          <w:bCs/>
          <w:color w:val="000000" w:themeColor="text1"/>
          <w:kern w:val="2"/>
          <w:szCs w:val="32"/>
          <w:highlight w:val="none"/>
          <w:u w:val="none" w:color="auto"/>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总的来看，</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十五五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时期，</w:t>
      </w:r>
      <w:r>
        <w:rPr>
          <w:rFonts w:hint="eastAsia"/>
          <w:color w:val="000000" w:themeColor="text1"/>
          <w:highlight w:val="none"/>
          <w:lang w:val="en-US" w:eastAsia="zh-CN"/>
          <w14:textFill>
            <w14:solidFill>
              <w14:schemeClr w14:val="tx1"/>
            </w14:solidFill>
          </w14:textFill>
        </w:rPr>
        <w:t>清新区</w:t>
      </w:r>
      <w:r>
        <w:rPr>
          <w:rFonts w:hint="eastAsia"/>
          <w:color w:val="000000" w:themeColor="text1"/>
          <w:highlight w:val="none"/>
          <w14:textFill>
            <w14:solidFill>
              <w14:schemeClr w14:val="tx1"/>
            </w14:solidFill>
          </w14:textFill>
        </w:rPr>
        <w:t>长期向好的基本趋势没有变，结构调整优化的前进态势没有变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全</w:t>
      </w:r>
      <w:r>
        <w:rPr>
          <w:rFonts w:hint="eastAsia"/>
          <w:color w:val="000000" w:themeColor="text1"/>
          <w:highlight w:val="none"/>
          <w14:textFill>
            <w14:solidFill>
              <w14:schemeClr w14:val="tx1"/>
            </w14:solidFill>
          </w14:textFill>
        </w:rPr>
        <w:t>区</w:t>
      </w:r>
      <w:r>
        <w:rPr>
          <w:rFonts w:hint="eastAsia"/>
          <w:color w:val="000000" w:themeColor="text1"/>
          <w:highlight w:val="none"/>
          <w:lang w:val="en-US" w:eastAsia="zh-CN"/>
          <w14:textFill>
            <w14:solidFill>
              <w14:schemeClr w14:val="tx1"/>
            </w14:solidFill>
          </w14:textFill>
        </w:rPr>
        <w:t>要</w:t>
      </w:r>
      <w:r>
        <w:rPr>
          <w:rFonts w:hint="eastAsia"/>
          <w:color w:val="000000" w:themeColor="text1"/>
          <w:highlight w:val="none"/>
          <w14:textFill>
            <w14:solidFill>
              <w14:schemeClr w14:val="tx1"/>
            </w14:solidFill>
          </w14:textFill>
        </w:rPr>
        <w:t>始终保持战略定力，统筹推进新型城镇化</w:t>
      </w:r>
      <w:r>
        <w:rPr>
          <w:rFonts w:hint="eastAsia"/>
          <w:color w:val="000000" w:themeColor="text1"/>
          <w:highlight w:val="none"/>
          <w:lang w:eastAsia="zh-CN"/>
          <w14:textFill>
            <w14:solidFill>
              <w14:schemeClr w14:val="tx1"/>
            </w14:solidFill>
          </w14:textFill>
        </w:rPr>
        <w:t>、城乡融合发展</w:t>
      </w:r>
      <w:r>
        <w:rPr>
          <w:rFonts w:hint="eastAsia"/>
          <w:color w:val="000000" w:themeColor="text1"/>
          <w:highlight w:val="none"/>
          <w14:textFill>
            <w14:solidFill>
              <w14:schemeClr w14:val="tx1"/>
            </w14:solidFill>
          </w14:textFill>
        </w:rPr>
        <w:t>和乡村全面振兴，勇于担当作为，推动经济和社会发展朝着更高质量更有效率更可持续稳步迈进</w:t>
      </w:r>
      <w:r>
        <w:rPr>
          <w:rFonts w:hint="eastAsia"/>
          <w:color w:val="000000" w:themeColor="text1"/>
          <w:highlight w:val="none"/>
          <w:lang w:eastAsia="zh-CN"/>
          <w14:textFill>
            <w14:solidFill>
              <w14:schemeClr w14:val="tx1"/>
            </w14:solidFill>
          </w14:textFill>
        </w:rPr>
        <w:t>。</w:t>
      </w:r>
    </w:p>
    <w:p>
      <w:pPr>
        <w:pStyle w:val="3"/>
        <w:rPr>
          <w:rFonts w:hint="eastAsia" w:ascii="方正黑体_GBK" w:hAnsi="方正黑体_GBK" w:eastAsia="方正黑体_GBK" w:cs="方正黑体_GBK"/>
          <w:color w:val="000000" w:themeColor="text1"/>
          <w:highlight w:val="none"/>
          <w14:textFill>
            <w14:solidFill>
              <w14:schemeClr w14:val="tx1"/>
            </w14:solidFill>
          </w14:textFill>
        </w:rPr>
      </w:pPr>
      <w:bookmarkStart w:id="3" w:name="_Toc14214"/>
    </w:p>
    <w:p>
      <w:pPr>
        <w:pStyle w:val="3"/>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14:textFill>
            <w14:solidFill>
              <w14:schemeClr w14:val="tx1"/>
            </w14:solidFill>
          </w14:textFill>
        </w:rPr>
        <w:t>第二章  总体要求</w:t>
      </w:r>
      <w:bookmarkEnd w:id="3"/>
    </w:p>
    <w:p>
      <w:pPr>
        <w:pStyle w:val="4"/>
        <w:shd w:val="clear"/>
        <w:bidi w:val="0"/>
        <w:rPr>
          <w:rFonts w:hint="eastAsia" w:ascii="方正楷体_GBK" w:hAnsi="方正楷体_GBK" w:eastAsia="方正楷体_GBK" w:cs="方正楷体_GBK"/>
          <w:color w:val="000000" w:themeColor="text1"/>
          <w:highlight w:val="none"/>
          <w14:textFill>
            <w14:solidFill>
              <w14:schemeClr w14:val="tx1"/>
            </w14:solidFill>
          </w14:textFill>
        </w:rPr>
      </w:pPr>
      <w:bookmarkStart w:id="4" w:name="_Toc13912"/>
      <w:r>
        <w:rPr>
          <w:rFonts w:hint="eastAsia" w:ascii="方正楷体_GBK" w:hAnsi="方正楷体_GBK" w:eastAsia="方正楷体_GBK" w:cs="方正楷体_GBK"/>
          <w:color w:val="000000" w:themeColor="text1"/>
          <w:highlight w:val="none"/>
          <w14:textFill>
            <w14:solidFill>
              <w14:schemeClr w14:val="tx1"/>
            </w14:solidFill>
          </w14:textFill>
        </w:rPr>
        <w:t>第一节  指导思想</w:t>
      </w:r>
      <w:bookmarkEnd w:id="4"/>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马克思列宁主义、毛泽东思想、邓小平理论、“三个代表”重要思想、科学发展观，全面贯彻习近平新时代中国特色社会主义思想，深入贯彻党的二十大和二十届历次全会精神，认真贯彻习近平总书记视察广东重要讲话、重要指示精神，围绕全面建成社会主义现代化强国、实现第二个百年奋斗目标，以中国式现代化全面推进中华民族伟大复兴，统筹推进“五位一体”总体布局，协调推进“四个全面”战略布局，统筹国际国内两个大局，完整准确全面贯彻新发展理念，积极服务和融入新发展格局，坚持稳中求进工作总基调，坚持以经济建设为中心，以推动高质量发展为主题，以改革开放创新为根本动力，以满足人民日益增长的美好生活需要为根本目的，以全面从严治党为根本保障，认真落实省委“1310”具体部署和市委“十大行动方案”，</w:t>
      </w:r>
      <w:r>
        <w:rPr>
          <w:rFonts w:hint="eastAsia" w:ascii="方正仿宋_GBK" w:hAnsi="方正仿宋_GBK" w:eastAsia="方正仿宋_GBK" w:cs="方正仿宋_GBK"/>
          <w:color w:val="000000" w:themeColor="text1"/>
          <w:kern w:val="21"/>
          <w:highlight w:val="none"/>
          <w14:textFill>
            <w14:solidFill>
              <w14:schemeClr w14:val="tx1"/>
            </w14:solidFill>
          </w14:textFill>
        </w:rPr>
        <w:t>全面融入广州都市圈，勇当区域联动先</w:t>
      </w:r>
      <w:r>
        <w:rPr>
          <w:rFonts w:hint="eastAsia" w:ascii="方正仿宋_GBK" w:hAnsi="方正仿宋_GBK" w:eastAsia="方正仿宋_GBK" w:cs="方正仿宋_GBK"/>
          <w:color w:val="auto"/>
          <w:kern w:val="21"/>
          <w:highlight w:val="none"/>
        </w:rPr>
        <w:t>行区，奋力把清新建设成为湾区北制造新城、粤港澳休闲胜地，争当全市制造业崛起的冲锋队，努力成为全市工业发展的主战场、主力军，</w:t>
      </w:r>
      <w:r>
        <w:rPr>
          <w:rFonts w:hint="eastAsia" w:ascii="方正仿宋_GBK" w:hAnsi="方正仿宋_GBK" w:eastAsia="方正仿宋_GBK" w:cs="方正仿宋_GBK"/>
          <w:color w:val="auto"/>
          <w:highlight w:val="none"/>
          <w:lang w:val="en-US" w:eastAsia="zh-CN"/>
        </w:rPr>
        <w:t>推动经济实现质的有效提升和量的合</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理增长，推动人的全面发展、全体人民共同富裕迈出坚实步伐，确保基本实现社会主义现代化取得决定性进展。</w:t>
      </w:r>
    </w:p>
    <w:p>
      <w:pPr>
        <w:pStyle w:val="6"/>
        <w:rPr>
          <w:rFonts w:hint="default"/>
          <w:color w:val="000000" w:themeColor="text1"/>
          <w:highlight w:val="none"/>
          <w:lang w:val="en-US" w:eastAsia="zh-CN"/>
          <w14:textFill>
            <w14:solidFill>
              <w14:schemeClr w14:val="tx1"/>
            </w14:solidFill>
          </w14:textFill>
        </w:rPr>
      </w:pPr>
    </w:p>
    <w:p>
      <w:pPr>
        <w:pStyle w:val="4"/>
        <w:shd w:val="clear"/>
        <w:bidi w:val="0"/>
        <w:rPr>
          <w:rFonts w:hint="eastAsia"/>
          <w:color w:val="000000" w:themeColor="text1"/>
          <w:highlight w:val="none"/>
          <w14:textFill>
            <w14:solidFill>
              <w14:schemeClr w14:val="tx1"/>
            </w14:solidFill>
          </w14:textFill>
        </w:rPr>
      </w:pPr>
      <w:bookmarkStart w:id="5" w:name="_Toc21334"/>
      <w:r>
        <w:rPr>
          <w:rFonts w:hint="eastAsia"/>
          <w:color w:val="000000" w:themeColor="text1"/>
          <w:highlight w:val="none"/>
          <w14:textFill>
            <w14:solidFill>
              <w14:schemeClr w14:val="tx1"/>
            </w14:solidFill>
          </w14:textFill>
        </w:rPr>
        <w:t>第二节  基本原则</w:t>
      </w:r>
      <w:bookmarkEnd w:id="5"/>
    </w:p>
    <w:p>
      <w:pPr>
        <w:shd w:val="clear"/>
        <w:bidi w:val="0"/>
        <w:spacing w:line="600" w:lineRule="exact"/>
        <w:rPr>
          <w:rFonts w:hint="eastAsia" w:ascii="方正仿宋_GBK" w:hAnsi="方正仿宋_GBK" w:eastAsia="方正仿宋_GBK" w:cs="方正仿宋_GBK"/>
          <w:b/>
          <w:bCs/>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坚持党的全面领导。</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坚决维护党中央权威和集中统一领导，全面贯彻党的基本理论、基本路线、基本方略，提高党把方向、谋大局、定政策、促改革能力，把党的领导贯穿经济社会发展各方面全过程，确保清新现代化建设始终沿着正确方向前进，着力彰显党的领导和中国特色社会主义制度显著优势。</w:t>
      </w:r>
    </w:p>
    <w:p>
      <w:pPr>
        <w:shd w:val="clear"/>
        <w:bidi w:val="0"/>
        <w:spacing w:line="600" w:lineRule="exact"/>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坚持人民至上。</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pPr>
        <w:shd w:val="clear"/>
        <w:bidi w:val="0"/>
        <w:spacing w:line="600" w:lineRule="exact"/>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坚持高质量发展。</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以新发展理念引领发展，因地制宜发展新质生产力，做强国内大循环，畅通国内国际双循环，统筹扩大内需和深化供给侧结构性改革，加快培育新动能，促进经济结构优化升级，做优增量、盘活存量，推动清新经济持续向好发展、社会全面进步。</w:t>
      </w:r>
    </w:p>
    <w:p>
      <w:pPr>
        <w:shd w:val="clear"/>
        <w:bidi w:val="0"/>
        <w:spacing w:line="600" w:lineRule="exact"/>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坚持全面深化改革。</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坚持敢为人先，大胆试、大胆闯、自主改，以全面融入粤港澳大湾区建设为契机，聚焦制约高质量发展的体制机制障碍，推进深层次改革，扩大高水平开放，推动生产关系和生产力、上层建筑和经济基础、政府治理和社会发展更好相适应，持续增强发展动力和社会活力。</w:t>
      </w:r>
    </w:p>
    <w:p>
      <w:pPr>
        <w:shd w:val="clear"/>
        <w:bidi w:val="0"/>
        <w:spacing w:line="600" w:lineRule="exact"/>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坚持有效市场和有为政府相结合。</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充分发挥市场在资源配置中的决定性作用，更好发挥政府作用，参与构建统一、开放、竞争、有序的市场体系，建设法治经济、信用经济，持续优化营商环境，促进各种所有制经济优势互补、共同发展，形成既“放得活”又“管得好”的经济秩序。</w:t>
      </w:r>
    </w:p>
    <w:p>
      <w:pPr>
        <w:shd w:val="clear"/>
        <w:bidi w:val="0"/>
        <w:spacing w:line="600" w:lineRule="exact"/>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坚持统筹发展和安全。</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在发展中固安全，在安全中谋发展，强化底线思维，提高社会治理社会化、法治化、智能化、专业化水平，有效防范化解各类风险，增强经济和社会韧性，以新安全格局保障新发展格局。</w:t>
      </w:r>
    </w:p>
    <w:p>
      <w:pPr>
        <w:shd w:val="clear"/>
        <w:bidi w:val="0"/>
        <w:spacing w:line="600" w:lineRule="exact"/>
        <w:rPr>
          <w:rFonts w:hint="eastAsia"/>
          <w:color w:val="000000" w:themeColor="text1"/>
          <w:highlight w:val="none"/>
          <w14:textFill>
            <w14:solidFill>
              <w14:schemeClr w14:val="tx1"/>
            </w14:solidFill>
          </w14:textFill>
        </w:rPr>
      </w:pPr>
    </w:p>
    <w:p>
      <w:pPr>
        <w:pStyle w:val="4"/>
        <w:shd w:val="clear"/>
        <w:bidi w:val="0"/>
        <w:rPr>
          <w:rFonts w:hint="eastAsia"/>
          <w:color w:val="000000" w:themeColor="text1"/>
          <w:highlight w:val="none"/>
          <w14:textFill>
            <w14:solidFill>
              <w14:schemeClr w14:val="tx1"/>
            </w14:solidFill>
          </w14:textFill>
        </w:rPr>
      </w:pPr>
      <w:bookmarkStart w:id="6" w:name="_Toc8689"/>
      <w:r>
        <w:rPr>
          <w:rFonts w:hint="eastAsia"/>
          <w:color w:val="000000" w:themeColor="text1"/>
          <w:highlight w:val="none"/>
          <w14:textFill>
            <w14:solidFill>
              <w14:schemeClr w14:val="tx1"/>
            </w14:solidFill>
          </w14:textFill>
        </w:rPr>
        <w:t>第三节  发展目标</w:t>
      </w:r>
      <w:bookmarkEnd w:id="6"/>
    </w:p>
    <w:p>
      <w:pPr>
        <w:shd w:val="clear"/>
        <w:spacing w:line="600" w:lineRule="exact"/>
        <w:ind w:firstLine="640"/>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highlight w:val="none"/>
          <w14:textFill>
            <w14:solidFill>
              <w14:schemeClr w14:val="tx1"/>
            </w14:solidFill>
          </w14:textFill>
        </w:rPr>
        <w:t>锚定基本实现社会主义现代化目标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要求</w:t>
      </w:r>
      <w:r>
        <w:rPr>
          <w:rFonts w:hint="eastAsia" w:ascii="方正仿宋_GBK" w:hAnsi="方正仿宋_GBK" w:eastAsia="方正仿宋_GBK" w:cs="方正仿宋_GBK"/>
          <w:color w:val="000000" w:themeColor="text1"/>
          <w:highlight w:val="none"/>
          <w14:textFill>
            <w14:solidFill>
              <w14:schemeClr w14:val="tx1"/>
            </w14:solidFill>
          </w14:textFill>
        </w:rPr>
        <w:t>，立足清新发展实际，坚持目标导向和问题导向相结合，坚持守正和创新相统一，充分衔接国家、省、市中长期发展规划，</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十五五</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时期</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清新区</w:t>
      </w:r>
      <w:r>
        <w:rPr>
          <w:rFonts w:hint="eastAsia" w:ascii="方正仿宋_GBK" w:hAnsi="方正仿宋_GBK" w:eastAsia="方正仿宋_GBK" w:cs="方正仿宋_GBK"/>
          <w:color w:val="000000" w:themeColor="text1"/>
          <w:highlight w:val="none"/>
          <w14:textFill>
            <w14:solidFill>
              <w14:schemeClr w14:val="tx1"/>
            </w14:solidFill>
          </w14:textFill>
        </w:rPr>
        <w:t>经济社会发展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要努力实现以下</w:t>
      </w:r>
      <w:r>
        <w:rPr>
          <w:rFonts w:hint="eastAsia" w:ascii="方正仿宋_GBK" w:hAnsi="方正仿宋_GBK" w:eastAsia="方正仿宋_GBK" w:cs="方正仿宋_GBK"/>
          <w:color w:val="000000" w:themeColor="text1"/>
          <w:highlight w:val="none"/>
          <w14:textFill>
            <w14:solidFill>
              <w14:schemeClr w14:val="tx1"/>
            </w14:solidFill>
          </w14:textFill>
        </w:rPr>
        <w:t>主要目标</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p>
    <w:p>
      <w:pPr>
        <w:shd w:val="clear"/>
        <w:rPr>
          <w:rFonts w:hint="eastAsia" w:ascii="方正仿宋_GBK" w:hAnsi="方正仿宋_GBK" w:eastAsia="方正仿宋_GBK" w:cs="方正仿宋_GBK"/>
          <w:b/>
          <w:bCs/>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高质量发展效能进一步提升。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经济增长保持在合理区间，经济总量</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加快</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突破500亿元，经济结构更加优化，全要素生产率稳步提升，内需拉动经济增长主动力作用持续增强，新型工业化、信息化、城镇化、农业现代化取得重大进展，发展新质生产力、构建新发展格局、建设现代化经济体系取得重大突破。</w:t>
      </w:r>
    </w:p>
    <w:p>
      <w:pPr>
        <w:shd w:val="clear"/>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创新动能进一步提升。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构建教育科技人才一体发展格局，完善科技创新体制，科教产融合深入推进，创新生态明显优化，创新主体培育取得新突破，人才集聚优势加速形成，创新驱动作用明显增强，成为粤北地区重要的创新高地、人才高地。</w:t>
      </w:r>
    </w:p>
    <w:p>
      <w:pPr>
        <w:shd w:val="clear"/>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改革开放力度进一步提升。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社会主义市场经济体制更加完善，重点领域和关键环节改革实现新突破，更好服务和融入全国统一大市场，市场环境更加公平、更有活力，对外开放水平进一步扩大，深度参与粤港澳大湾区和广州都市圈建设，有力承接大湾区产业有序转移。</w:t>
      </w:r>
    </w:p>
    <w:p>
      <w:pPr>
        <w:shd w:val="clear"/>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城乡融合程度进一步提升。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清新主城区扩容提质取得新突破，城乡功能布局更加合理，城乡基础设施体系更趋完善，镇域发展活力得到充分激发，乡村全面振兴加快推进，“百县千镇万村高质量发展工程”取得标志性成效。</w:t>
      </w:r>
    </w:p>
    <w:p>
      <w:pPr>
        <w:shd w:val="clear"/>
        <w:rPr>
          <w:rFonts w:hint="eastAsia" w:ascii="方正仿宋_GBK" w:hAnsi="方正仿宋_GBK" w:eastAsia="方正仿宋_GBK" w:cs="方正仿宋_GBK"/>
          <w:b/>
          <w:bCs/>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社会文明程度进一步提升。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文化自信更加坚定，主流思想舆论不断巩固壮大，社会主义核心价值观广泛践行，公共文化服务能力和水平不断提高，文化事业和文化产业蓬勃发展，更好满足人民群众多样化、多层次和高品质的精神文化需求。</w:t>
      </w:r>
    </w:p>
    <w:p>
      <w:pPr>
        <w:shd w:val="clear"/>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民生保障水平进一步提升。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促进更加充分更高质量就业，居民收入增长与经济增长基本同步，城乡收入差距持续缩小，教育现代化水平持续提升，卫生健康系统更加完善，多层次社会保障和基本公共服务均等化水平明显提高。</w:t>
      </w:r>
    </w:p>
    <w:p>
      <w:pPr>
        <w:shd w:val="clear"/>
        <w:rPr>
          <w:rFonts w:hint="eastAsia" w:ascii="方正仿宋_GBK" w:hAnsi="方正仿宋_GBK" w:eastAsia="方正仿宋_GBK" w:cs="方正仿宋_GBK"/>
          <w:b w:val="0"/>
          <w:bCs w:val="0"/>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绿美清新生态建设水平进一步提升。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国土空间开发保护格局得到优化，生产生活方式绿色转型取得明显进展，主要污染物排放总量持续减少，能源资源配置更加合理，生态环境质量不断改善，生态系统多样性稳定性不断提升。</w:t>
      </w:r>
    </w:p>
    <w:p>
      <w:pPr>
        <w:shd w:val="clear"/>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安全</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保障</w:t>
      </w:r>
      <w:r>
        <w:rPr>
          <w:rFonts w:hint="eastAsia" w:ascii="方正仿宋_GBK" w:hAnsi="方正仿宋_GBK" w:eastAsia="方正仿宋_GBK" w:cs="方正仿宋_GBK"/>
          <w:b/>
          <w:bCs/>
          <w:color w:val="000000" w:themeColor="text1"/>
          <w:highlight w:val="none"/>
          <w14:textFill>
            <w14:solidFill>
              <w14:schemeClr w14:val="tx1"/>
            </w14:solidFill>
          </w14:textFill>
        </w:rPr>
        <w:t>能力进一步提升。</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国家安全体系和能力得到强化，国防动员和后备力量建设成效明显，防范化解重大风险体制机制不断健全，社会治理和公共安全治理水平明显提高，更高水平法治清新、平安清新建设扎实推进，全面打造共建共治共享社会治理新格局</w:t>
      </w:r>
      <w:r>
        <w:rPr>
          <w:rFonts w:hint="eastAsia" w:ascii="方正仿宋_GBK" w:hAnsi="方正仿宋_GBK" w:eastAsia="方正仿宋_GBK" w:cs="方正仿宋_GBK"/>
          <w:color w:val="000000" w:themeColor="text1"/>
          <w:highlight w:val="none"/>
          <w14:textFill>
            <w14:solidFill>
              <w14:schemeClr w14:val="tx1"/>
            </w14:solidFill>
          </w14:textFill>
        </w:rPr>
        <w:t>。</w:t>
      </w:r>
    </w:p>
    <w:p>
      <w:pPr>
        <w:pStyle w:val="4"/>
        <w:keepNext w:val="0"/>
        <w:keepLines w:val="0"/>
        <w:pageBreakBefore w:val="0"/>
        <w:widowControl w:val="0"/>
        <w:shd w:val="clear"/>
        <w:kinsoku/>
        <w:wordWrap/>
        <w:overflowPunct/>
        <w:topLinePunct w:val="0"/>
        <w:autoSpaceDE/>
        <w:autoSpaceDN/>
        <w:bidi w:val="0"/>
        <w:adjustRightInd/>
        <w:snapToGrid/>
        <w:ind w:firstLineChars="0"/>
        <w:jc w:val="center"/>
        <w:textAlignment w:val="auto"/>
        <w:rPr>
          <w:rFonts w:hint="eastAsia" w:ascii="楷体" w:hAnsi="楷体" w:eastAsia="楷体" w:cs="楷体"/>
          <w:b/>
          <w:bCs/>
          <w:color w:val="000000" w:themeColor="text1"/>
          <w:highlight w:val="none"/>
          <w14:textFill>
            <w14:solidFill>
              <w14:schemeClr w14:val="tx1"/>
            </w14:solidFill>
          </w14:textFill>
        </w:rPr>
      </w:pPr>
      <w:bookmarkStart w:id="7" w:name="_Toc12177"/>
      <w:bookmarkStart w:id="8" w:name="_Toc25010"/>
      <w:r>
        <w:rPr>
          <w:rFonts w:hint="eastAsia" w:ascii="楷体" w:hAnsi="楷体" w:eastAsia="楷体" w:cs="楷体"/>
          <w:b/>
          <w:bCs/>
          <w:color w:val="000000" w:themeColor="text1"/>
          <w:highlight w:val="none"/>
          <w:lang w:val="en-US" w:eastAsia="zh-CN"/>
          <w14:textFill>
            <w14:solidFill>
              <w14:schemeClr w14:val="tx1"/>
            </w14:solidFill>
          </w14:textFill>
        </w:rPr>
        <w:t>清新区</w:t>
      </w:r>
      <w:r>
        <w:rPr>
          <w:rFonts w:hint="eastAsia" w:ascii="楷体" w:hAnsi="楷体" w:eastAsia="楷体" w:cs="楷体"/>
          <w:b/>
          <w:bCs/>
          <w:color w:val="000000" w:themeColor="text1"/>
          <w:highlight w:val="none"/>
          <w:lang w:eastAsia="zh-CN"/>
          <w14:textFill>
            <w14:solidFill>
              <w14:schemeClr w14:val="tx1"/>
            </w14:solidFill>
          </w14:textFill>
        </w:rPr>
        <w:t>“</w:t>
      </w:r>
      <w:r>
        <w:rPr>
          <w:rFonts w:hint="eastAsia" w:ascii="楷体" w:hAnsi="楷体" w:eastAsia="楷体" w:cs="楷体"/>
          <w:b/>
          <w:bCs/>
          <w:color w:val="000000" w:themeColor="text1"/>
          <w:highlight w:val="none"/>
          <w14:textFill>
            <w14:solidFill>
              <w14:schemeClr w14:val="tx1"/>
            </w14:solidFill>
          </w14:textFill>
        </w:rPr>
        <w:t>十五五</w:t>
      </w:r>
      <w:r>
        <w:rPr>
          <w:rFonts w:hint="eastAsia" w:ascii="楷体" w:hAnsi="楷体" w:eastAsia="楷体" w:cs="楷体"/>
          <w:b/>
          <w:bCs/>
          <w:color w:val="000000" w:themeColor="text1"/>
          <w:highlight w:val="none"/>
          <w:lang w:eastAsia="zh-CN"/>
          <w14:textFill>
            <w14:solidFill>
              <w14:schemeClr w14:val="tx1"/>
            </w14:solidFill>
          </w14:textFill>
        </w:rPr>
        <w:t>”</w:t>
      </w:r>
      <w:r>
        <w:rPr>
          <w:rFonts w:hint="eastAsia" w:ascii="楷体" w:hAnsi="楷体" w:eastAsia="楷体" w:cs="楷体"/>
          <w:b/>
          <w:bCs/>
          <w:color w:val="000000" w:themeColor="text1"/>
          <w:highlight w:val="none"/>
          <w14:textFill>
            <w14:solidFill>
              <w14:schemeClr w14:val="tx1"/>
            </w14:solidFill>
          </w14:textFill>
        </w:rPr>
        <w:t>经济社会发展主要指标表</w:t>
      </w:r>
      <w:bookmarkEnd w:id="7"/>
      <w:bookmarkEnd w:id="8"/>
    </w:p>
    <w:tbl>
      <w:tblPr>
        <w:tblStyle w:val="20"/>
        <w:tblW w:w="49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2298"/>
        <w:gridCol w:w="1501"/>
        <w:gridCol w:w="1516"/>
        <w:gridCol w:w="1655"/>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序号</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指标</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2025年</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2030年</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年均增长[累计]</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指标</w:t>
            </w:r>
          </w:p>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8477" w:type="dxa"/>
            <w:gridSpan w:val="6"/>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一、经济发展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1</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地区生产总值增长（%）</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4.7</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5以上</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2</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全员劳动生产率增长（%））</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3</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3</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477" w:type="dxa"/>
            <w:gridSpan w:val="6"/>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二、创新驱动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3</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全社会研发经费投入增长（%）</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2</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2</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4</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每万人口高价值发明专利拥有量（件）</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2.68</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完成市下达目标</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eastAsia="zh-CN"/>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5</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lang w:val="en-US" w:eastAsia="zh-CN" w:bidi="ar"/>
              </w:rPr>
              <w:t>数字经济核心产业增加值占地区生产总值比 重（%）</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eastAsia="zh-CN"/>
              </w:rPr>
              <w:t>—</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完成市下达目标</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eastAsia="zh-CN"/>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77" w:type="dxa"/>
            <w:gridSpan w:val="6"/>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三、民生福祉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6</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城镇新增就业人数（万人）</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0.65</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7</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居民人均可支配收入增长（%）</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5.4</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与经济增长同步</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8</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劳动年龄人口平均受教育年限（年）</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10.15</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9</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每千人口拥有医护人员数（含执业医师数、注册护士数）（人）</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5.33</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10</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养老机构护理型床位占比（%）</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55</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＞75</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11</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3岁以下婴幼儿入托率提高（百分点）</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2.58</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8</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25.4</w:t>
            </w:r>
          </w:p>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【210】</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12</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人均预期寿命（岁）</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477" w:type="dxa"/>
            <w:gridSpan w:val="6"/>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四、城乡区域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13</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常住人口城镇化率（%）</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51.49</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58左右</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14</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城乡居民人均可支配收入比值</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1.63</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1.35</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kern w:val="0"/>
                <w:sz w:val="24"/>
                <w:szCs w:val="24"/>
                <w:highlight w:val="none"/>
                <w:u w:val="none"/>
                <w:lang w:val="en-US" w:eastAsia="zh-CN" w:bidi="ar"/>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8477" w:type="dxa"/>
            <w:gridSpan w:val="6"/>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五、绿色低碳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15</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单位GDP二氧化碳排放降低（%）</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16</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非化石能源占能源消费总量比重（%）</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14</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17</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地级及以上城市细颗粒物（PM</w:t>
            </w:r>
            <w:r>
              <w:rPr>
                <w:rFonts w:hint="eastAsia" w:ascii="方正仿宋_GBK" w:hAnsi="方正仿宋_GBK" w:eastAsia="方正仿宋_GBK" w:cs="方正仿宋_GBK"/>
                <w:color w:val="000000"/>
                <w:sz w:val="24"/>
                <w:szCs w:val="24"/>
                <w:highlight w:val="none"/>
                <w:vertAlign w:val="subscript"/>
                <w:lang w:val="en-US" w:eastAsia="zh-CN"/>
              </w:rPr>
              <w:t>2.5</w:t>
            </w:r>
            <w:r>
              <w:rPr>
                <w:rFonts w:hint="eastAsia" w:ascii="方正仿宋_GBK" w:hAnsi="方正仿宋_GBK" w:eastAsia="方正仿宋_GBK" w:cs="方正仿宋_GBK"/>
                <w:color w:val="000000"/>
                <w:sz w:val="24"/>
                <w:szCs w:val="24"/>
                <w:highlight w:val="none"/>
                <w:lang w:val="en-US" w:eastAsia="zh-CN"/>
              </w:rPr>
              <w:t>）浓度（微克/立方米）</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20</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eastAsia="zh-CN"/>
              </w:rPr>
            </w:pPr>
            <w:r>
              <w:rPr>
                <w:rFonts w:hint="eastAsia" w:ascii="方正仿宋_GBK" w:hAnsi="方正仿宋_GBK" w:eastAsia="方正仿宋_GBK" w:cs="方正仿宋_GBK"/>
                <w:color w:val="000000"/>
                <w:sz w:val="24"/>
                <w:szCs w:val="24"/>
                <w:highlight w:val="none"/>
                <w:lang w:val="en-US"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18</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优良水体比例（%）</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75</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19</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森林覆盖率（%）</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68.39</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77" w:type="dxa"/>
            <w:gridSpan w:val="6"/>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六、安全保障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color w:val="000000"/>
                <w:sz w:val="24"/>
                <w:szCs w:val="24"/>
                <w:highlight w:val="none"/>
                <w:lang w:val="en-US"/>
              </w:rPr>
              <w:t>20</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粮食综合生产能力（万吨）</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13.99</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lang w:val="en-US"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5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21</w:t>
            </w:r>
          </w:p>
        </w:tc>
        <w:tc>
          <w:tcPr>
            <w:tcW w:w="2148"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left"/>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能源综合生产能力（万吨标准煤）</w:t>
            </w:r>
          </w:p>
        </w:tc>
        <w:tc>
          <w:tcPr>
            <w:tcW w:w="1403"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36.73</w:t>
            </w:r>
          </w:p>
        </w:tc>
        <w:tc>
          <w:tcPr>
            <w:tcW w:w="141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w:t>
            </w:r>
          </w:p>
        </w:tc>
        <w:tc>
          <w:tcPr>
            <w:tcW w:w="1547"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kern w:val="0"/>
                <w:sz w:val="24"/>
                <w:szCs w:val="24"/>
                <w:highlight w:val="none"/>
                <w:u w:val="none"/>
                <w:lang w:val="en-US" w:eastAsia="zh-CN" w:bidi="ar"/>
              </w:rPr>
            </w:pPr>
            <w:r>
              <w:rPr>
                <w:rFonts w:hint="eastAsia" w:ascii="方正仿宋_GBK" w:hAnsi="方正仿宋_GBK" w:eastAsia="方正仿宋_GBK" w:cs="方正仿宋_GBK"/>
                <w:color w:val="000000"/>
                <w:sz w:val="24"/>
                <w:szCs w:val="24"/>
                <w:highlight w:val="none"/>
                <w:lang w:val="en-US" w:eastAsia="zh-CN"/>
              </w:rPr>
              <w:t>完成</w:t>
            </w:r>
            <w:r>
              <w:rPr>
                <w:rFonts w:hint="eastAsia" w:ascii="方正仿宋_GBK" w:hAnsi="方正仿宋_GBK" w:eastAsia="方正仿宋_GBK" w:cs="方正仿宋_GBK"/>
                <w:color w:val="000000"/>
                <w:sz w:val="24"/>
                <w:szCs w:val="24"/>
                <w:highlight w:val="none"/>
              </w:rPr>
              <w:t>市下</w:t>
            </w:r>
            <w:r>
              <w:rPr>
                <w:rFonts w:hint="eastAsia" w:ascii="方正仿宋_GBK" w:hAnsi="方正仿宋_GBK" w:eastAsia="方正仿宋_GBK" w:cs="方正仿宋_GBK"/>
                <w:color w:val="000000"/>
                <w:sz w:val="24"/>
                <w:szCs w:val="24"/>
                <w:highlight w:val="none"/>
                <w:lang w:val="en-US" w:eastAsia="zh-CN"/>
              </w:rPr>
              <w:t>达目标</w:t>
            </w:r>
          </w:p>
        </w:tc>
        <w:tc>
          <w:tcPr>
            <w:tcW w:w="1211" w:type="dxa"/>
            <w:noWrap/>
            <w:vAlign w:val="center"/>
          </w:tcPr>
          <w:p>
            <w:pPr>
              <w:pStyle w:val="29"/>
              <w:keepNext w:val="0"/>
              <w:keepLines w:val="0"/>
              <w:pageBreakBefore w:val="0"/>
              <w:widowControl/>
              <w:shd w:val="clear" w:color="auto" w:fill="auto"/>
              <w:kinsoku/>
              <w:wordWrap/>
              <w:overflowPunct/>
              <w:topLinePunct w:val="0"/>
              <w:autoSpaceDE/>
              <w:autoSpaceDN/>
              <w:bidi w:val="0"/>
              <w:adjustRightInd/>
              <w:snapToGrid/>
              <w:spacing w:line="400" w:lineRule="exact"/>
              <w:ind w:firstLine="0" w:firstLineChars="0"/>
              <w:jc w:val="center"/>
              <w:textAlignment w:val="center"/>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约束性</w:t>
            </w:r>
          </w:p>
        </w:tc>
      </w:tr>
    </w:tbl>
    <w:p>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color w:val="000000" w:themeColor="text1"/>
          <w:highlight w:val="none"/>
          <w:lang w:val="en-US" w:eastAsia="zh-CN"/>
          <w14:textFill>
            <w14:solidFill>
              <w14:schemeClr w14:val="tx1"/>
            </w14:solidFill>
          </w14:textFill>
        </w:rPr>
      </w:pPr>
      <w:r>
        <w:rPr>
          <w:rFonts w:hint="eastAsia"/>
          <w:color w:val="000000"/>
          <w:sz w:val="24"/>
          <w:szCs w:val="24"/>
          <w:highlight w:val="none"/>
          <w:lang w:val="en-US" w:eastAsia="zh-CN"/>
        </w:rPr>
        <w:t>注：</w:t>
      </w:r>
      <w:r>
        <w:rPr>
          <w:rFonts w:hint="eastAsia" w:eastAsia="方正仿宋_GB2312" w:cs="Times New Roman"/>
          <w:color w:val="000000"/>
          <w:kern w:val="0"/>
          <w:sz w:val="24"/>
          <w:szCs w:val="24"/>
          <w:highlight w:val="none"/>
          <w:u w:val="none"/>
          <w:lang w:val="en-US" w:eastAsia="zh-CN" w:bidi="ar"/>
        </w:rPr>
        <w:t>【】为累计数。</w:t>
      </w:r>
    </w:p>
    <w:p>
      <w:pPr>
        <w:pStyle w:val="3"/>
        <w:shd w:val="clear"/>
        <w:bidi w:val="0"/>
        <w:jc w:val="both"/>
        <w:rPr>
          <w:rFonts w:hint="eastAsia"/>
          <w:color w:val="000000" w:themeColor="text1"/>
          <w:highlight w:val="none"/>
          <w14:textFill>
            <w14:solidFill>
              <w14:schemeClr w14:val="tx1"/>
            </w14:solidFill>
          </w14:textFill>
        </w:rPr>
        <w:sectPr>
          <w:footerReference r:id="rId12" w:type="default"/>
          <w:pgSz w:w="11906" w:h="16838"/>
          <w:pgMar w:top="2154" w:right="1417" w:bottom="1984" w:left="1587" w:header="851" w:footer="992" w:gutter="0"/>
          <w:pgNumType w:fmt="numberInDash"/>
          <w:cols w:space="0" w:num="1"/>
          <w:rtlGutter w:val="0"/>
          <w:docGrid w:type="lines" w:linePitch="437" w:charSpace="0"/>
        </w:sectPr>
      </w:pPr>
    </w:p>
    <w:p>
      <w:pPr>
        <w:pStyle w:val="3"/>
        <w:shd w:val="clear"/>
        <w:bidi w:val="0"/>
        <w:rPr>
          <w:rFonts w:hint="eastAsia" w:ascii="方正黑体_GBK" w:hAnsi="方正黑体_GBK" w:eastAsia="方正黑体_GBK" w:cs="方正黑体_GBK"/>
          <w:color w:val="000000" w:themeColor="text1"/>
          <w:sz w:val="32"/>
          <w:szCs w:val="24"/>
          <w:highlight w:val="none"/>
          <w:lang w:val="en-US" w:eastAsia="zh-CN"/>
          <w14:textFill>
            <w14:solidFill>
              <w14:schemeClr w14:val="tx1"/>
            </w14:solidFill>
          </w14:textFill>
        </w:rPr>
      </w:pPr>
      <w:bookmarkStart w:id="9" w:name="_Toc7115"/>
      <w:r>
        <w:rPr>
          <w:rFonts w:hint="eastAsia" w:ascii="方正黑体_GBK" w:hAnsi="方正黑体_GBK" w:eastAsia="方正黑体_GBK" w:cs="方正黑体_GBK"/>
          <w:color w:val="000000" w:themeColor="text1"/>
          <w:sz w:val="32"/>
          <w:szCs w:val="24"/>
          <w:highlight w:val="none"/>
          <w14:textFill>
            <w14:solidFill>
              <w14:schemeClr w14:val="tx1"/>
            </w14:solidFill>
          </w14:textFill>
        </w:rPr>
        <w:t>第</w:t>
      </w:r>
      <w:r>
        <w:rPr>
          <w:rFonts w:hint="eastAsia" w:ascii="方正黑体_GBK" w:hAnsi="方正黑体_GBK" w:eastAsia="方正黑体_GBK" w:cs="方正黑体_GBK"/>
          <w:color w:val="000000" w:themeColor="text1"/>
          <w:sz w:val="32"/>
          <w:szCs w:val="24"/>
          <w:highlight w:val="none"/>
          <w:lang w:val="en-US" w:eastAsia="zh-CN"/>
          <w14:textFill>
            <w14:solidFill>
              <w14:schemeClr w14:val="tx1"/>
            </w14:solidFill>
          </w14:textFill>
        </w:rPr>
        <w:t>三</w:t>
      </w:r>
      <w:r>
        <w:rPr>
          <w:rFonts w:hint="eastAsia" w:ascii="方正黑体_GBK" w:hAnsi="方正黑体_GBK" w:eastAsia="方正黑体_GBK" w:cs="方正黑体_GBK"/>
          <w:color w:val="000000" w:themeColor="text1"/>
          <w:sz w:val="32"/>
          <w:szCs w:val="24"/>
          <w:highlight w:val="none"/>
          <w14:textFill>
            <w14:solidFill>
              <w14:schemeClr w14:val="tx1"/>
            </w14:solidFill>
          </w14:textFill>
        </w:rPr>
        <w:t xml:space="preserve">章  </w:t>
      </w:r>
      <w:r>
        <w:rPr>
          <w:rFonts w:hint="eastAsia" w:ascii="方正黑体_GBK" w:hAnsi="方正黑体_GBK" w:eastAsia="方正黑体_GBK" w:cs="方正黑体_GBK"/>
          <w:color w:val="000000" w:themeColor="text1"/>
          <w:sz w:val="32"/>
          <w:szCs w:val="24"/>
          <w:highlight w:val="none"/>
          <w:lang w:val="en-US" w:eastAsia="zh-CN"/>
          <w14:textFill>
            <w14:solidFill>
              <w14:schemeClr w14:val="tx1"/>
            </w14:solidFill>
          </w14:textFill>
        </w:rPr>
        <w:t>加快“融湾强区”建设，全面</w:t>
      </w:r>
      <w:r>
        <w:rPr>
          <w:rFonts w:hint="eastAsia" w:ascii="方正黑体_GBK" w:hAnsi="方正黑体_GBK" w:eastAsia="方正黑体_GBK" w:cs="方正黑体_GBK"/>
          <w:color w:val="000000" w:themeColor="text1"/>
          <w:sz w:val="32"/>
          <w:szCs w:val="24"/>
          <w:highlight w:val="none"/>
          <w14:textFill>
            <w14:solidFill>
              <w14:schemeClr w14:val="tx1"/>
            </w14:solidFill>
          </w14:textFill>
        </w:rPr>
        <w:t>推进</w:t>
      </w:r>
      <w:r>
        <w:rPr>
          <w:rFonts w:hint="eastAsia" w:ascii="方正黑体_GBK" w:hAnsi="方正黑体_GBK" w:eastAsia="方正黑体_GBK" w:cs="方正黑体_GBK"/>
          <w:color w:val="000000" w:themeColor="text1"/>
          <w:sz w:val="32"/>
          <w:szCs w:val="24"/>
          <w:highlight w:val="none"/>
          <w:lang w:val="en-US" w:eastAsia="zh-CN"/>
          <w14:textFill>
            <w14:solidFill>
              <w14:schemeClr w14:val="tx1"/>
            </w14:solidFill>
          </w14:textFill>
        </w:rPr>
        <w:t>新阶段一体化发展</w:t>
      </w:r>
      <w:bookmarkEnd w:id="9"/>
    </w:p>
    <w:p>
      <w:pPr>
        <w:shd w:val="clear"/>
        <w:bidi w:val="0"/>
        <w:ind w:firstLine="640" w:firstLineChars="200"/>
        <w:rPr>
          <w:rFonts w:hint="eastAsia"/>
          <w:color w:val="000000" w:themeColor="text1"/>
          <w:highlight w:val="none"/>
          <w:lang w:val="en-US" w:eastAsia="zh-CN"/>
          <w14:textFill>
            <w14:solidFill>
              <w14:schemeClr w14:val="tx1"/>
            </w14:solidFill>
          </w14:textFill>
        </w:rPr>
      </w:pPr>
    </w:p>
    <w:p>
      <w:pPr>
        <w:shd w:val="clear"/>
        <w:bidi w:val="0"/>
        <w:ind w:firstLine="640"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牢牢把握粤港澳大湾区发展机遇，突出区位优势和资源禀赋，深度参与广州都市圈建设，全面推进市区一体化发展，推动交通基础设施建设提速、产业发展提质、公共服务提档。</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10" w:name="_Toc21371"/>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主动融入粤港澳大湾区建设</w:t>
      </w:r>
      <w:bookmarkEnd w:id="10"/>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主动对接“湾区通”工程。</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牢牢把握粤港澳大湾区“一点两地”</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6"/>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新定位，积极融入“湾区通”工程。对标大湾区先进标准，推动办事标准、流程、时效与大湾区接轨。全力提升数字政府效能，推动政务服务标准化、规范化、便利化，深化“放管服”、行政审批制度改革，推行告知承诺制和容缺受理服务模式，提升产业项目建设审批效率，促进人才、资本、数据、技术要素在区域间高效便捷流动，营造与大湾区相适配的营商与发展环境。完善“大招商”机制，建立健全投资项目跟踪落实机制，强化工业企业项目全生命周期跟踪服务。</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积极融入大湾区产业链供应链协同。</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主动承接大湾区产业延伸和转移，积极融入广州都市圈建设。加快推进广州海珠（清新）产业转移工业园合作园区建设，高水平打造产业有序转移承接平台，实施重点承接产业引导目录和产业转移重点项目库动态管理，吸引生产性服务业、技术研发等与制造业协同转移。积极探索“湾区孵化+清新产业化”“湾区研发+清新制造”“湾区总部+清新基地”“湾区销售+清新生产”等产业融湾合作新模式，跨区域打造协同发展产业链。加强跨行政区域合作，探索用能指标、排放指标协商转移，建立税费收入、经济指标等利益共享机制。积极与广州、深圳等城市建立“反向飞地”，深入研究上下游关联产业、关键企业，精准实施产业链招商，引进一批具有带动性和竞争力的龙头项目、产业链高端环节项目、延伸产业链的配套项目和制造业总部经济项目，增强产业链供应链稳定性和竞争力，推动产业集群式发展。通过精准招商，深度融入大湾区产业链供应链。推进大湾区北部“一程多站”旅游合作，以“旅游+”做大粤港澳大湾区北部生态文化旅游合作区。</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融入大湾区优质宜居生活圈。</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对接湾区大市场，高水平建设“米袋子”“菜篮子”“果盘子”，推动更多优质农产品、地理标志保护产品等纳入“湾区认证”项目范围。充分挖掘区内文化旅游资源，全力发展周末经济、城郊经济、休闲经济、夜间经济等文旅经济，加大“温泉+漂流+民宿”旅游产品体系升级改造，配合推进</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大湾区北部生态文化旅游合作区建设，打造粤港澳休闲胜地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着力提升与大湾区城市的交往交流交融成效，深化跨区域劳务协作。推进养老领域跨区域合作，探索异地养老、旅居养老服务模式。持续拓展教育、医疗、公共文化、社保等领域合作，加强生态环境联防联治，共同打造优质宜居生活圈。</w:t>
      </w: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11" w:name="_Toc1747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深度参与广清一体化发展</w:t>
      </w:r>
      <w:bookmarkEnd w:id="11"/>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推进广清交通高效联通。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补齐轨道交通短板，全力配合永州经清远至广州高铁轨道交通建设，完善清远西站及周边交通基础设施。构建高速公路网络，加快推进清花高速（清新段）建成通车，积极推动清远至珠海高速公路连山至清新段开工建设，配合做好清远至佛山高明高速（环城高速）前期研究工作。畅通城镇及产业园到高速公路出入口路网，谋划高速出入口快速路等项目，改善高速出入口至产业园及中心城区路段交通品质，提升高速公路网络联通效率。</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推进广清产业协同发展。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深化与广州市海珠区对口帮扶协作，加快推进广州海珠（清新）产业转移工业园合作园区建设，高水平打造产业有序转移承接平台。</w:t>
      </w:r>
      <w:r>
        <w:rPr>
          <w:rFonts w:hint="eastAsia" w:ascii="方正仿宋_GBK" w:hAnsi="方正仿宋_GBK" w:eastAsia="方正仿宋_GBK" w:cs="方正仿宋_GBK"/>
          <w:color w:val="000000" w:themeColor="text1"/>
          <w:highlight w:val="none"/>
          <w14:textFill>
            <w14:solidFill>
              <w14:schemeClr w14:val="tx1"/>
            </w14:solidFill>
          </w14:textFill>
        </w:rPr>
        <w:t>加强广清两市产业链上下游协同联动，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围绕</w:t>
      </w:r>
      <w:r>
        <w:rPr>
          <w:rFonts w:hint="eastAsia" w:ascii="方正仿宋_GBK" w:hAnsi="方正仿宋_GBK" w:eastAsia="方正仿宋_GBK" w:cs="方正仿宋_GBK"/>
          <w:color w:val="000000" w:themeColor="text1"/>
          <w:highlight w:val="none"/>
          <w14:textFill>
            <w14:solidFill>
              <w14:schemeClr w14:val="tx1"/>
            </w14:solidFill>
          </w14:textFill>
        </w:rPr>
        <w:t>汽车整车—零部件、先进材料、纺织服装、泛智能家居等</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产业，</w:t>
      </w:r>
      <w:r>
        <w:rPr>
          <w:rFonts w:hint="eastAsia" w:ascii="方正仿宋_GBK" w:hAnsi="方正仿宋_GBK" w:eastAsia="方正仿宋_GBK" w:cs="方正仿宋_GBK"/>
          <w:color w:val="000000" w:themeColor="text1"/>
          <w:highlight w:val="none"/>
          <w14:textFill>
            <w14:solidFill>
              <w14:schemeClr w14:val="tx1"/>
            </w14:solidFill>
          </w14:textFill>
        </w:rPr>
        <w:t>强化分工协作与有序转移承接</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与广州协同突破发展电子信息、银发经济等新兴产业，加快布局低空经济等未来产业。推进广清“联合招商+协同招商”机制创新，依托清新—海珠产业投资促进中心“反向飞地”平台，建立信息共享、政策协同、活动联办、项目共推工作模式，联合举办</w:t>
      </w:r>
      <w:r>
        <w:rPr>
          <w:rFonts w:hint="eastAsia" w:ascii="方正仿宋_GBK" w:hAnsi="方正仿宋_GBK" w:eastAsia="方正仿宋_GBK" w:cs="方正仿宋_GBK"/>
          <w:color w:val="000000" w:themeColor="text1"/>
          <w:highlight w:val="none"/>
          <w:lang w:val="en-US"/>
          <w14:textFill>
            <w14:solidFill>
              <w14:schemeClr w14:val="tx1"/>
            </w14:solidFill>
          </w14:textFill>
        </w:rPr>
        <w:t>投资推介会、产业对接会等活动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。强化与广州现代农业、现代服务协同发展，</w:t>
      </w:r>
      <w:bookmarkStart w:id="12" w:name="OLE_LINK2"/>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促进清新海珠两地消费协同合作，</w:t>
      </w:r>
      <w:r>
        <w:rPr>
          <w:rFonts w:hint="eastAsia" w:ascii="方正仿宋_GBK" w:hAnsi="方正仿宋_GBK" w:eastAsia="方正仿宋_GBK" w:cs="方正仿宋_GBK"/>
          <w:color w:val="000000" w:themeColor="text1"/>
          <w:highlight w:val="none"/>
          <w:lang w:val="en-US"/>
          <w14:textFill>
            <w14:solidFill>
              <w14:schemeClr w14:val="tx1"/>
            </w14:solidFill>
          </w14:textFill>
        </w:rPr>
        <w:t>支持清新区特色产品在海珠商超设点销售</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14:textFill>
            <w14:solidFill>
              <w14:schemeClr w14:val="tx1"/>
            </w14:solidFill>
          </w14:textFill>
        </w:rPr>
        <w:t>鼓励海珠头部电商在清新设独立结算分支机构，推动海珠餐饮企业赴清新考察采购</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。用好清新供销甄选等平台，积极参加各类展会、博览会，</w:t>
      </w:r>
      <w:r>
        <w:rPr>
          <w:rFonts w:hint="eastAsia" w:ascii="方正仿宋_GBK" w:hAnsi="方正仿宋_GBK" w:eastAsia="方正仿宋_GBK" w:cs="方正仿宋_GBK"/>
          <w:color w:val="000000" w:themeColor="text1"/>
          <w:highlight w:val="none"/>
          <w:lang w:val="en-US"/>
          <w14:textFill>
            <w14:solidFill>
              <w14:schemeClr w14:val="tx1"/>
            </w14:solidFill>
          </w14:textFill>
        </w:rPr>
        <w:t>助力清远鸡、桂花鱼等特色产品</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开拓市场。</w:t>
      </w:r>
    </w:p>
    <w:bookmarkEnd w:id="12"/>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推进广清营商环境一体化。</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以对标广州、同步提升为导向，推动营商环境与广清一体化接轨。推动建立统一市场准入标准，简化行政审批流程，实现广清政务服务跨区域通办。实施广清营商环境标准统一行动，复制广州企业开办一窗通、工程建设项目审批改革等经验，将清新企业开办时间压缩至1个工作日内。持续优化工业企业全生命周期跟踪服务工作机制，探索建立广清企业服务专员制度，为在清新投资的广州企业配备专属服务员，提供政策解读、项目落地、生产运营全流程服务。推动广清两地信用信息共享互认，拓展信用应用场景。</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bookmarkStart w:id="13" w:name="_Toc13763"/>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推进公共服务融合共享</w:t>
      </w:r>
      <w:bookmarkEnd w:id="13"/>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广清教育帮扶，推动更多学校结对发展，促进教育教学合作和教师交流。深化广清医疗帮扶，纵深推进南方医科大学珠江医院、广州医科大学附属肿瘤医院帮扶清新区人民医院和省妇幼保健院托管清新区妇幼保健院、清新区中医院各项工作，提高区级诊疗服务能力。深化跨区域劳务协作，完善海珠—清新就业服务工作站运作机制，通过人力资源品牌输出、招聘信息互联互通、联合招聘活动等方式，实现两地人力资源精准匹配。深化两市文化、体育交流，推动广府文化与清远北江文化交汇融合发展。加强广清绿色发展协作，完善生态环境协同保护机制。</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14" w:name="_Toc1731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全面推进市区一体化建设</w:t>
      </w:r>
      <w:bookmarkEnd w:id="14"/>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落实推进市区财税一体化改革。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立健全市区统一的财税管理体制，统一税收征管标准与流程，加强市区财税部门协作，实现财税信息共享。建立市区税收收入、土地出让收入的利益共享机制。合理划分市区财政事权与支出责任，优化财政转移支付制度，加大对清新区教育、医疗、文化体育等民生领域投入力度，加大工业园区建设和招商引资支持力度。通过财税一体化改革，促进市区资源合理配置，增强区域经济发展的协同性与整体性，为区域交通、公共服务等领域的一体化建设提供资金支撑。</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深入推进市区基础设施一体化建设。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以“内畅外联”为目标，深入推进市区基础设施一体化建设。加强市区交通基础设施一体化，持续优化清城—清新跨城交通网络，积极推进广清大道快速化、城西大道—飞来北路—人民西路快捷化改造，</w:t>
      </w:r>
      <w:r>
        <w:rPr>
          <w:rFonts w:hint="eastAsia" w:ascii="方正仿宋_GBK" w:hAnsi="方正仿宋_GBK" w:eastAsia="方正仿宋_GBK" w:cs="方正仿宋_GBK"/>
          <w:color w:val="000000" w:themeColor="text1"/>
          <w:highlight w:val="none"/>
          <w14:textFill>
            <w14:solidFill>
              <w14:schemeClr w14:val="tx1"/>
            </w14:solidFill>
          </w14:textFill>
        </w:rPr>
        <w:t>大力推动湖西路拓宽工程</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清新区城西大道交通优化改造工程</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建设旅游大道、振港大道，谋划推动清远大桥、凤城大桥拓宽建设；优化清城—清新公交线路规划，实现公交同城化。推进市政基础设施一体化，统一供水、供电、供气等标准，加强污水处理、垃圾处理等设施共建共享。完善通信网络基础设施，实现市区5G网络全覆盖与通信服务同网同价，提升市区基础设施互联互通水平，为市区产业协同、居民生活便利提供坚实保障，促进区域融合发展。</w:t>
      </w:r>
    </w:p>
    <w:p>
      <w:pPr>
        <w:shd w:val="clear"/>
        <w:bidi w:val="0"/>
        <w:jc w:val="cente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加快推进市区公共服务一体化建设。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公共服务由市统管，提升公共服务均等化水平。推动清城与清新教育资源共享，开展跨区域集团化办学，以优质学校带动薄弱学校发展，促进教育教学合作与资源均衡。促进清城清新两区医疗机构合作，实现检查检验结果互认，推进医疗人才交流，提升两区整体诊疗服务能力。推进市区养老服务协同提质，联合清城组建市区养老服务联盟，推动两区养老机构资源共享、标准互认、人员交流；推动长者助餐、居家养老上门服务跨区衔接机制，推行统一养老服务卡，实现老年人跨区任选服务。推动社保、就业、文化等领域服务标准统一，打破区域壁垒，完善跨区域服务协作机制，让居民在市区范围内享受无差别的公共服务，提升市区居民的获得感与归属感。</w:t>
      </w:r>
      <w:bookmarkStart w:id="15" w:name="_Toc17616"/>
    </w:p>
    <w:p>
      <w:pPr>
        <w:shd w:val="clear"/>
        <w:bidi w:val="0"/>
        <w:jc w:val="cente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p>
    <w:p>
      <w:pPr>
        <w:shd w:val="clear"/>
        <w:bidi w:val="0"/>
        <w:jc w:val="center"/>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14:textFill>
            <w14:solidFill>
              <w14:schemeClr w14:val="tx1"/>
            </w14:solidFill>
          </w14:textFill>
        </w:rPr>
        <w:t>第</w:t>
      </w: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四</w:t>
      </w:r>
      <w:r>
        <w:rPr>
          <w:rFonts w:hint="eastAsia" w:ascii="方正黑体_GBK" w:hAnsi="方正黑体_GBK" w:eastAsia="方正黑体_GBK" w:cs="方正黑体_GBK"/>
          <w:color w:val="000000" w:themeColor="text1"/>
          <w:highlight w:val="none"/>
          <w14:textFill>
            <w14:solidFill>
              <w14:schemeClr w14:val="tx1"/>
            </w14:solidFill>
          </w14:textFill>
        </w:rPr>
        <w:t>章  坚持制造业当家，</w:t>
      </w: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构建</w:t>
      </w:r>
      <w:r>
        <w:rPr>
          <w:rFonts w:hint="eastAsia" w:ascii="方正黑体_GBK" w:hAnsi="方正黑体_GBK" w:eastAsia="方正黑体_GBK" w:cs="方正黑体_GBK"/>
          <w:color w:val="000000" w:themeColor="text1"/>
          <w:highlight w:val="none"/>
          <w14:textFill>
            <w14:solidFill>
              <w14:schemeClr w14:val="tx1"/>
            </w14:solidFill>
          </w14:textFill>
        </w:rPr>
        <w:t>现代化产业体系</w:t>
      </w:r>
      <w:bookmarkEnd w:id="15"/>
    </w:p>
    <w:p>
      <w:pPr>
        <w:keepNext w:val="0"/>
        <w:keepLines w:val="0"/>
        <w:widowControl/>
        <w:suppressLineNumbers w:val="0"/>
        <w:shd w:val="clear"/>
        <w:jc w:val="left"/>
        <w:rPr>
          <w:rFonts w:hint="eastAsia"/>
          <w:color w:val="000000" w:themeColor="text1"/>
          <w:highlight w:val="none"/>
          <w:lang w:val="en-US" w:eastAsia="zh-CN"/>
          <w14:textFill>
            <w14:solidFill>
              <w14:schemeClr w14:val="tx1"/>
            </w14:solidFill>
          </w14:textFill>
        </w:rPr>
      </w:pPr>
    </w:p>
    <w:p>
      <w:pPr>
        <w:keepNext w:val="0"/>
        <w:keepLines w:val="0"/>
        <w:widowControl/>
        <w:suppressLineNumbers w:val="0"/>
        <w:shd w:val="clear"/>
        <w:jc w:val="left"/>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坚持实体经济为本、制造业当家，积极承接产业有序转移，发展壮大主导产业集群，支持重点产业、重点产品、重点集群、重点企业加快发展，推动服务业优质高效发展，构建清新特色</w:t>
      </w:r>
      <w:r>
        <w:rPr>
          <w:rFonts w:hint="eastAsia" w:ascii="方正仿宋_GBK" w:hAnsi="方正仿宋_GBK" w:eastAsia="方正仿宋_GBK" w:cs="方正仿宋_GBK"/>
          <w:color w:val="000000" w:themeColor="text1"/>
          <w:highlight w:val="none"/>
          <w14:textFill>
            <w14:solidFill>
              <w14:schemeClr w14:val="tx1"/>
            </w14:solidFill>
          </w14:textFill>
        </w:rPr>
        <w:t>现代化产业体系</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default"/>
          <w:color w:val="000000" w:themeColor="text1"/>
          <w:highlight w:val="none"/>
          <w:lang w:val="en-US" w:eastAsia="zh-CN"/>
          <w14:textFill>
            <w14:solidFill>
              <w14:schemeClr w14:val="tx1"/>
            </w14:solidFill>
          </w14:textFill>
        </w:rPr>
      </w:pPr>
      <w:bookmarkStart w:id="16" w:name="_Toc9713"/>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发展壮大“3+1”特色产业集群</w:t>
      </w:r>
      <w:bookmarkEnd w:id="16"/>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积极发展先进材料产业。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做强稀散金属产业集群，推动以先导为龙头的原有稀散金属企业扩能增效，加快建设战略小金属产业园，推动</w:t>
      </w:r>
      <w:r>
        <w:rPr>
          <w:rFonts w:hint="eastAsia" w:ascii="方正仿宋_GBK" w:hAnsi="方正仿宋_GBK" w:eastAsia="方正仿宋_GBK" w:cs="方正仿宋_GBK"/>
          <w:color w:val="000000" w:themeColor="text1"/>
          <w:highlight w:val="none"/>
          <w14:textFill>
            <w14:solidFill>
              <w14:schemeClr w14:val="tx1"/>
            </w14:solidFill>
          </w14:textFill>
        </w:rPr>
        <w:t>构建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稀土开采—稀散金属回收—提纯精炼—功能材料—终端应用</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产业链。推进传统建材生产企业转型发展，支持发展新型陶瓷、节能门窗、新型墙体材料等产品制造，鼓励发展建筑材料循环利用产业。培育</w:t>
      </w:r>
      <w:r>
        <w:rPr>
          <w:rFonts w:hint="eastAsia" w:ascii="方正仿宋_GBK" w:hAnsi="方正仿宋_GBK" w:eastAsia="方正仿宋_GBK" w:cs="方正仿宋_GBK"/>
          <w:color w:val="000000" w:themeColor="text1"/>
          <w:highlight w:val="none"/>
          <w14:textFill>
            <w14:solidFill>
              <w14:schemeClr w14:val="tx1"/>
            </w14:solidFill>
          </w14:textFill>
        </w:rPr>
        <w:t>发展无卤阻燃剂、阻燃塑料、生物可降解材料、热塑性复合材料等</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先进高分子材料产业。积极承接珠三角地区电子信息产业转移，加快发展电子元器件材料、半导体材料、显示材料、电子封装材料等新型电子材料产业。</w:t>
      </w:r>
      <w:r>
        <w:rPr>
          <w:rFonts w:hint="eastAsia" w:ascii="方正仿宋_GBK" w:hAnsi="方正仿宋_GBK" w:eastAsia="方正仿宋_GBK" w:cs="方正仿宋_GBK"/>
          <w:color w:val="000000" w:themeColor="text1"/>
          <w:highlight w:val="none"/>
          <w14:textFill>
            <w14:solidFill>
              <w14:schemeClr w14:val="tx1"/>
            </w14:solidFill>
          </w14:textFill>
        </w:rPr>
        <w:t>依托粤检消防应急产品检测中心，构建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消防材料研发—产品制造—检测认证—应用服务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的产业链</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重点发展新型阻燃剂、防火涂料、耐火材料等</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w:t>
      </w:r>
      <w:r>
        <w:rPr>
          <w:rFonts w:hint="eastAsia" w:ascii="方正仿宋_GBK" w:hAnsi="方正仿宋_GBK" w:eastAsia="方正仿宋_GBK" w:cs="方正仿宋_GBK"/>
          <w:color w:val="000000" w:themeColor="text1"/>
          <w:highlight w:val="none"/>
          <w14:textFill>
            <w14:solidFill>
              <w14:schemeClr w14:val="tx1"/>
            </w14:solidFill>
          </w14:textFill>
        </w:rPr>
        <w:t>发展消防装备、智能消防系统等产品</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到2030年，先进材料产业产值突破</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140</w:t>
      </w:r>
      <w:r>
        <w:rPr>
          <w:rFonts w:hint="eastAsia" w:ascii="方正仿宋_GBK" w:hAnsi="方正仿宋_GBK" w:eastAsia="方正仿宋_GBK" w:cs="方正仿宋_GBK"/>
          <w:color w:val="000000" w:themeColor="text1"/>
          <w:highlight w:val="none"/>
          <w14:textFill>
            <w14:solidFill>
              <w14:schemeClr w14:val="tx1"/>
            </w14:solidFill>
          </w14:textFill>
        </w:rPr>
        <w:t>亿元。</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大力发展农副食品加工业。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深入推进省食品工业培育试点县建设，</w:t>
      </w:r>
      <w:r>
        <w:rPr>
          <w:rFonts w:hint="eastAsia" w:ascii="方正仿宋_GBK" w:hAnsi="方正仿宋_GBK" w:eastAsia="方正仿宋_GBK" w:cs="方正仿宋_GBK"/>
          <w:color w:val="000000" w:themeColor="text1"/>
          <w:highlight w:val="none"/>
          <w14:textFill>
            <w14:solidFill>
              <w14:schemeClr w14:val="tx1"/>
            </w14:solidFill>
          </w14:textFill>
        </w:rPr>
        <w:t>引进和培育</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一批</w:t>
      </w:r>
      <w:r>
        <w:rPr>
          <w:rFonts w:hint="eastAsia" w:ascii="方正仿宋_GBK" w:hAnsi="方正仿宋_GBK" w:eastAsia="方正仿宋_GBK" w:cs="方正仿宋_GBK"/>
          <w:color w:val="000000" w:themeColor="text1"/>
          <w:highlight w:val="none"/>
          <w14:textFill>
            <w14:solidFill>
              <w14:schemeClr w14:val="tx1"/>
            </w14:solidFill>
          </w14:textFill>
        </w:rPr>
        <w:t>肉制品及水产品精深加工、果蔬品精深加工、饲料加工等农副食品加工企业</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以及预制菜、动物保健品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中药饮片、饮料加工、食品包装等食品制造企业，引导产业入园集聚发展</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提升清远鸡、桂花鱼等优势特色农产品全产业链发展水平，重点发展“苗种繁育—生态养殖—精深加工—品牌营销”产业链关键环节，鼓励预制菜产品推陈出新。发展壮大饲料加工业，支持</w:t>
      </w:r>
      <w:r>
        <w:rPr>
          <w:rFonts w:hint="eastAsia" w:ascii="方正仿宋_GBK" w:hAnsi="方正仿宋_GBK" w:eastAsia="方正仿宋_GBK" w:cs="方正仿宋_GBK"/>
          <w:color w:val="000000" w:themeColor="text1"/>
          <w:highlight w:val="none"/>
          <w14:textFill>
            <w14:solidFill>
              <w14:schemeClr w14:val="tx1"/>
            </w14:solidFill>
          </w14:textFill>
        </w:rPr>
        <w:t>清远海贝生物、清远江丰饲料</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等龙头企业做大做强，加快推进清远海贝生物技术有限公司年产5万吨动保水产饲料扩建项目建设。推动禽畜屠宰加工标准化升级，重点发展冷鲜禽肉、调理肉制品、特色腊味等产品，加快推进</w:t>
      </w:r>
      <w:r>
        <w:rPr>
          <w:rFonts w:hint="eastAsia" w:ascii="方正仿宋_GBK" w:hAnsi="方正仿宋_GBK" w:eastAsia="方正仿宋_GBK" w:cs="方正仿宋_GBK"/>
          <w:color w:val="000000" w:themeColor="text1"/>
          <w:kern w:val="2"/>
          <w:sz w:val="32"/>
          <w:szCs w:val="24"/>
          <w:highlight w:val="none"/>
          <w:u w:val="none"/>
          <w:lang w:val="en-US" w:eastAsia="zh-CN" w:bidi="ar-SA"/>
          <w14:textFill>
            <w14:solidFill>
              <w14:schemeClr w14:val="tx1"/>
            </w14:solidFill>
          </w14:textFill>
        </w:rPr>
        <w:t>山塘镇食品加工（腊味）产业园</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、现代农业产业园（禾云）、肉牛深加工厂房等项目建设。积极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发展冷链保鲜、NFC果汁、果蔬脆片、腌制蔬菜等加工品类。</w:t>
      </w:r>
      <w:r>
        <w:rPr>
          <w:rFonts w:hint="eastAsia" w:ascii="方正仿宋_GBK" w:hAnsi="方正仿宋_GBK" w:eastAsia="方正仿宋_GBK" w:cs="方正仿宋_GBK"/>
          <w:color w:val="000000" w:themeColor="text1"/>
          <w:highlight w:val="none"/>
          <w14:textFill>
            <w14:solidFill>
              <w14:schemeClr w14:val="tx1"/>
            </w14:solidFill>
          </w14:textFill>
        </w:rPr>
        <w:t>到2030年，农副食品加工产业产值达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100</w:t>
      </w:r>
      <w:r>
        <w:rPr>
          <w:rFonts w:hint="eastAsia" w:ascii="方正仿宋_GBK" w:hAnsi="方正仿宋_GBK" w:eastAsia="方正仿宋_GBK" w:cs="方正仿宋_GBK"/>
          <w:color w:val="000000" w:themeColor="text1"/>
          <w:highlight w:val="none"/>
          <w14:textFill>
            <w14:solidFill>
              <w14:schemeClr w14:val="tx1"/>
            </w14:solidFill>
          </w14:textFill>
        </w:rPr>
        <w:t>亿元。</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提质发展轻工纺织与制鞋产业。</w:t>
      </w:r>
      <w:r>
        <w:rPr>
          <w:rFonts w:hint="eastAsia" w:ascii="方正仿宋_GBK" w:hAnsi="方正仿宋_GBK" w:eastAsia="方正仿宋_GBK" w:cs="方正仿宋_GBK"/>
          <w:color w:val="000000" w:themeColor="text1"/>
          <w:highlight w:val="none"/>
          <w14:textFill>
            <w14:solidFill>
              <w14:schemeClr w14:val="tx1"/>
            </w14:solidFill>
          </w14:textFill>
        </w:rPr>
        <w:t>夯实现有制鞋业产业基础，发挥万邦、广硕、诚展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w:t>
      </w:r>
      <w:r>
        <w:rPr>
          <w:rFonts w:hint="eastAsia" w:ascii="方正仿宋_GBK" w:hAnsi="方正仿宋_GBK" w:eastAsia="方正仿宋_GBK" w:cs="方正仿宋_GBK"/>
          <w:color w:val="000000" w:themeColor="text1"/>
          <w:highlight w:val="none"/>
          <w14:textFill>
            <w14:solidFill>
              <w14:schemeClr w14:val="tx1"/>
            </w14:solidFill>
          </w14:textFill>
        </w:rPr>
        <w:t>链主企业效应，进一步完善鞋材供应、检测认证等配套链条。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依托中信环境漂染基地等配套优势，</w:t>
      </w:r>
      <w:r>
        <w:rPr>
          <w:rFonts w:hint="eastAsia" w:ascii="方正仿宋_GBK" w:hAnsi="方正仿宋_GBK" w:eastAsia="方正仿宋_GBK" w:cs="方正仿宋_GBK"/>
          <w:color w:val="000000" w:themeColor="text1"/>
          <w:highlight w:val="none"/>
          <w14:textFill>
            <w14:solidFill>
              <w14:schemeClr w14:val="tx1"/>
            </w14:solidFill>
          </w14:textFill>
        </w:rPr>
        <w:t>强化布匹漂染、洗水等中枢环节服务能力，</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w:t>
      </w:r>
      <w:r>
        <w:rPr>
          <w:rFonts w:hint="eastAsia" w:ascii="方正仿宋_GBK" w:hAnsi="方正仿宋_GBK" w:eastAsia="方正仿宋_GBK" w:cs="方正仿宋_GBK"/>
          <w:color w:val="000000" w:themeColor="text1"/>
          <w:highlight w:val="none"/>
          <w14:textFill>
            <w14:solidFill>
              <w14:schemeClr w14:val="tx1"/>
            </w14:solidFill>
          </w14:textFill>
        </w:rPr>
        <w:t>承接广州、佛山、东莞等服装产业有序转移</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以及产业链供应链部分环节转移</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培育快时尚、专精特新等特色产业组团。加快先进装备和工艺推广应用，发展基于互联网技术的新型生产方式</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，引导企业应用3D打印、AI设计等技术，建设智能工厂与自动化生产线。</w:t>
      </w:r>
      <w:r>
        <w:rPr>
          <w:rFonts w:hint="eastAsia" w:ascii="方正仿宋_GBK" w:hAnsi="方正仿宋_GBK" w:eastAsia="方正仿宋_GBK" w:cs="方正仿宋_GBK"/>
          <w:color w:val="000000" w:themeColor="text1"/>
          <w:highlight w:val="none"/>
          <w14:textFill>
            <w14:solidFill>
              <w14:schemeClr w14:val="tx1"/>
            </w14:solidFill>
          </w14:textFill>
        </w:rPr>
        <w:t>加快推进鞋服、箱包、轻纺等轻工产业向时尚智造转型，提升设计水平。鼓励企业参与国际展会与标准制定，培育1—2个区域特色服装鞋类品牌</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到2030年，实现轻工纺织与制鞋产业总产值超</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120</w:t>
      </w:r>
      <w:r>
        <w:rPr>
          <w:rFonts w:hint="eastAsia" w:ascii="方正仿宋_GBK" w:hAnsi="方正仿宋_GBK" w:eastAsia="方正仿宋_GBK" w:cs="方正仿宋_GBK"/>
          <w:color w:val="000000" w:themeColor="text1"/>
          <w:highlight w:val="none"/>
          <w14:textFill>
            <w14:solidFill>
              <w14:schemeClr w14:val="tx1"/>
            </w14:solidFill>
          </w14:textFill>
        </w:rPr>
        <w:t>亿元，培育</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4</w:t>
      </w:r>
      <w:r>
        <w:rPr>
          <w:rFonts w:hint="eastAsia" w:ascii="方正仿宋_GBK" w:hAnsi="方正仿宋_GBK" w:eastAsia="方正仿宋_GBK" w:cs="方正仿宋_GBK"/>
          <w:color w:val="000000" w:themeColor="text1"/>
          <w:highlight w:val="none"/>
          <w14:textFill>
            <w14:solidFill>
              <w14:schemeClr w14:val="tx1"/>
            </w14:solidFill>
          </w14:textFill>
        </w:rPr>
        <w:t>家以上年产值超</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5</w:t>
      </w:r>
      <w:r>
        <w:rPr>
          <w:rFonts w:hint="eastAsia" w:ascii="方正仿宋_GBK" w:hAnsi="方正仿宋_GBK" w:eastAsia="方正仿宋_GBK" w:cs="方正仿宋_GBK"/>
          <w:color w:val="000000" w:themeColor="text1"/>
          <w:highlight w:val="none"/>
          <w14:textFill>
            <w14:solidFill>
              <w14:schemeClr w14:val="tx1"/>
            </w14:solidFill>
          </w14:textFill>
        </w:rPr>
        <w:t>亿元企业。</w:t>
      </w:r>
    </w:p>
    <w:p>
      <w:pPr>
        <w:shd w:val="clear"/>
        <w:bidi w:val="0"/>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加快发展汽车零部件及配件制造产业。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依托</w:t>
      </w:r>
      <w:r>
        <w:rPr>
          <w:rFonts w:hint="eastAsia" w:ascii="方正仿宋_GBK" w:hAnsi="方正仿宋_GBK" w:eastAsia="方正仿宋_GBK" w:cs="方正仿宋_GBK"/>
          <w:color w:val="000000" w:themeColor="text1"/>
          <w:highlight w:val="none"/>
          <w14:textFill>
            <w14:solidFill>
              <w14:schemeClr w14:val="tx1"/>
            </w14:solidFill>
          </w14:textFill>
        </w:rPr>
        <w:t>龙湾环保表面处理示范基地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配套优势，</w:t>
      </w:r>
      <w:r>
        <w:rPr>
          <w:rFonts w:hint="eastAsia" w:ascii="方正仿宋_GBK" w:hAnsi="方正仿宋_GBK" w:eastAsia="方正仿宋_GBK" w:cs="方正仿宋_GBK"/>
          <w:color w:val="000000" w:themeColor="text1"/>
          <w:highlight w:val="none"/>
          <w14:textFill>
            <w14:solidFill>
              <w14:schemeClr w14:val="tx1"/>
            </w14:solidFill>
          </w14:textFill>
        </w:rPr>
        <w:t>加大力度承接</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广佛肇</w:t>
      </w:r>
      <w:r>
        <w:rPr>
          <w:rFonts w:hint="eastAsia" w:ascii="方正仿宋_GBK" w:hAnsi="方正仿宋_GBK" w:eastAsia="方正仿宋_GBK" w:cs="方正仿宋_GBK"/>
          <w:color w:val="000000" w:themeColor="text1"/>
          <w:highlight w:val="none"/>
          <w14:textFill>
            <w14:solidFill>
              <w14:schemeClr w14:val="tx1"/>
            </w14:solidFill>
          </w14:textFill>
        </w:rPr>
        <w:t>汽车零部件有序转移，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推动构建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广佛肇整车+清远配套</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汽车整车及零部件产业链</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加快推进清远市专用汽车制造产业基地建设，培育</w:t>
      </w:r>
      <w:r>
        <w:rPr>
          <w:rFonts w:hint="eastAsia" w:ascii="方正仿宋_GBK" w:hAnsi="方正仿宋_GBK" w:eastAsia="方正仿宋_GBK" w:cs="方正仿宋_GBK"/>
          <w:color w:val="000000" w:themeColor="text1"/>
          <w:highlight w:val="none"/>
          <w14:textFill>
            <w14:solidFill>
              <w14:schemeClr w14:val="tx1"/>
            </w14:solidFill>
          </w14:textFill>
        </w:rPr>
        <w:t>发展新能源动力电池及储能材料、驱动电机和电控、智能车载设备等重要零部件制造</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拓展延伸汽车后市场服务链条，培育发展汽车零部件再制造产业，</w:t>
      </w:r>
      <w:r>
        <w:rPr>
          <w:rFonts w:hint="eastAsia" w:ascii="方正仿宋_GBK" w:hAnsi="方正仿宋_GBK" w:eastAsia="方正仿宋_GBK" w:cs="方正仿宋_GBK"/>
          <w:color w:val="000000" w:themeColor="text1"/>
          <w:highlight w:val="none"/>
          <w14:textFill>
            <w14:solidFill>
              <w14:schemeClr w14:val="tx1"/>
            </w14:solidFill>
          </w14:textFill>
        </w:rPr>
        <w:t>推动绿色循环科创园建设，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积极参与跨区域废旧汽车零部件回收网络。</w:t>
      </w:r>
      <w:r>
        <w:rPr>
          <w:rFonts w:hint="eastAsia" w:ascii="方正仿宋_GBK" w:hAnsi="方正仿宋_GBK" w:eastAsia="方正仿宋_GBK" w:cs="方正仿宋_GBK"/>
          <w:color w:val="000000" w:themeColor="text1"/>
          <w:highlight w:val="none"/>
          <w14:textFill>
            <w14:solidFill>
              <w14:schemeClr w14:val="tx1"/>
            </w14:solidFill>
          </w14:textFill>
        </w:rPr>
        <w:t>到2030年，实现汽车零部件及配件制造产业总产值超</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50</w:t>
      </w:r>
      <w:r>
        <w:rPr>
          <w:rFonts w:hint="eastAsia" w:ascii="方正仿宋_GBK" w:hAnsi="方正仿宋_GBK" w:eastAsia="方正仿宋_GBK" w:cs="方正仿宋_GBK"/>
          <w:color w:val="000000" w:themeColor="text1"/>
          <w:highlight w:val="none"/>
          <w14:textFill>
            <w14:solidFill>
              <w14:schemeClr w14:val="tx1"/>
            </w14:solidFill>
          </w14:textFill>
        </w:rPr>
        <w:t>亿元，其中再制造产业产值突破</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5</w:t>
      </w:r>
      <w:r>
        <w:rPr>
          <w:rFonts w:hint="eastAsia" w:ascii="方正仿宋_GBK" w:hAnsi="方正仿宋_GBK" w:eastAsia="方正仿宋_GBK" w:cs="方正仿宋_GBK"/>
          <w:color w:val="000000" w:themeColor="text1"/>
          <w:highlight w:val="none"/>
          <w14:textFill>
            <w14:solidFill>
              <w14:schemeClr w14:val="tx1"/>
            </w14:solidFill>
          </w14:textFill>
        </w:rPr>
        <w:t>亿元，培育规上企业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30</w:t>
      </w:r>
      <w:r>
        <w:rPr>
          <w:rFonts w:hint="eastAsia" w:ascii="方正仿宋_GBK" w:hAnsi="方正仿宋_GBK" w:eastAsia="方正仿宋_GBK" w:cs="方正仿宋_GBK"/>
          <w:color w:val="000000" w:themeColor="text1"/>
          <w:highlight w:val="none"/>
          <w14:textFill>
            <w14:solidFill>
              <w14:schemeClr w14:val="tx1"/>
            </w14:solidFill>
          </w14:textFill>
        </w:rPr>
        <w:t>家，其中年产值超</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5</w:t>
      </w:r>
      <w:r>
        <w:rPr>
          <w:rFonts w:hint="eastAsia" w:ascii="方正仿宋_GBK" w:hAnsi="方正仿宋_GBK" w:eastAsia="方正仿宋_GBK" w:cs="方正仿宋_GBK"/>
          <w:color w:val="000000" w:themeColor="text1"/>
          <w:highlight w:val="none"/>
          <w14:textFill>
            <w14:solidFill>
              <w14:schemeClr w14:val="tx1"/>
            </w14:solidFill>
          </w14:textFill>
        </w:rPr>
        <w:t>亿元企业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3</w:t>
      </w:r>
      <w:r>
        <w:rPr>
          <w:rFonts w:hint="eastAsia" w:ascii="方正仿宋_GBK" w:hAnsi="方正仿宋_GBK" w:eastAsia="方正仿宋_GBK" w:cs="方正仿宋_GBK"/>
          <w:color w:val="000000" w:themeColor="text1"/>
          <w:highlight w:val="none"/>
          <w14:textFill>
            <w14:solidFill>
              <w14:schemeClr w14:val="tx1"/>
            </w14:solidFill>
          </w14:textFill>
        </w:rPr>
        <w:t>家</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p>
    <w:p>
      <w:pPr>
        <w:pStyle w:val="6"/>
        <w:rPr>
          <w:rFonts w:hint="eastAsia"/>
          <w:color w:val="000000" w:themeColor="text1"/>
          <w:highlight w:val="none"/>
          <w:lang w:val="en-US" w:eastAsia="zh-CN"/>
          <w14:textFill>
            <w14:solidFill>
              <w14:schemeClr w14:val="tx1"/>
            </w14:solidFill>
          </w14:textFill>
        </w:rPr>
      </w:pPr>
    </w:p>
    <w:p>
      <w:pPr>
        <w:pStyle w:val="4"/>
        <w:numPr>
          <w:ilvl w:val="0"/>
          <w:numId w:val="2"/>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17" w:name="_Toc27790"/>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培育发展新兴和未来产业</w:t>
      </w:r>
      <w:bookmarkEnd w:id="17"/>
    </w:p>
    <w:p>
      <w:pPr>
        <w:shd w:val="clear"/>
        <w:bidi w:val="0"/>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加快发展</w:t>
      </w:r>
      <w:r>
        <w:rPr>
          <w:rFonts w:hint="eastAsia" w:ascii="方正仿宋_GBK" w:hAnsi="方正仿宋_GBK" w:eastAsia="方正仿宋_GBK" w:cs="方正仿宋_GBK"/>
          <w:b/>
          <w:bCs/>
          <w:color w:val="000000" w:themeColor="text1"/>
          <w:highlight w:val="none"/>
          <w14:textFill>
            <w14:solidFill>
              <w14:schemeClr w14:val="tx1"/>
            </w14:solidFill>
          </w14:textFill>
        </w:rPr>
        <w:t>大数据与数字经济产业</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发挥腾讯云计算数据中心落地清新优势，聚焦</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存储—计算—应用</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三位一体的全产业链生态体系构建，推动大数据产业从数据存储初级阶段，向以算力服务和融合应用为特征的高级阶段全面跃升。完善延伸产业链条，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积极引进</w:t>
      </w:r>
      <w:r>
        <w:rPr>
          <w:rFonts w:hint="eastAsia" w:ascii="方正仿宋_GBK" w:hAnsi="方正仿宋_GBK" w:eastAsia="方正仿宋_GBK" w:cs="方正仿宋_GBK"/>
          <w:color w:val="000000" w:themeColor="text1"/>
          <w:highlight w:val="none"/>
          <w14:textFill>
            <w14:solidFill>
              <w14:schemeClr w14:val="tx1"/>
            </w14:solidFill>
          </w14:textFill>
        </w:rPr>
        <w:t>服务器制造、存储设备等硬件供应商，以及数据备份、安全防护等服务提供商入驻清新，形成完整的数据中心产业链。鼓励本地企业与</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数据中心</w:t>
      </w:r>
      <w:r>
        <w:rPr>
          <w:rFonts w:hint="eastAsia" w:ascii="方正仿宋_GBK" w:hAnsi="方正仿宋_GBK" w:eastAsia="方正仿宋_GBK" w:cs="方正仿宋_GBK"/>
          <w:color w:val="000000" w:themeColor="text1"/>
          <w:highlight w:val="none"/>
          <w14:textFill>
            <w14:solidFill>
              <w14:schemeClr w14:val="tx1"/>
            </w14:solidFill>
          </w14:textFill>
        </w:rPr>
        <w:t>平台企业开展合作，利用其技术和资源优势，提升自身数字化水平。支持企业围绕工业制造、现代农业、商贸流通、金融服务、绿色低碳等行业领域，打造一批</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数据产业应用</w:t>
      </w:r>
      <w:r>
        <w:rPr>
          <w:rFonts w:hint="eastAsia" w:ascii="方正仿宋_GBK" w:hAnsi="方正仿宋_GBK" w:eastAsia="方正仿宋_GBK" w:cs="方正仿宋_GBK"/>
          <w:color w:val="000000" w:themeColor="text1"/>
          <w:highlight w:val="none"/>
          <w14:textFill>
            <w14:solidFill>
              <w14:schemeClr w14:val="tx1"/>
            </w14:solidFill>
          </w14:textFill>
        </w:rPr>
        <w:t>场景，促进实体经济和数字经济深度融合。</w:t>
      </w:r>
    </w:p>
    <w:p>
      <w:pPr>
        <w:shd w:val="clear"/>
        <w:bidi w:val="0"/>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大力发展</w:t>
      </w:r>
      <w:r>
        <w:rPr>
          <w:rFonts w:hint="eastAsia" w:ascii="方正仿宋_GBK" w:hAnsi="方正仿宋_GBK" w:eastAsia="方正仿宋_GBK" w:cs="方正仿宋_GBK"/>
          <w:b/>
          <w:bCs/>
          <w:color w:val="000000" w:themeColor="text1"/>
          <w:highlight w:val="none"/>
          <w14:textFill>
            <w14:solidFill>
              <w14:schemeClr w14:val="tx1"/>
            </w14:solidFill>
          </w14:textFill>
        </w:rPr>
        <w:t>生物医药与大健康产业</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依托省级南药产业园，</w:t>
      </w:r>
      <w:r>
        <w:rPr>
          <w:rFonts w:hint="eastAsia" w:ascii="方正仿宋_GBK" w:hAnsi="方正仿宋_GBK" w:eastAsia="方正仿宋_GBK" w:cs="方正仿宋_GBK"/>
          <w:color w:val="000000" w:themeColor="text1"/>
          <w:highlight w:val="none"/>
          <w14:textFill>
            <w14:solidFill>
              <w14:schemeClr w14:val="tx1"/>
            </w14:solidFill>
          </w14:textFill>
        </w:rPr>
        <w:t>推动构建集中药材保护种植、医药制造、健康服务融合于一体的生物医药与大健康产业体系，在中药材保护种植领域，强化野生中草药种植生态保护，建设标准化中药材种植基地，深化与广州中医药大学、中科院华南植物园等机构合作，推进共建组培快繁中心、种质评价实验室；在医药制造领域，引进现代提取分离技术，开发中药配方颗粒、中药饮片等高附加值产品，支持企业与科研院所共建实验室，开展中药新药研发和经典名方二次开发；在健康服务领域，充分整合三坑镇硫酸钙型偏硅酸温泉、笔架山</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旅游区</w:t>
      </w:r>
      <w:r>
        <w:rPr>
          <w:rFonts w:hint="eastAsia" w:ascii="方正仿宋_GBK" w:hAnsi="方正仿宋_GBK" w:eastAsia="方正仿宋_GBK" w:cs="方正仿宋_GBK"/>
          <w:color w:val="000000" w:themeColor="text1"/>
          <w:highlight w:val="none"/>
          <w14:textFill>
            <w14:solidFill>
              <w14:schemeClr w14:val="tx1"/>
            </w14:solidFill>
          </w14:textFill>
        </w:rPr>
        <w:t>生态资源及南药养生元素，打造集生态疗养、温泉康养、膳食调理于一体的综合康养基地。</w:t>
      </w:r>
    </w:p>
    <w:p>
      <w:pPr>
        <w:shd w:val="clear"/>
        <w:bidi w:val="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积极发展</w:t>
      </w:r>
      <w:r>
        <w:rPr>
          <w:rFonts w:hint="eastAsia" w:ascii="方正仿宋_GBK" w:hAnsi="方正仿宋_GBK" w:eastAsia="方正仿宋_GBK" w:cs="方正仿宋_GBK"/>
          <w:b/>
          <w:bCs/>
          <w:color w:val="000000" w:themeColor="text1"/>
          <w:highlight w:val="none"/>
          <w14:textFill>
            <w14:solidFill>
              <w14:schemeClr w14:val="tx1"/>
            </w14:solidFill>
          </w14:textFill>
        </w:rPr>
        <w:t>新能源与储能产业</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纵深推进能源新旧动能转换，大力推动新能源多元化全面发展，不断扩大可再生能源建设规模，积极推动新能源电网输送消纳、多能互补、规模高效的新能源基地建设，打造</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源网核储、</w:t>
      </w:r>
      <w:r>
        <w:rPr>
          <w:rFonts w:hint="eastAsia" w:ascii="方正仿宋_GBK" w:hAnsi="方正仿宋_GBK" w:eastAsia="方正仿宋_GBK" w:cs="方正仿宋_GBK"/>
          <w:color w:val="000000" w:themeColor="text1"/>
          <w:highlight w:val="none"/>
          <w14:textFill>
            <w14:solidFill>
              <w14:schemeClr w14:val="tx1"/>
            </w14:solidFill>
          </w14:textFill>
        </w:rPr>
        <w:t>多能互补的绿色能源产业集群。加快先进汽车零部件产业园建设，支持敏实等企业重点发展新能源动力电池及储能材料，夯实</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储能材料—核心部件—系统集成</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的制造基础</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谋划构建新能源汽车</w:t>
      </w:r>
      <w:r>
        <w:rPr>
          <w:rFonts w:hint="eastAsia" w:ascii="方正仿宋_GBK" w:hAnsi="方正仿宋_GBK" w:eastAsia="方正仿宋_GBK" w:cs="方正仿宋_GBK"/>
          <w:color w:val="000000" w:themeColor="text1"/>
          <w:highlight w:val="none"/>
          <w14:textFill>
            <w14:solidFill>
              <w14:schemeClr w14:val="tx1"/>
            </w14:solidFill>
          </w14:textFill>
        </w:rPr>
        <w:t>动力电池</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回收循环利用体系</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w:t>
      </w:r>
      <w:r>
        <w:rPr>
          <w:rFonts w:hint="eastAsia" w:ascii="方正仿宋_GBK" w:hAnsi="方正仿宋_GBK" w:eastAsia="方正仿宋_GBK" w:cs="方正仿宋_GBK"/>
          <w:color w:val="000000" w:themeColor="text1"/>
          <w:highlight w:val="none"/>
          <w14:textFill>
            <w14:solidFill>
              <w14:schemeClr w14:val="tx1"/>
            </w14:solidFill>
          </w14:textFill>
        </w:rPr>
        <w:t>形成</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退役电池回收—梯次储能—材料再生</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完整链条。推行绿电园区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建设</w:t>
      </w:r>
      <w:r>
        <w:rPr>
          <w:rFonts w:hint="eastAsia" w:ascii="方正仿宋_GBK" w:hAnsi="方正仿宋_GBK" w:eastAsia="方正仿宋_GBK" w:cs="方正仿宋_GBK"/>
          <w:color w:val="000000" w:themeColor="text1"/>
          <w:highlight w:val="none"/>
          <w14:textFill>
            <w14:solidFill>
              <w14:schemeClr w14:val="tx1"/>
            </w14:solidFill>
          </w14:textFill>
        </w:rPr>
        <w:t>，鼓励企业采用多元化储能装备和技术实现</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零碳</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并逐步推广。积极吸引新能源装备制造企业、高技术用电大户企业、新能源配套企业等落户园区。</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培育发展低空经济产业。</w:t>
      </w:r>
      <w:r>
        <w:rPr>
          <w:rFonts w:hint="eastAsia" w:ascii="方正仿宋_GBK" w:hAnsi="方正仿宋_GBK" w:eastAsia="方正仿宋_GBK" w:cs="方正仿宋_GBK"/>
          <w:color w:val="000000" w:themeColor="text1"/>
          <w:highlight w:val="none"/>
          <w14:textFill>
            <w14:solidFill>
              <w14:schemeClr w14:val="tx1"/>
            </w14:solidFill>
          </w14:textFill>
        </w:rPr>
        <w:t>完善地面起降设施网</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，结合重点商圈、园区、景区、医疗机构等场所，按需规划建设分级、分类的无人机航空器起降设施网络。</w:t>
      </w:r>
      <w:r>
        <w:rPr>
          <w:rFonts w:hint="eastAsia" w:ascii="方正仿宋_GBK" w:hAnsi="方正仿宋_GBK" w:eastAsia="方正仿宋_GBK" w:cs="方正仿宋_GBK"/>
          <w:color w:val="000000" w:themeColor="text1"/>
          <w:highlight w:val="none"/>
          <w14:textFill>
            <w14:solidFill>
              <w14:schemeClr w14:val="tx1"/>
            </w14:solidFill>
          </w14:textFill>
        </w:rPr>
        <w:t>促进低空基础设施相关产业发展，推动汽车零部件、改性材料、电动车、电子电路等优势产业与低空经济产业跨界融合发展。聚焦低空飞行器整机及关键零部件的研制和规模化应用</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谋划打造低空经济产业集聚区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w:t>
      </w:r>
      <w:r>
        <w:rPr>
          <w:rFonts w:hint="eastAsia" w:ascii="方正仿宋_GBK" w:hAnsi="方正仿宋_GBK" w:eastAsia="方正仿宋_GBK" w:cs="方正仿宋_GBK"/>
          <w:color w:val="000000" w:themeColor="text1"/>
          <w:highlight w:val="none"/>
          <w14:textFill>
            <w14:solidFill>
              <w14:schemeClr w14:val="tx1"/>
            </w14:solidFill>
          </w14:textFill>
        </w:rPr>
        <w:t>对接亿航、大疆、小鹏汇天等龙头制造企业，招引电池、零部件加工、整机组装企业落地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清新</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鼓励传统汽车零部件企业转型培育低空配套制造。</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拓展“低空+文体旅游”“低空+智慧物流”“低空+应急救援”“低空+城市服务”“低空+生产作业”场景应用，推动打造一批低空应用场景，力争到2030年底，全区开展“低空+”应用场景10个以上。</w:t>
      </w:r>
    </w:p>
    <w:p>
      <w:pPr>
        <w:rPr>
          <w:rFonts w:hint="default"/>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18" w:name="_Toc2122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建设高能级产业平台</w:t>
      </w:r>
      <w:bookmarkEnd w:id="18"/>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优化园区发展布局。</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推进县域产业园区标准化建设三年行动，持续优化广东清远经济开发区、清远清新产业园区规划布局，拓展园区发展空间。</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进一步完善清远清新产业园总体发展规划、控制性详细规划和产业园产业发展规划编制，明确清远清新产业园四大片区发展指引，打造粤港澳大湾区产业转移优选地。稳步推进禾云片区、太平片区（盈富、龙湾）扩容，全面提升园区承载能力。加强园区资金、土地、能源等要素保障，统筹调控与分配污染物指标，促进资源要素向优质企业集聚。到2030年，园区工业总产值达350亿元，规上工业增加值保持每年增长5%以上。</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专栏1：清远清新产业园四大片区发展指引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1.禾云片区。</w:t>
            </w:r>
            <w:r>
              <w:rPr>
                <w:rFonts w:hint="eastAsia" w:ascii="方正仿宋_GBK" w:hAnsi="方正仿宋_GBK" w:eastAsia="方正仿宋_GBK" w:cs="方正仿宋_GBK"/>
                <w:color w:val="000000" w:themeColor="text1"/>
                <w:highlight w:val="none"/>
                <w14:textFill>
                  <w14:solidFill>
                    <w14:schemeClr w14:val="tx1"/>
                  </w14:solidFill>
                </w14:textFill>
              </w:rPr>
              <w:t>总面积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约</w:t>
            </w:r>
            <w:r>
              <w:rPr>
                <w:rFonts w:hint="eastAsia" w:ascii="方正仿宋_GBK" w:hAnsi="方正仿宋_GBK" w:eastAsia="方正仿宋_GBK" w:cs="方正仿宋_GBK"/>
                <w:color w:val="000000" w:themeColor="text1"/>
                <w:highlight w:val="none"/>
                <w14:textFill>
                  <w14:solidFill>
                    <w14:schemeClr w14:val="tx1"/>
                  </w14:solidFill>
                </w14:textFill>
              </w:rPr>
              <w:t>63</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2公顷</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，重点发展先进材料产业，预计到2030年，规上工业企业达22家，产值达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174</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亿元。</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2.盈富马岳片区。</w:t>
            </w:r>
            <w:r>
              <w:rPr>
                <w:rFonts w:hint="eastAsia" w:ascii="方正仿宋_GBK" w:hAnsi="方正仿宋_GBK" w:eastAsia="方正仿宋_GBK" w:cs="方正仿宋_GBK"/>
                <w:color w:val="000000" w:themeColor="text1"/>
                <w:highlight w:val="none"/>
                <w14:textFill>
                  <w14:solidFill>
                    <w14:schemeClr w14:val="tx1"/>
                  </w14:solidFill>
                </w14:textFill>
              </w:rPr>
              <w:t>总面积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约398公顷</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，重点发展先进材料产业、汽车零部件及配件制造业、农副食品加工业、制鞋业，预计到2030年，规上工业企业达40家，产值达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104</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亿元。</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3.龙湾花清片区。</w:t>
            </w:r>
            <w:r>
              <w:rPr>
                <w:rFonts w:hint="eastAsia" w:ascii="方正仿宋_GBK" w:hAnsi="方正仿宋_GBK" w:eastAsia="方正仿宋_GBK" w:cs="方正仿宋_GBK"/>
                <w:color w:val="000000" w:themeColor="text1"/>
                <w:highlight w:val="none"/>
                <w14:textFill>
                  <w14:solidFill>
                    <w14:schemeClr w14:val="tx1"/>
                  </w14:solidFill>
                </w14:textFill>
              </w:rPr>
              <w:t>总面积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约243公顷</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，重点发展汽车零部件及配件制造业、纺织业，预计到2030年，规上工业企业达39家，产值达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49</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亿元。</w:t>
            </w:r>
          </w:p>
          <w:p>
            <w:pPr>
              <w:pStyle w:val="29"/>
              <w:shd w:val="clear"/>
              <w:bidi w:val="0"/>
              <w:rPr>
                <w:rFonts w:hint="default"/>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飞水低地片区。</w:t>
            </w:r>
            <w:r>
              <w:rPr>
                <w:rFonts w:hint="eastAsia" w:ascii="方正仿宋_GBK" w:hAnsi="方正仿宋_GBK" w:eastAsia="方正仿宋_GBK" w:cs="方正仿宋_GBK"/>
                <w:color w:val="000000" w:themeColor="text1"/>
                <w:highlight w:val="none"/>
                <w14:textFill>
                  <w14:solidFill>
                    <w14:schemeClr w14:val="tx1"/>
                  </w14:solidFill>
                </w14:textFill>
              </w:rPr>
              <w:t>总面积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约166公顷</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重点发展先进材料产业、农副食品加工业，预计到2030年</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规上工业企业达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21</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家，产值达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亿元。</w:t>
            </w:r>
          </w:p>
        </w:tc>
      </w:tr>
    </w:tbl>
    <w:p>
      <w:pPr>
        <w:shd w:val="clear"/>
        <w:bidi w:val="0"/>
        <w:ind w:left="0" w:leftChars="0"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打造高品质产城配套体系。</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不断更新和完善各区域的交通串联体系，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加快推进</w:t>
      </w:r>
      <w:r>
        <w:rPr>
          <w:rFonts w:hint="eastAsia" w:ascii="方正仿宋_GBK" w:hAnsi="方正仿宋_GBK" w:eastAsia="方正仿宋_GBK" w:cs="方正仿宋_GBK"/>
          <w:color w:val="000000" w:themeColor="text1"/>
          <w:highlight w:val="none"/>
          <w14:textFill>
            <w14:solidFill>
              <w14:schemeClr w14:val="tx1"/>
            </w14:solidFill>
          </w14:textFill>
        </w:rPr>
        <w:t>云龙产业大道</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、盈富北快速路</w:t>
      </w:r>
      <w:r>
        <w:rPr>
          <w:rFonts w:hint="eastAsia" w:ascii="方正仿宋_GBK" w:hAnsi="方正仿宋_GBK" w:eastAsia="方正仿宋_GBK" w:cs="方正仿宋_GBK"/>
          <w:color w:val="000000" w:themeColor="text1"/>
          <w:highlight w:val="none"/>
          <w14:textFill>
            <w14:solidFill>
              <w14:schemeClr w14:val="tx1"/>
            </w14:solidFill>
          </w14:textFill>
        </w:rPr>
        <w:t>、龙湾四横路（清花高速下段）</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产城大道</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等项目建设</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打造高效便捷的内外交通网络。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大园区供水、供电、排污以及标准厂房等基础设施建设力度，积极推进清远（经开）万洋众创城项目、太平片区产业融合项目等建设。加快布局智能仓储、保税物流中心，大力推进海清产业园、供销冷链产业园、先进材料产业园建设。推动产业园区向产业社区转变，扎实做好低效用地、闲置用地清理回收等工作，有序推进已建成标准厂房更好发挥效能。实施“六个一”工程</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7"/>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攻坚，完善教育、医疗、商业、休闲等生活配套，推动太和、太平、禾云等周边镇公共服务设施向园区延伸覆盖，增强园区服务能力和承载能力。</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提升园区治理与服务效能。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面深化“管委会+平台公司”管理运营机制改革，推动平台公司向市场化、专业化、综合性转型。园区管委会强化统筹监管与政策引导，平台公司则重点承担园区开发、基础设施建设、产业招商、企业服务、资产运营等核心职能。通过深化“产业+基金”模式，健全项目对接与投决机制，强化“以投带引”功能，优化产业生态。着力推动城投集团、城泊公司等平台公司，充分利用各项政策资金，加快实施滨江自来水厂扩网、太平综合污水处理厂及配套管网等园区基础设施，推进禾云片区汽车产业园基础配套、太平片区产城融合等系列产业配套项目的建设与运营。</w:t>
      </w:r>
    </w:p>
    <w:p>
      <w:pPr>
        <w:shd w:val="clear"/>
        <w:bidi w:val="0"/>
        <w:rPr>
          <w:rFonts w:hint="eastAsia" w:ascii="方正仿宋_GBK" w:hAnsi="方正仿宋_GBK" w:eastAsia="方正仿宋_GBK" w:cs="方正仿宋_GBK"/>
          <w:color w:val="000000" w:themeColor="text1"/>
          <w:szCs w:val="32"/>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强化产业园区招商引资。</w:t>
      </w:r>
      <w:r>
        <w:rPr>
          <w:rFonts w:hint="eastAsia" w:ascii="方正仿宋_GBK" w:hAnsi="方正仿宋_GBK" w:eastAsia="方正仿宋_GBK" w:cs="方正仿宋_GBK"/>
          <w:color w:val="000000" w:themeColor="text1"/>
          <w:highlight w:val="none"/>
          <w14:textFill>
            <w14:solidFill>
              <w14:schemeClr w14:val="tx1"/>
            </w14:solidFill>
          </w14:textFill>
        </w:rPr>
        <w:t>强化招商引资作为推动高质量发展的核心引擎，系统构建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链式+平台</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招商新体系。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紧扣全区产业规划布局</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聚焦</w:t>
      </w:r>
      <w:r>
        <w:rPr>
          <w:rFonts w:hint="eastAsia" w:ascii="方正仿宋_GBK" w:hAnsi="方正仿宋_GBK" w:eastAsia="方正仿宋_GBK" w:cs="方正仿宋_GBK"/>
          <w:color w:val="000000" w:themeColor="text1"/>
          <w:szCs w:val="32"/>
          <w:highlight w:val="none"/>
          <w14:textFill>
            <w14:solidFill>
              <w14:schemeClr w14:val="tx1"/>
            </w14:solidFill>
          </w14:textFill>
        </w:rPr>
        <w:t>龙湾电镀、中信环境、粤检消防、万洋众创等4个特色基地</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，实施精准招商，</w:t>
      </w:r>
      <w:r>
        <w:rPr>
          <w:rFonts w:hint="eastAsia" w:ascii="方正仿宋_GBK" w:hAnsi="方正仿宋_GBK" w:eastAsia="方正仿宋_GBK" w:cs="方正仿宋_GBK"/>
          <w:color w:val="000000" w:themeColor="text1"/>
          <w:szCs w:val="32"/>
          <w:highlight w:val="none"/>
          <w14:textFill>
            <w14:solidFill>
              <w14:schemeClr w14:val="tx1"/>
            </w14:solidFill>
          </w14:textFill>
        </w:rPr>
        <w:t>着力引进一批带动性强的链主项目、高端环节项目与关键配套项目，增强产业链供应链韧性。创新招商模式，推行</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标准化厂房+招商</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，深化与海珠区</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飞地经济</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合作，运营好</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清新招商</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小程序与清新—海珠产业促进中心等平台，持续拓展招商渠道。推行企业项目全生命周期跟踪服务机制，落实帮办代办，实现从项目落地到投产运营的无缝衔接；加快建设园区政务服务中心，推动</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拿地即开工</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办事不出园</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成为常态，并通过惠企政策</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免申即享</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确保红利直达企业。深入推进工业用地</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标准地</w:t>
      </w:r>
      <w:r>
        <w:rPr>
          <w:rFonts w:hint="eastAsia" w:ascii="方正仿宋_GBK" w:hAnsi="方正仿宋_GBK" w:eastAsia="方正仿宋_GBK" w:cs="方正仿宋_GBK"/>
          <w:color w:val="000000" w:themeColor="text1"/>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32"/>
          <w:highlight w:val="none"/>
          <w14:textFill>
            <w14:solidFill>
              <w14:schemeClr w14:val="tx1"/>
            </w14:solidFill>
          </w14:textFill>
        </w:rPr>
        <w:t>改革，着力在用电、厂房租赁等关键环节为企业减负，全面提升园区招商竞争力。力争到2030年，累计新引进</w:t>
      </w:r>
      <w:r>
        <w:rPr>
          <w:rFonts w:hint="eastAsia" w:ascii="方正仿宋_GBK" w:hAnsi="方正仿宋_GBK" w:eastAsia="方正仿宋_GBK" w:cs="方正仿宋_GBK"/>
          <w:color w:val="000000" w:themeColor="text1"/>
          <w:szCs w:val="32"/>
          <w:highlight w:val="none"/>
          <w:lang w:val="en-US" w:eastAsia="zh-CN"/>
          <w14:textFill>
            <w14:solidFill>
              <w14:schemeClr w14:val="tx1"/>
            </w14:solidFill>
          </w14:textFill>
        </w:rPr>
        <w:t>制造业</w:t>
      </w:r>
      <w:r>
        <w:rPr>
          <w:rFonts w:hint="eastAsia" w:ascii="方正仿宋_GBK" w:hAnsi="方正仿宋_GBK" w:eastAsia="方正仿宋_GBK" w:cs="方正仿宋_GBK"/>
          <w:color w:val="000000" w:themeColor="text1"/>
          <w:szCs w:val="32"/>
          <w:highlight w:val="none"/>
          <w14:textFill>
            <w14:solidFill>
              <w14:schemeClr w14:val="tx1"/>
            </w14:solidFill>
          </w14:textFill>
        </w:rPr>
        <w:t>项目80个以上。</w:t>
      </w:r>
    </w:p>
    <w:p>
      <w:pPr>
        <w:rPr>
          <w:rFonts w:hint="default" w:ascii="Times New Roman" w:hAnsi="Times New Roman" w:cs="Times New Roman"/>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19" w:name="_Toc1862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第四节  推进产业基础高级化</w:t>
      </w:r>
      <w:bookmarkEnd w:id="19"/>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全面推进传统产业转型升级。</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实施制造业技术改造升级和大规模设备更新工程，推动传统制造业高端化、智能化、绿色化发展。实施工业技术改造赋能提升工程，紧扣关键工序自动化、生产过程智能化、供应链管理数字化，“链式”改造一批智能工厂。加大中小企业数字化转型的扶持力度，重点支持制鞋、食品加工、汽车配件、新材料应用等行业优势企业与互联网企业实现跨界融合。支持企业应用工业互联网、大数据等技术实现柔性化、个性化生产，快速响应市场需求变化。力争2030年推动我区超过150家规上工业企业实现数字化转型。深入实施工业设计赋能行动，引导制造业企业建设工业设计中心，培育工业设计企业。鼓励引进绿色新型陶瓷生产工艺企业，升级改造现有陶瓷生产线。</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加快推动人工智能赋能制造业。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网络设施夯实发展基础，推进全光网络建设和5G深度覆盖，推动5G商用。充分运用好广东省制造业数字化转型产业生态供给资源池，积极发挥清远市工业互联网和大数据产业协会等研究机构、行业协会的桥梁纽带和资源整合作用，大力帮助制造业企业和工业互联网服务商精准对接，为企业数字化提供支撑服务。加大新业态推广，推进“人工智能+”赋能产品创新、功能升级，进一步开拓场景创新应用，围绕城市治理、公共服务和产业发展领域，充分挖掘应用需求，推动形成一批“人工智能+”大模型应用场景需求。加大力度宣传制造业数字化转型的有关政策措施，加强制造业不同行业领域数字化转型分类、引导，助力企业更好地了解政策、运用政策。</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20" w:name="_Toc978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第五节  发展优质高效现代服务业</w:t>
      </w:r>
      <w:bookmarkEnd w:id="20"/>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推动生产性服务业与制造业融合发展。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完善支持生产性服务业发展的政策体系，</w:t>
      </w:r>
      <w:r>
        <w:rPr>
          <w:rFonts w:hint="eastAsia" w:ascii="方正仿宋_GBK" w:hAnsi="方正仿宋_GBK" w:eastAsia="方正仿宋_GBK" w:cs="方正仿宋_GBK"/>
          <w:color w:val="000000" w:themeColor="text1"/>
          <w:highlight w:val="none"/>
          <w14:textFill>
            <w14:solidFill>
              <w14:schemeClr w14:val="tx1"/>
            </w14:solidFill>
          </w14:textFill>
        </w:rPr>
        <w:t>加快发展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软件信息、</w:t>
      </w:r>
      <w:r>
        <w:rPr>
          <w:rFonts w:hint="eastAsia" w:ascii="方正仿宋_GBK" w:hAnsi="方正仿宋_GBK" w:eastAsia="方正仿宋_GBK" w:cs="方正仿宋_GBK"/>
          <w:color w:val="000000" w:themeColor="text1"/>
          <w:highlight w:val="none"/>
          <w14:textFill>
            <w14:solidFill>
              <w14:schemeClr w14:val="tx1"/>
            </w14:solidFill>
          </w14:textFill>
        </w:rPr>
        <w:t>检验检测、</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电子商务、</w:t>
      </w:r>
      <w:r>
        <w:rPr>
          <w:rFonts w:hint="eastAsia" w:ascii="方正仿宋_GBK" w:hAnsi="方正仿宋_GBK" w:eastAsia="方正仿宋_GBK" w:cs="方正仿宋_GBK"/>
          <w:color w:val="000000" w:themeColor="text1"/>
          <w:highlight w:val="none"/>
          <w14:textFill>
            <w14:solidFill>
              <w14:schemeClr w14:val="tx1"/>
            </w14:solidFill>
          </w14:textFill>
        </w:rPr>
        <w:t>现代物流等生产性服务业</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支持</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制造业</w:t>
      </w:r>
      <w:r>
        <w:rPr>
          <w:rFonts w:hint="eastAsia" w:ascii="方正仿宋_GBK" w:hAnsi="方正仿宋_GBK" w:eastAsia="方正仿宋_GBK" w:cs="方正仿宋_GBK"/>
          <w:color w:val="000000" w:themeColor="text1"/>
          <w:highlight w:val="none"/>
          <w14:textFill>
            <w14:solidFill>
              <w14:schemeClr w14:val="tx1"/>
            </w14:solidFill>
          </w14:textFill>
        </w:rPr>
        <w:t>企业向</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产品+服务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制造+服务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拓展</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鼓励服务业企业向制造业环节延伸，着力推动制造业与科技服务、设计服务、人力资源服务、质量服务、现代物流等深度融合，加快发展服务型制造。</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积极发展农业生产性服务业，培育农机作业、农资配送、农技指导、农产品检测、仓储物流、农业电商等服务主体，发展产前、产中、产后现代农业专业辅助性服务。</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专栏2：生产性服务业重点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软件信息服务。</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依托</w:t>
            </w:r>
            <w:r>
              <w:rPr>
                <w:rFonts w:hint="eastAsia" w:ascii="方正仿宋_GBK" w:hAnsi="方正仿宋_GBK" w:eastAsia="方正仿宋_GBK" w:cs="方正仿宋_GBK"/>
                <w:color w:val="000000" w:themeColor="text1"/>
                <w:highlight w:val="none"/>
                <w14:textFill>
                  <w14:solidFill>
                    <w14:schemeClr w14:val="tx1"/>
                  </w14:solidFill>
                </w14:textFill>
              </w:rPr>
              <w:t>腾讯云计算数据中心</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等重点平台项目，促进电子信息制造研发和信息技术服务、电子商务信息安全、大数据存储和应用等云计算和大数据相关产业发展。</w:t>
            </w:r>
          </w:p>
          <w:p>
            <w:pPr>
              <w:pStyle w:val="29"/>
              <w:shd w:val="clear"/>
              <w:bidi w:val="0"/>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检验检测服务。</w:t>
            </w:r>
            <w:r>
              <w:rPr>
                <w:rFonts w:hint="eastAsia" w:ascii="方正仿宋_GBK" w:hAnsi="方正仿宋_GBK" w:eastAsia="方正仿宋_GBK" w:cs="方正仿宋_GBK"/>
                <w:color w:val="000000" w:themeColor="text1"/>
                <w:highlight w:val="none"/>
                <w14:textFill>
                  <w14:solidFill>
                    <w14:schemeClr w14:val="tx1"/>
                  </w14:solidFill>
                </w14:textFill>
              </w:rPr>
              <w:t>完善粤检消防产品检测中心配套建设，推进打造全省首个集产品研发、产品中试、标准制修订、认证检测、人才培训、国内外技术交流、消防科教等功能于一体的综合型、高水平技术服务基地。</w:t>
            </w:r>
          </w:p>
          <w:p>
            <w:pPr>
              <w:pStyle w:val="29"/>
              <w:shd w:val="clear"/>
              <w:bidi w:val="0"/>
              <w:rPr>
                <w:rFonts w:hint="default"/>
                <w:b/>
                <w:bCs/>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电商物流服务。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大力发展电子商务，</w:t>
            </w:r>
            <w:r>
              <w:rPr>
                <w:rFonts w:hint="eastAsia" w:ascii="方正仿宋_GBK" w:hAnsi="方正仿宋_GBK" w:eastAsia="方正仿宋_GBK" w:cs="方正仿宋_GBK"/>
                <w:color w:val="000000" w:themeColor="text1"/>
                <w:highlight w:val="none"/>
                <w14:textFill>
                  <w14:solidFill>
                    <w14:schemeClr w14:val="tx1"/>
                  </w14:solidFill>
                </w14:textFill>
              </w:rPr>
              <w:t>支持企业加快电商服务与制造业原材料采购、生产制造、终端销售等产业链环节的业务协同，重点聚焦轻工纺织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与制鞋</w:t>
            </w:r>
            <w:r>
              <w:rPr>
                <w:rFonts w:hint="eastAsia" w:ascii="方正仿宋_GBK" w:hAnsi="方正仿宋_GBK" w:eastAsia="方正仿宋_GBK" w:cs="方正仿宋_GBK"/>
                <w:color w:val="000000" w:themeColor="text1"/>
                <w:highlight w:val="none"/>
                <w14:textFill>
                  <w14:solidFill>
                    <w14:schemeClr w14:val="tx1"/>
                  </w14:solidFill>
                </w14:textFill>
              </w:rPr>
              <w:t>、现代农业与食品等战略性支柱产业集群，提升电商产业集聚和公共服务能力。</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构建畅通衔接城乡的商品流通网络，积极发展集中配送、共同配送等集约化模式，促进“网货下乡、农资进村”和“农产品进城”双向流通。</w:t>
            </w:r>
          </w:p>
        </w:tc>
      </w:tr>
    </w:tbl>
    <w:p>
      <w:pPr>
        <w:shd w:val="clear"/>
        <w:bidi w:val="0"/>
        <w:rPr>
          <w:rFonts w:hint="eastAsia"/>
          <w:color w:val="000000" w:themeColor="text1"/>
          <w:highlight w:val="none"/>
          <w:lang w:val="en-US" w:eastAsia="zh-CN"/>
          <w14:textFill>
            <w14:solidFill>
              <w14:schemeClr w14:val="tx1"/>
            </w14:solidFill>
          </w14:textFill>
        </w:rPr>
      </w:pP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促进生活性服务业多样化品质化发展。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积极引导生活性服务业多样化、精细化、品质化发展，有效提升</w:t>
      </w:r>
      <w:r>
        <w:rPr>
          <w:rFonts w:hint="eastAsia" w:ascii="方正仿宋_GBK" w:hAnsi="方正仿宋_GBK" w:eastAsia="方正仿宋_GBK" w:cs="方正仿宋_GBK"/>
          <w:color w:val="000000" w:themeColor="text1"/>
          <w:kern w:val="21"/>
          <w:sz w:val="32"/>
          <w:szCs w:val="32"/>
          <w:highlight w:val="none"/>
          <w:u w:val="none" w:color="auto"/>
          <w:lang w:eastAsia="zh-CN"/>
          <w14:textFill>
            <w14:solidFill>
              <w14:schemeClr w14:val="tx1"/>
            </w14:solidFill>
          </w14:textFill>
        </w:rPr>
        <w:t>教育服务、养老托育服务、</w:t>
      </w:r>
      <w:r>
        <w:rPr>
          <w:rFonts w:hint="eastAsia" w:ascii="方正仿宋_GBK" w:hAnsi="方正仿宋_GBK" w:eastAsia="方正仿宋_GBK" w:cs="方正仿宋_GBK"/>
          <w:color w:val="000000" w:themeColor="text1"/>
          <w:kern w:val="21"/>
          <w:sz w:val="32"/>
          <w:szCs w:val="32"/>
          <w:highlight w:val="none"/>
          <w:u w:val="none" w:color="auto"/>
          <w14:textFill>
            <w14:solidFill>
              <w14:schemeClr w14:val="tx1"/>
            </w14:solidFill>
          </w14:textFill>
        </w:rPr>
        <w:t>家</w:t>
      </w:r>
      <w:r>
        <w:rPr>
          <w:rFonts w:hint="eastAsia" w:ascii="方正仿宋_GBK" w:hAnsi="方正仿宋_GBK" w:eastAsia="方正仿宋_GBK" w:cs="方正仿宋_GBK"/>
          <w:color w:val="000000" w:themeColor="text1"/>
          <w:kern w:val="21"/>
          <w:sz w:val="32"/>
          <w:szCs w:val="32"/>
          <w:highlight w:val="none"/>
          <w:u w:val="none" w:color="auto"/>
          <w:lang w:eastAsia="zh-CN"/>
          <w14:textFill>
            <w14:solidFill>
              <w14:schemeClr w14:val="tx1"/>
            </w14:solidFill>
          </w14:textFill>
        </w:rPr>
        <w:t>政</w:t>
      </w:r>
      <w:r>
        <w:rPr>
          <w:rFonts w:hint="eastAsia" w:ascii="方正仿宋_GBK" w:hAnsi="方正仿宋_GBK" w:eastAsia="方正仿宋_GBK" w:cs="方正仿宋_GBK"/>
          <w:color w:val="000000" w:themeColor="text1"/>
          <w:kern w:val="21"/>
          <w:sz w:val="32"/>
          <w:szCs w:val="32"/>
          <w:highlight w:val="none"/>
          <w:u w:val="none" w:color="auto"/>
          <w14:textFill>
            <w14:solidFill>
              <w14:schemeClr w14:val="tx1"/>
            </w14:solidFill>
          </w14:textFill>
        </w:rPr>
        <w:t>服务、</w:t>
      </w:r>
      <w:r>
        <w:rPr>
          <w:rFonts w:hint="eastAsia" w:ascii="方正仿宋_GBK" w:hAnsi="方正仿宋_GBK" w:eastAsia="方正仿宋_GBK" w:cs="方正仿宋_GBK"/>
          <w:color w:val="000000" w:themeColor="text1"/>
          <w:kern w:val="21"/>
          <w:sz w:val="32"/>
          <w:szCs w:val="32"/>
          <w:highlight w:val="none"/>
          <w:u w:val="none" w:color="auto"/>
          <w:lang w:eastAsia="zh-CN"/>
          <w14:textFill>
            <w14:solidFill>
              <w14:schemeClr w14:val="tx1"/>
            </w14:solidFill>
          </w14:textFill>
        </w:rPr>
        <w:t>新型旅游服务、健康服务、住宿餐饮服务、文化体育服务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重点领域服务水平。着力推进餐饮、零售等行业提质扩容，积极推进太和商圈、清新产业园（太平）商圈建设，鼓励引入大型商超、餐饮、品牌连锁店，建设清新高品质消费集聚区。完善乡镇商贸中心覆盖及品质提升，大力培育特色街区、商贸综合体。引导住宿业经营主体提升住宿接待能力和涉外服务水平，与餐饮、文化、旅游、康养、研学等业态融合发展。</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专栏3：生活性服务业重点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扩大住宿餐饮服务。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鼓励民间资本投资旅游住宿型饭店，支持现有酒店、宾馆加大投入，提升软硬件水平，改善设施陈旧现状。鼓励对依法登记的宅基地等农村建设用地进行复合利用，发展乡村酒店、客栈民宿、山居小院等新兴休闲服务。推动特色餐饮发展，擦亮“清远味道”品牌。实施“餐饮+”复合业态培育工程，鼓励餐饮企业创新经营。</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发展“一老一小”服务。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发展中医药养生保健服务，推进社会化、专业化的康复、疗养、护理服务的发展。开发怀旧游、银发游、生态健康游等产品，推介一批全龄友好景点和线路。促进3岁以下婴幼儿照护服务发展，增加高品质月子中心数量，探索“医育结合”托育服务模式。推动构建覆盖广泛的青少年赛事活动体系，丰富青少年体育赛事活动供给。</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丰富文化旅游服务。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积极推进太和商圈、</w:t>
            </w:r>
            <w:r>
              <w:rPr>
                <w:rFonts w:hint="eastAsia" w:ascii="方正仿宋_GBK" w:hAnsi="方正仿宋_GBK" w:eastAsia="方正仿宋_GBK" w:cs="方正仿宋_GBK"/>
                <w:color w:val="000000" w:themeColor="text1"/>
                <w:highlight w:val="none"/>
                <w14:textFill>
                  <w14:solidFill>
                    <w14:schemeClr w14:val="tx1"/>
                  </w14:solidFill>
                </w14:textFill>
              </w:rPr>
              <w:t>清新产业园</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太平</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商圈建设，</w:t>
            </w:r>
            <w:r>
              <w:rPr>
                <w:rFonts w:hint="eastAsia" w:ascii="方正仿宋_GBK" w:hAnsi="方正仿宋_GBK" w:eastAsia="方正仿宋_GBK" w:cs="方正仿宋_GBK"/>
                <w:color w:val="000000" w:themeColor="text1"/>
                <w:highlight w:val="none"/>
                <w14:textFill>
                  <w14:solidFill>
                    <w14:schemeClr w14:val="tx1"/>
                  </w14:solidFill>
                </w14:textFill>
              </w:rPr>
              <w:t>打造麦家围营地、北站商业广场等商业集聚地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。加力建设高品质书店、创意文化公园等设施，完善通景道路、景点厕所、休憩站点等布局。以体验化、个性化、融合化、品质化、可持续化为核心，大力发展新型旅游。</w:t>
            </w:r>
          </w:p>
          <w:p>
            <w:pPr>
              <w:pStyle w:val="29"/>
              <w:shd w:val="clea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优化住房物业服务。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实施城市社区嵌入式服务设施建设工程，将生活服务嵌入到社区，鼓励物业服务企业将服务范围向养老、托幼、家政、健康、快递收发等多领域延伸。打通物业服务“堵点”，推动物业服务行业健康有序发展。</w:t>
            </w:r>
          </w:p>
          <w:p>
            <w:pPr>
              <w:pStyle w:val="29"/>
              <w:shd w:val="clear"/>
              <w:bidi w:val="0"/>
              <w:rPr>
                <w:rFonts w:hint="default"/>
                <w:b/>
                <w:bCs/>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规范教育培训服务。</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在巩固提升基础教育的前提下，以制造业和旅游业需求为导向，全力打造职业教育品牌。持续推进清新“满FUN夜校”增量提质，满足社会大众多元化、个性化学习需求。指导学校合规引进具有相应资质的第三方机构，提供非学科类优质课后服务。</w:t>
            </w:r>
          </w:p>
        </w:tc>
      </w:tr>
    </w:tbl>
    <w:p>
      <w:pPr>
        <w:shd w:val="clear"/>
        <w:bidi w:val="0"/>
        <w:jc w:val="both"/>
        <w:rPr>
          <w:rFonts w:hint="eastAsia"/>
          <w:color w:val="000000" w:themeColor="text1"/>
          <w:highlight w:val="none"/>
          <w:lang w:val="en-US" w:eastAsia="zh-CN"/>
          <w14:textFill>
            <w14:solidFill>
              <w14:schemeClr w14:val="tx1"/>
            </w14:solidFill>
          </w14:textFill>
        </w:rPr>
      </w:pPr>
    </w:p>
    <w:p>
      <w:pPr>
        <w:shd w:val="clear"/>
        <w:rPr>
          <w:rFonts w:hint="eastAsia"/>
          <w:color w:val="000000" w:themeColor="text1"/>
          <w:highlight w:val="none"/>
          <w:lang w:val="en-US" w:eastAsia="zh-CN"/>
          <w14:textFill>
            <w14:solidFill>
              <w14:schemeClr w14:val="tx1"/>
            </w14:solidFill>
          </w14:textFill>
        </w:rPr>
      </w:pPr>
    </w:p>
    <w:p>
      <w:pPr>
        <w:shd w:val="clear"/>
        <w:rPr>
          <w:rFonts w:hint="eastAsia"/>
          <w:color w:val="000000" w:themeColor="text1"/>
          <w:highlight w:val="none"/>
          <w:lang w:val="en-US" w:eastAsia="zh-CN"/>
          <w14:textFill>
            <w14:solidFill>
              <w14:schemeClr w14:val="tx1"/>
            </w14:solidFill>
          </w14:textFill>
        </w:rPr>
        <w:sectPr>
          <w:pgSz w:w="11906" w:h="16838"/>
          <w:pgMar w:top="2154" w:right="1417" w:bottom="1984" w:left="1587" w:header="851" w:footer="992" w:gutter="0"/>
          <w:pgNumType w:fmt="numberInDash"/>
          <w:cols w:space="0" w:num="1"/>
          <w:rtlGutter w:val="0"/>
          <w:docGrid w:type="lines" w:linePitch="437" w:charSpace="0"/>
        </w:sectPr>
      </w:pPr>
    </w:p>
    <w:p>
      <w:pPr>
        <w:pStyle w:val="3"/>
        <w:numPr>
          <w:ilvl w:val="0"/>
          <w:numId w:val="3"/>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21" w:name="_Toc25521"/>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坚持创新驱动发展</w:t>
      </w:r>
      <w:r>
        <w:rPr>
          <w:rFonts w:hint="eastAsia" w:ascii="方正楷体_GBK" w:hAnsi="方正楷体_GBK" w:eastAsia="方正楷体_GBK" w:cs="方正楷体_GBK"/>
          <w:color w:val="000000" w:themeColor="text1"/>
          <w:highlight w:val="none"/>
          <w14:textFill>
            <w14:solidFill>
              <w14:schemeClr w14:val="tx1"/>
            </w14:solidFill>
          </w14:textFill>
        </w:rPr>
        <w:t>，</w:t>
      </w: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加快培育发展新质生产力</w:t>
      </w:r>
      <w:bookmarkEnd w:id="21"/>
    </w:p>
    <w:p>
      <w:pPr>
        <w:shd w:val="clear"/>
        <w:ind w:firstLine="0"/>
        <w:rPr>
          <w:rFonts w:hint="eastAsia"/>
          <w:color w:val="000000" w:themeColor="text1"/>
          <w:highlight w:val="none"/>
          <w:lang w:val="en-US" w:eastAsia="zh-CN"/>
          <w14:textFill>
            <w14:solidFill>
              <w14:schemeClr w14:val="tx1"/>
            </w14:solidFill>
          </w14:textFill>
        </w:rPr>
      </w:pPr>
    </w:p>
    <w:p>
      <w:pPr>
        <w:shd w:val="clear"/>
        <w:ind w:firstLine="64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坚持以科技创新引领产业全面振兴，强化企业创新主体地位，深入推动产业科技互促双强，深化质量强区建设，营造开放创新生态，以科技创新驱动生产力向新的质态跃升。</w:t>
      </w:r>
    </w:p>
    <w:p>
      <w:pPr>
        <w:rPr>
          <w:rFonts w:hint="eastAsia"/>
          <w:color w:val="000000" w:themeColor="text1"/>
          <w:highlight w:val="none"/>
          <w:lang w:val="en-US" w:eastAsia="zh-CN"/>
          <w14:textFill>
            <w14:solidFill>
              <w14:schemeClr w14:val="tx1"/>
            </w14:solidFill>
          </w14:textFill>
        </w:rPr>
      </w:pPr>
    </w:p>
    <w:p>
      <w:pPr>
        <w:pStyle w:val="4"/>
        <w:numPr>
          <w:ilvl w:val="0"/>
          <w:numId w:val="4"/>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22" w:name="_Toc1252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加快科技创新平台发展</w:t>
      </w:r>
      <w:bookmarkEnd w:id="22"/>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构建完善科技创新平台体系。</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推动建设县域创新基地，引导和支持企业建设实验室、工程技术研究中心等研发机构。</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爱健康、清远海贝等龙头企业升级企业实验室，加快筹建省重点实验室。加强农业科技创新载体建设，推动农业科技园、农村科技特派员工作站、创新型专业镇等载体建设。鼓励企业投资建设创业孵化器，推动建立“初创培育—成长扶持—龙头引领”的全周期培育平台体系。“十五五”期间，力争省级新型研发机构有所突破，新增市级以上工程技术研究中心5家，规上企业研发机构覆盖率达28%以上。</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推动跨区域产学研用合作。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积极对接大湾区高校、科研院，加大创新资源的引进和培育力度。以</w:t>
      </w:r>
      <w:r>
        <w:rPr>
          <w:rFonts w:hint="eastAsia" w:ascii="方正仿宋_GBK" w:hAnsi="方正仿宋_GBK" w:eastAsia="方正仿宋_GBK" w:cs="方正仿宋_GBK"/>
          <w:color w:val="000000" w:themeColor="text1"/>
          <w:highlight w:val="none"/>
          <w14:textFill>
            <w14:solidFill>
              <w14:schemeClr w14:val="tx1"/>
            </w14:solidFill>
          </w14:textFill>
        </w:rPr>
        <w:t>清远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清新产业园为重点，建设一批运行模式先进、配套设施完善、服务环境优质的创新创业综合服务机构。加强与省职教城职业院校合作共建，加快推动市现代农业与食品市域产教联合体实体化运作，探索产教融合协同实体化运作模式，推进</w:t>
      </w:r>
      <w:r>
        <w:rPr>
          <w:rFonts w:hint="eastAsia" w:ascii="方正仿宋_GBK" w:hAnsi="方正仿宋_GBK" w:eastAsia="方正仿宋_GBK" w:cs="方正仿宋_GBK"/>
          <w:color w:val="000000" w:themeColor="text1"/>
          <w:highlight w:val="none"/>
          <w14:textFill>
            <w14:solidFill>
              <w14:schemeClr w14:val="tx1"/>
            </w14:solidFill>
          </w14:textFill>
        </w:rPr>
        <w:t>与广东科贸职院等院校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海大集团</w:t>
      </w:r>
      <w:r>
        <w:rPr>
          <w:rFonts w:hint="eastAsia" w:ascii="方正仿宋_GBK" w:hAnsi="方正仿宋_GBK" w:eastAsia="方正仿宋_GBK" w:cs="方正仿宋_GBK"/>
          <w:color w:val="000000" w:themeColor="text1"/>
          <w:highlight w:val="none"/>
          <w14:textFill>
            <w14:solidFill>
              <w14:schemeClr w14:val="tx1"/>
            </w14:solidFill>
          </w14:textFill>
        </w:rPr>
        <w:t>共建现代产业学院和共享实训基地</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推动在现代农业领域重点建设产教融合实践中心2个以上</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定期举办产学研对接活动，建立技术需求库和成果供给库，促进创新要素高效流动。</w:t>
      </w:r>
    </w:p>
    <w:p>
      <w:pPr>
        <w:shd w:val="clear"/>
        <w:bidi w:val="0"/>
        <w:rPr>
          <w:rFonts w:hint="eastAsia" w:ascii="方正仿宋_GBK" w:hAnsi="方正仿宋_GBK" w:eastAsia="方正仿宋_GBK" w:cs="方正仿宋_GBK"/>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加强科技创新平台成果转化应用。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深化广清科技合作，完善建立科技成果转化对接机制，推动广州科技成果优先到清远转化和产业化。完善科技成果转化机制，</w:t>
      </w:r>
      <w:r>
        <w:rPr>
          <w:rFonts w:hint="eastAsia" w:ascii="方正仿宋_GBK" w:hAnsi="方正仿宋_GBK" w:eastAsia="方正仿宋_GBK" w:cs="方正仿宋_GBK"/>
          <w:color w:val="000000" w:themeColor="text1"/>
          <w:highlight w:val="none"/>
          <w14:textFill>
            <w14:solidFill>
              <w14:schemeClr w14:val="tx1"/>
            </w14:solidFill>
          </w14:textFill>
        </w:rPr>
        <w:t>探索科技成果</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“先免费试用、后付费转化”</w:t>
      </w:r>
      <w:r>
        <w:rPr>
          <w:rFonts w:hint="eastAsia" w:ascii="方正仿宋_GBK" w:hAnsi="方正仿宋_GBK" w:eastAsia="方正仿宋_GBK" w:cs="方正仿宋_GBK"/>
          <w:color w:val="000000" w:themeColor="text1"/>
          <w:highlight w:val="none"/>
          <w14:textFill>
            <w14:solidFill>
              <w14:schemeClr w14:val="tx1"/>
            </w14:solidFill>
          </w14:textFill>
        </w:rPr>
        <w:t>新模式</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布局</w:t>
      </w:r>
      <w:r>
        <w:rPr>
          <w:rFonts w:hint="eastAsia" w:ascii="方正仿宋_GBK" w:hAnsi="方正仿宋_GBK" w:eastAsia="方正仿宋_GBK" w:cs="方正仿宋_GBK"/>
          <w:color w:val="000000" w:themeColor="text1"/>
          <w:highlight w:val="none"/>
          <w14:textFill>
            <w14:solidFill>
              <w14:schemeClr w14:val="tx1"/>
            </w14:solidFill>
          </w14:textFill>
        </w:rPr>
        <w:t>实施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一批</w:t>
      </w:r>
      <w:r>
        <w:rPr>
          <w:rFonts w:hint="eastAsia" w:ascii="方正仿宋_GBK" w:hAnsi="方正仿宋_GBK" w:eastAsia="方正仿宋_GBK" w:cs="方正仿宋_GBK"/>
          <w:color w:val="000000" w:themeColor="text1"/>
          <w:highlight w:val="none"/>
          <w14:textFill>
            <w14:solidFill>
              <w14:schemeClr w14:val="tx1"/>
            </w14:solidFill>
          </w14:textFill>
        </w:rPr>
        <w:t>重大科技成果转化项目</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紧密联系跨区域产教融合共同体</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推动现代农业与食品产业技术转化</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参与构建全市“1+N”技术转移服务支撑体系</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8"/>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，积极引进和培育专业化技术转移机构。</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引进培育一批高层次科技成果转移转化专业人才，鼓励有条件的高校设立技术转移相关学科或专业，支持建设技术经理人培训服务平台，打造与科技创新、产业发展相匹配的技术经理人队伍。</w:t>
      </w:r>
      <w:r>
        <w:rPr>
          <w:rFonts w:hint="eastAsia" w:ascii="方正仿宋_GBK" w:hAnsi="方正仿宋_GBK" w:eastAsia="方正仿宋_GBK" w:cs="方正仿宋_GBK"/>
          <w:color w:val="000000" w:themeColor="text1"/>
          <w:highlight w:val="none"/>
          <w14:textFill>
            <w14:solidFill>
              <w14:schemeClr w14:val="tx1"/>
            </w14:solidFill>
          </w14:textFill>
        </w:rPr>
        <w:t>到2030年，力争转化科技成果3项</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以上</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p>
    <w:p>
      <w:pPr>
        <w:rPr>
          <w:rFonts w:hint="default"/>
          <w:color w:val="000000" w:themeColor="text1"/>
          <w:highlight w:val="none"/>
          <w:lang w:val="en-US" w:eastAsia="zh-CN"/>
          <w14:textFill>
            <w14:solidFill>
              <w14:schemeClr w14:val="tx1"/>
            </w14:solidFill>
          </w14:textFill>
        </w:rPr>
      </w:pPr>
    </w:p>
    <w:p>
      <w:pPr>
        <w:pStyle w:val="4"/>
        <w:numPr>
          <w:ilvl w:val="0"/>
          <w:numId w:val="4"/>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23" w:name="_Toc25270"/>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推进科技创新与产业发展互促双强</w:t>
      </w:r>
      <w:bookmarkEnd w:id="23"/>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推动技术攻关与协同创新。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实施核心技术攻关行动，引导企业持续开展技术攻关。制定清新区重点产业核心技术攻关目录，围绕桂花鱼等水产养殖、生物医药、食品加工、制鞋等重点产业技术攻关需求，明确重点产业急需突破的核心技术，做好科技资源供求对接。推进落实“科技计划项目”“大专项”“揭榜挂帅制”等制度，</w:t>
      </w:r>
      <w:r>
        <w:rPr>
          <w:rFonts w:hint="eastAsia" w:ascii="方正仿宋_GBK" w:hAnsi="方正仿宋_GBK" w:eastAsia="方正仿宋_GBK" w:cs="方正仿宋_GBK"/>
          <w:color w:val="000000" w:themeColor="text1"/>
          <w:highlight w:val="none"/>
          <w14:textFill>
            <w14:solidFill>
              <w14:schemeClr w14:val="tx1"/>
            </w14:solidFill>
          </w14:textFill>
        </w:rPr>
        <w:t>充分发挥市场主导技术研发方向、路线选择、创新要素配置作用。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鼓励目标企业、潜在企业加强关键共性技术、前沿引领技术、现代工程技术创新，支持大中型企业参与或承担国家和省重大科技专项，争取率先在半导体材料、高性能金属材料、玻璃纤维、精细化工材料等细分领域突破关键核心技术。加大对企业科技项目组织实施的培育辅导，引导更多的优质科技企业积极争取财政专项资金支持。</w:t>
      </w:r>
      <w:r>
        <w:rPr>
          <w:rFonts w:hint="eastAsia" w:ascii="方正仿宋_GBK" w:hAnsi="方正仿宋_GBK" w:eastAsia="方正仿宋_GBK" w:cs="方正仿宋_GBK"/>
          <w:color w:val="000000" w:themeColor="text1"/>
          <w:highlight w:val="none"/>
          <w14:textFill>
            <w14:solidFill>
              <w14:schemeClr w14:val="tx1"/>
            </w14:solidFill>
          </w14:textFill>
        </w:rPr>
        <w:t>实施技术标准战略，支持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行业龙头</w:t>
      </w:r>
      <w:r>
        <w:rPr>
          <w:rFonts w:hint="eastAsia" w:ascii="方正仿宋_GBK" w:hAnsi="方正仿宋_GBK" w:eastAsia="方正仿宋_GBK" w:cs="方正仿宋_GBK"/>
          <w:color w:val="000000" w:themeColor="text1"/>
          <w:highlight w:val="none"/>
          <w14:textFill>
            <w14:solidFill>
              <w14:schemeClr w14:val="tx1"/>
            </w14:solidFill>
          </w14:textFill>
        </w:rPr>
        <w:t>企业参与国家和行业标准制定。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加快综合性创新创业载体建设，依托高等学校、科研机构和创新型龙头企业，建设科技成果验证中心、中试基地、检验检测公共技术服务平台。力争到2030年，突破关键核心技术3项以上。</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强化质量标准品牌建设。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关键环节技术标准的制定与推广应用，引领产业标准整体升级。支持企业主导或参与国际标准、国家标准、行业标准制定修订，重点在有色金属新材料、农副食品加工、大数据硬件等领域建立先进标准体系，推动规模以上工业企业对标率达到100%。深入推进质量强区建设，加强全面质量管理，健全质量激励机制，推动产品、工程、服务质量全面提升。推动实施品牌提升行动，加强企业专利和品牌培育，完善“区域品牌+企业品牌+产品品牌”协同发展机制，孵化一批竞争力强、美誉度高的知名品牌。到2030年，力争新增主导或参与制修订国家、行业标准5项以上，培育省市级以上质量奖企业1家。</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培育壮大科技型企业群体。</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进一步强化企业科技创新主体地位，推动各类创新资源向企业集聚，强化为企业提供融资增信、科技成果转化、技术交易等综合性服务。紧紧围绕市工业产业“百千计划”</w:t>
      </w:r>
      <w:r>
        <w:rPr>
          <w:rStyle w:val="24"/>
          <w:rFonts w:hint="eastAsia" w:ascii="方正仿宋_GBK" w:hAnsi="方正仿宋_GBK" w:eastAsia="方正仿宋_GBK" w:cs="方正仿宋_GBK"/>
          <w:b w:val="0"/>
          <w:bCs w:val="0"/>
          <w:color w:val="000000" w:themeColor="text1"/>
          <w:spacing w:val="0"/>
          <w:kern w:val="2"/>
          <w:szCs w:val="24"/>
          <w:highlight w:val="none"/>
          <w:u w:val="none" w:color="auto"/>
          <w:shd w:val="clear" w:color="auto" w:fill="auto"/>
          <w:lang w:val="en-US" w:eastAsia="zh-CN" w:bidi="ar-SA"/>
          <w14:textFill>
            <w14:solidFill>
              <w14:schemeClr w14:val="tx1"/>
            </w14:solidFill>
          </w14:textFill>
        </w:rPr>
        <w:footnoteReference w:id="9"/>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，积极对标重点产业、重点企业，健全完善</w:t>
      </w:r>
      <w:r>
        <w:rPr>
          <w:rFonts w:hint="eastAsia" w:ascii="方正仿宋_GBK" w:hAnsi="方正仿宋_GBK" w:eastAsia="方正仿宋_GBK" w:cs="方正仿宋_GBK"/>
          <w:color w:val="000000" w:themeColor="text1"/>
          <w:kern w:val="21"/>
          <w:sz w:val="32"/>
          <w:szCs w:val="32"/>
          <w:highlight w:val="none"/>
          <w:u w:val="none" w:color="auto"/>
          <w:lang w:eastAsia="zh-CN"/>
          <w14:textFill>
            <w14:solidFill>
              <w14:schemeClr w14:val="tx1"/>
            </w14:solidFill>
          </w14:textFill>
        </w:rPr>
        <w:t>企业梯度培育体系，催生更多专精特新企业、单项冠军企业和链主企业，培育高成长的“瞪羚”企业、“独角兽”企业。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落实高新技术企业优惠政策，持续发展壮大高新技术企业规模，力争到2030年全区高新技术企业达到80家。引导规上企业加大研发投入，积极培育研发人员，提升规上企业研发中心覆盖率。</w:t>
      </w:r>
    </w:p>
    <w:p>
      <w:pPr>
        <w:rPr>
          <w:rFonts w:hint="eastAsia"/>
          <w:color w:val="000000" w:themeColor="text1"/>
          <w:highlight w:val="none"/>
          <w:lang w:val="en-US" w:eastAsia="zh-CN"/>
          <w14:textFill>
            <w14:solidFill>
              <w14:schemeClr w14:val="tx1"/>
            </w14:solidFill>
          </w14:textFill>
        </w:rPr>
      </w:pPr>
    </w:p>
    <w:p>
      <w:pPr>
        <w:pStyle w:val="4"/>
        <w:numPr>
          <w:ilvl w:val="0"/>
          <w:numId w:val="4"/>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24" w:name="_Toc1679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打造高水平创新人才队伍</w:t>
      </w:r>
      <w:bookmarkEnd w:id="24"/>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大力引进科技人才。</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人才强区建设，大力实施人才“聚星”和“培优”工程，围绕工业园区、主导产业和特色产业，推动产业创新人才集聚平台建设，支持重点优势产业自主开展创新人才队伍建设。深化柔性引才机制，充分运用“双百行动”</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10"/>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合作机制，持续推动反向飞地、人才驿站等人才引育服务平台提质增效，引导外地专家人才参与我区产业技术研发和科研成果转化。优化青年科技人才入库管理制度，支持青年科技人才技术攻关项目。探索政府搭台、市场引才模式，推行以项目聚人才、以人才带项目的精准引才机制，支持企业引进行业高层次科技人才和创新团队。</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健全科技人才培育体系</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kern w:val="2"/>
          <w:sz w:val="32"/>
          <w:szCs w:val="24"/>
          <w:highlight w:val="none"/>
          <w:u w:val="none" w:color="auto"/>
          <w:lang w:val="en-US" w:eastAsia="zh-CN"/>
          <w14:textFill>
            <w14:solidFill>
              <w14:schemeClr w14:val="tx1"/>
            </w14:solidFill>
          </w14:textFill>
        </w:rPr>
        <w:t>构建人才自主培养体系，围绕科技创新、产业发展和战略需求协同育人，依托区职业技术学校、市域教育资源针对性培育高技能人才、产业发展人才。</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产教融合，推动职业院校、本地企业与湾区高校、科研机构开展“订单式”联合培养，共建实训基地。推动现代农业产业全链条主要环节拆解，联动省职教城重点培养农产品销售、旅游线路推广、文旅活动策划、乡村品牌运营等复合型营销人才。建立本土优秀人才选拔机制，实施人才培育工程，系统推动专业技术和技能等级申报认定，打造结构合理、持续成长的人才梯队。</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加大人才扎根服务保障。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巩固完善清新“人才工作新十条”政策，优化提升人才服务水平。完善建立清新人才资源库，深化落实领导干部联系服务人才机制。优化人才驿站“1+8+N”人才服务体系</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11"/>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人才+”服务机制，通过服务专员、政策包、活动定制等，在产业发展、项目落地中联系人才、服务人才。深化实施“雁归计划”，持续推进省职教城等高校学生“走进清新”活动，引导青年大学生认识清新、扎根清新。</w:t>
      </w:r>
    </w:p>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lang w:val="en-US" w:eastAsia="zh-CN"/>
        </w:rPr>
      </w:pPr>
    </w:p>
    <w:p>
      <w:pPr>
        <w:pStyle w:val="4"/>
        <w:numPr>
          <w:ilvl w:val="0"/>
          <w:numId w:val="4"/>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25" w:name="_Toc1793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营造良好创新创业环境</w:t>
      </w:r>
      <w:bookmarkEnd w:id="25"/>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健全完善创新发展体制机制。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构建支持全面创新体制机制，完善区域科技创新体系。加大财政科技投入力度，完善科研管理体制，提升科技创新投入效能，确保经费更精准地投向重点领域和关键环节。统筹各类创新平台，加强创新资源统筹和力量组织，加强研发机构梯次培育，因地制宜布局与区域特色产业相匹配的科技资源。健全科技安全风险防范机制，加强科研诚信、科技监督建设，构建高效的科技管理和服务体系。</w:t>
      </w:r>
      <w:r>
        <w:rPr>
          <w:rFonts w:hint="eastAsia" w:ascii="方正仿宋_GBK" w:hAnsi="方正仿宋_GBK" w:eastAsia="方正仿宋_GBK" w:cs="方正仿宋_GBK"/>
          <w:color w:val="000000" w:themeColor="text1"/>
          <w:highlight w:val="none"/>
          <w14:textFill>
            <w14:solidFill>
              <w14:schemeClr w14:val="tx1"/>
            </w14:solidFill>
          </w14:textFill>
        </w:rPr>
        <w:t>开展高新技术企业、技术合同认定等相关科技培训，引导企业加大科研经费投入、重视技术合同认定</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加大政府采购自主创新产品力度。积极推进知识产权强区建设，促进知识产权的创造和运用，支持培育高质量专利。</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增强科技金融服务。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促进创新链和资金链深度融合，全面落实企业研发费用加计扣除税收政策和技改政策，加强科技型企业全生命周期金融服务，发展科技保险，优化科技金融产品，引导创业投资机构投早投小投硬科技。支持保险资金通过股权、债权、股债结合、基金等多种方式助力科技型企业发展。健全知识产权质押融资风险“政银企”共担机制，稳步提升知识产权创造、运用和保护能力。强化多层次资本市场对科技型企业的支持。发挥财政科技资金带动作用，构建“财政补助+创业投资+科技信贷”联动机制。</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激发社会创新活力。</w:t>
      </w:r>
      <w:r>
        <w:rPr>
          <w:rFonts w:hint="eastAsia" w:ascii="方正仿宋_GBK" w:hAnsi="方正仿宋_GBK" w:eastAsia="方正仿宋_GBK" w:cs="方正仿宋_GBK"/>
          <w:color w:val="000000" w:themeColor="text1"/>
          <w:highlight w:val="none"/>
          <w14:textFill>
            <w14:solidFill>
              <w14:schemeClr w14:val="tx1"/>
            </w14:solidFill>
          </w14:textFill>
        </w:rPr>
        <w:t>大力弘扬创新创业文化</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支持青年科技人才创新创业，</w:t>
      </w:r>
      <w:r>
        <w:rPr>
          <w:rFonts w:hint="eastAsia" w:ascii="方正仿宋_GBK" w:hAnsi="方正仿宋_GBK" w:eastAsia="方正仿宋_GBK" w:cs="方正仿宋_GBK"/>
          <w:color w:val="000000" w:themeColor="text1"/>
          <w:highlight w:val="none"/>
          <w14:textFill>
            <w14:solidFill>
              <w14:schemeClr w14:val="tx1"/>
            </w14:solidFill>
          </w14:textFill>
        </w:rPr>
        <w:t>加强重大科技创新成果、典型创新创业人才和创新型企业的宣传表彰奖励，进一步激发全社会创新创业活力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加强科普和公民科学素质建设，持续办好清新区青少年科技实践能力挑战赛、青少年科技创新大赛、校园科技节等创新创业活动赛事，丰富创新创业活动形式，营造</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浓厚崇尚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科技</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创新的社会氛围。弘扬科学家精神，</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加强科普信息化和科普人才队伍建设，建立各行业领域科普专家库，加强科普志愿者队伍建设。</w:t>
      </w:r>
      <w:bookmarkStart w:id="26" w:name="_Toc7043"/>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p>
    <w:p>
      <w:pPr>
        <w:shd w:val="clear"/>
        <w:bidi w:val="0"/>
        <w:rPr>
          <w:rFonts w:hint="eastAsia" w:ascii="方正黑体_GBK" w:hAnsi="方正黑体_GBK" w:eastAsia="方正黑体_GBK" w:cs="方正黑体_GBK"/>
          <w:color w:val="000000" w:themeColor="text1"/>
          <w:sz w:val="32"/>
          <w:szCs w:val="24"/>
          <w:highlight w:val="none"/>
          <w:lang w:val="en-US"/>
          <w14:textFill>
            <w14:solidFill>
              <w14:schemeClr w14:val="tx1"/>
            </w14:solidFill>
          </w14:textFill>
        </w:rPr>
      </w:pPr>
      <w:r>
        <w:rPr>
          <w:rFonts w:hint="eastAsia" w:ascii="方正黑体_GBK" w:hAnsi="方正黑体_GBK" w:eastAsia="方正黑体_GBK" w:cs="方正黑体_GBK"/>
          <w:color w:val="000000" w:themeColor="text1"/>
          <w:sz w:val="32"/>
          <w:szCs w:val="24"/>
          <w:highlight w:val="none"/>
          <w:lang w:val="en-US" w:eastAsia="zh-CN"/>
          <w14:textFill>
            <w14:solidFill>
              <w14:schemeClr w14:val="tx1"/>
            </w14:solidFill>
          </w14:textFill>
        </w:rPr>
        <w:t>第六章推动农文旅融合发展，打造粤港澳大湾区休闲旅游目的地</w:t>
      </w:r>
      <w:bookmarkEnd w:id="26"/>
    </w:p>
    <w:p>
      <w:pPr>
        <w:shd w:val="clear"/>
        <w:rPr>
          <w:rFonts w:hint="eastAsia"/>
          <w:color w:val="000000" w:themeColor="text1"/>
          <w:highlight w:val="none"/>
          <w:lang w:val="en-US" w:eastAsia="zh-CN"/>
          <w14:textFill>
            <w14:solidFill>
              <w14:schemeClr w14:val="tx1"/>
            </w14:solidFill>
          </w14:textFill>
        </w:rPr>
      </w:pPr>
    </w:p>
    <w:p>
      <w:pPr>
        <w:shd w:val="clea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以入选省全域农文旅融合发展试点为契机，深度整合漂流、温矿泉、特色生态农业等核心资源，加快构建“生态观光+康养度假+乡村体验+文化研学”多元化旅游产品体系，全力建设旅游强区、农业强区。</w:t>
      </w:r>
    </w:p>
    <w:p>
      <w:pPr>
        <w:rPr>
          <w:rFonts w:hint="eastAsia"/>
          <w:color w:val="000000" w:themeColor="text1"/>
          <w:highlight w:val="none"/>
          <w:lang w:val="en-US" w:eastAsia="zh-CN"/>
          <w14:textFill>
            <w14:solidFill>
              <w14:schemeClr w14:val="tx1"/>
            </w14:solidFill>
          </w14:textFill>
        </w:rPr>
      </w:pPr>
    </w:p>
    <w:p>
      <w:pPr>
        <w:pStyle w:val="4"/>
        <w:numPr>
          <w:ilvl w:val="-1"/>
          <w:numId w:val="0"/>
        </w:numPr>
        <w:shd w:val="clear"/>
        <w:bidi w:val="0"/>
        <w:ind w:left="0" w:leftChars="0" w:firstLine="0" w:firstLineChars="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27" w:name="_Toc24580"/>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建设旅游强区</w:t>
      </w:r>
      <w:bookmarkEnd w:id="27"/>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优化旅游发展空间布局</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kern w:val="2"/>
          <w:sz w:val="32"/>
          <w:szCs w:val="24"/>
          <w:highlight w:val="none"/>
          <w:u w:val="none"/>
          <w:lang w:val="en-US" w:eastAsia="zh-CN"/>
          <w14:textFill>
            <w14:solidFill>
              <w14:schemeClr w14:val="tx1"/>
            </w14:solidFill>
          </w14:textFill>
        </w:rPr>
        <w:t>做好“山、水、林、泉”文章，深入推进全域旅游建设，突出差异化协同发展。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探索农文旅融合发展新模式，加快打造“泉水、湖水、山水”三大集群，擦亮清新“水立方”品牌。深耕全季节全业态文旅产品，打造“半年漂流、半年温泉、全年民宿”精品线路，培育中宿文化、石坎陶艺、鳌头塔、政江塔等乡村体验、文化研学、艺术游览特色路线。强化营销推介，提升激情漂流、亲情温泉、户外运动等核心IP的竞争力。积极发展“文旅+百业”“百业+文旅”的融合业态，培育壮大旅游经营主体。到2030年全区年接待游客约570万人次，旅游收入约60亿元。</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专栏4：构建“双核双区三带”全域旅游格局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双核。</w:t>
            </w:r>
            <w:r>
              <w:rPr>
                <w:rFonts w:hint="eastAsia"/>
                <w:color w:val="000000" w:themeColor="text1"/>
                <w:highlight w:val="none"/>
                <w:lang w:val="en-US" w:eastAsia="zh-CN"/>
                <w14:textFill>
                  <w14:solidFill>
                    <w14:schemeClr w14:val="tx1"/>
                  </w14:solidFill>
                </w14:textFill>
              </w:rPr>
              <w:t>以古龙峡等漂流度假景区为核心的环笔架山休闲发展核、以温泉康养为依托的温泉康养发展核。</w:t>
            </w:r>
          </w:p>
          <w:p>
            <w:pPr>
              <w:pStyle w:val="29"/>
              <w:shd w:val="clear"/>
              <w:bidi w:val="0"/>
              <w:rPr>
                <w:rFonts w:hint="eastAsia"/>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双区。</w:t>
            </w:r>
            <w:r>
              <w:rPr>
                <w:rFonts w:hint="eastAsia"/>
                <w:color w:val="000000" w:themeColor="text1"/>
                <w:highlight w:val="none"/>
                <w:lang w:val="en-US" w:eastAsia="zh-CN"/>
                <w14:textFill>
                  <w14:solidFill>
                    <w14:schemeClr w14:val="tx1"/>
                  </w14:solidFill>
                </w14:textFill>
              </w:rPr>
              <w:t>以文创艺术为引领的环桃源文艺发展区、以文化活化和体旅融合为导向的中宿文体发展区。</w:t>
            </w:r>
          </w:p>
          <w:p>
            <w:pPr>
              <w:pStyle w:val="29"/>
              <w:shd w:val="clear"/>
              <w:bidi w:val="0"/>
              <w:rPr>
                <w:rFonts w:hint="default"/>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三带。</w:t>
            </w:r>
            <w:r>
              <w:rPr>
                <w:rFonts w:hint="eastAsia"/>
                <w:color w:val="000000" w:themeColor="text1"/>
                <w:highlight w:val="none"/>
                <w:lang w:val="en-US" w:eastAsia="zh-CN"/>
                <w14:textFill>
                  <w14:solidFill>
                    <w14:schemeClr w14:val="tx1"/>
                  </w14:solidFill>
                </w14:textFill>
              </w:rPr>
              <w:t>以温泉养生和山地旅居产业为主导的秦皇—天堂百里山带、以城市休闲和文化体验为主导的北江百里水带、以乡村旅游和农林旅游为主导的广清高速百里路带。</w:t>
            </w:r>
          </w:p>
        </w:tc>
      </w:tr>
    </w:tbl>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重点发展生态旅游。</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支持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古龙峡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景区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创建国家AAAAA级旅游景区、笔架山</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旅游区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创建国家AAAA级旅游景区，推动符合条件的旅游企业争创星级饭店、旅游度假区。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清新区旅游基础设施、笔架山森林公园旅游基础设施、清新温矿泉旅游基础设施、文旅补短板及集散服务区、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浸潭镇旅游补短板发展项目</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、古龙峡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景区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二期续建等旅游重点项目建设，完善生态旅游配套体系。强化区域联动与资源拓展，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积极推进北江水道文旅资源开发，</w:t>
      </w:r>
      <w:r>
        <w:rPr>
          <w:rFonts w:hint="eastAsia" w:ascii="方正仿宋_GBK" w:hAnsi="方正仿宋_GBK" w:eastAsia="方正仿宋_GBK" w:cs="方正仿宋_GBK"/>
          <w:color w:val="000000" w:themeColor="text1"/>
          <w:kern w:val="2"/>
          <w:sz w:val="32"/>
          <w:szCs w:val="24"/>
          <w:highlight w:val="none"/>
          <w:u w:val="none"/>
          <w:lang w:val="en-US" w:eastAsia="zh-CN"/>
          <w14:textFill>
            <w14:solidFill>
              <w14:schemeClr w14:val="tx1"/>
            </w14:solidFill>
          </w14:textFill>
        </w:rPr>
        <w:t>配合推进北江生态文化旅游经济带建设。</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加强与清远长隆项目的联动对接，</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主动</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承接客源辐射。讲好清新山川之美、文化之美、动感之美、健康之美，持续策划漂流文化旅游季、</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传统三人燕尾龙舟赛、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温泉季、民宿体验活动等系列活动，推动清新旅游全域全季出彩出圈。</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融合发展乡村旅游。</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推进环三坑温矿泉“温泉养生”、环笔架山“生态休闲”、环桃花湖“山水康养”三大民宿集群建设，加快推进畔山温矿泉公馆、禾熙同晟、远山温泉酒店、水禾田等民宿项目建设。积极推进典型村连线连片建设，推动串联景区景点、旅游文化特色村、精品民宿、农村农家乐等资源，打造一批乡村旅游精品线路。</w:t>
      </w:r>
      <w:r>
        <w:rPr>
          <w:rFonts w:hint="eastAsia" w:ascii="方正仿宋_GBK" w:hAnsi="方正仿宋_GBK" w:eastAsia="方正仿宋_GBK" w:cs="方正仿宋_GBK"/>
          <w:color w:val="000000" w:themeColor="text1"/>
          <w:highlight w:val="none"/>
          <w14:textFill>
            <w14:solidFill>
              <w14:schemeClr w14:val="tx1"/>
            </w14:solidFill>
          </w14:textFill>
        </w:rPr>
        <w:t>深化农业与文旅、餐饮产业联动，以“旅游+美食”模式拓宽农产品销售渠道，带动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乡村</w:t>
      </w:r>
      <w:r>
        <w:rPr>
          <w:rFonts w:hint="eastAsia" w:ascii="方正仿宋_GBK" w:hAnsi="方正仿宋_GBK" w:eastAsia="方正仿宋_GBK" w:cs="方正仿宋_GBK"/>
          <w:color w:val="000000" w:themeColor="text1"/>
          <w:highlight w:val="none"/>
          <w14:textFill>
            <w14:solidFill>
              <w14:schemeClr w14:val="tx1"/>
            </w14:solidFill>
          </w14:textFill>
        </w:rPr>
        <w:t>餐饮行业提质增效</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盘活利用升级存量设施，打造“小而美”“特而优”的乡村文旅项目和消费场景，让乡村成为宜居宜游的度假胜地。</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加快发展体育旅游。</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擦亮清远“中国漂流之乡”名片，推进古龙峡、笔架山等核心景区漂流河道安全设施升级与服务规范标准建设，积极申请承办全国或全省漂流赛事活动。推动开发“红色研学+体育健身”产品，以秦皇山革命遗址为核心，谋划建设1—2条红色徒步线路。完善公共体育设施场地建设，积极发展匹克球、腰旗橄榄球、桨板冲浪、乡村马拉松等时尚休闲体育活动。健全足球、篮球、排球发展体制机制，努力促进“三大球”振兴。借助三坑温泉度假区优势，推动打造“运动训练+温泉康养”综合体，吸引亲子家庭与运动爱好者。</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培育发展文化旅游。</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大文化遗产挖掘保护力度，传承弘扬红色文化，推动对历史文化文物及非物质文化遗产资源的活化利用。持续推进太平镇秦皇山红色文化研学实践基地、龙颈镇同心窑陶瓷制作研学基地、乡村记忆馆、笔架茶传承基地、敦睦学堂等文化新空间建设，打造更多具有人文底蕴特色的公共文化微地标。积极推动沙河鸟笼工艺、三人燕尾龙舟竞技等非物质文化遗产的保护传承发展。改进文艺创作生产服务、引导、组织工作机制，着力提高文化原创能力，打造更多具有清新地域特色的文化品牌、文创产品和旅游商品。探索“文化+”跨界融合模式，探索建设VR文博展馆，鼓励数字展馆、虚拟景区、沉浸式旅游演艺等新兴文化产业发展，打造综合性文化消费新场景。健全文化产业人才培育机制，构建文化科技创新服务体系。</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28" w:name="_Toc15268"/>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提升发展文化体育产业</w:t>
      </w:r>
      <w:bookmarkEnd w:id="28"/>
    </w:p>
    <w:p>
      <w:pPr>
        <w:shd w:val="clear"/>
        <w:bidi w:val="0"/>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推进社会文明建设。</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以社会主义核心价值观引领文化建设，发挥文化养心志、育情操的作用，持续涵养向上向善、刚健朴实的文化。健全用党的创新理论武装头脑、教育人民、指导实践工作机制，持续擦亮“清新飞燕·为理而来”基层理论宣讲品牌，坚持不懈用习近平新时代中国特色社会主义思想凝心铸魂。持续巩固壮大主流思想舆论，深化主流媒体系统性变革，实施“媒体+”战略行动，积极推动市县媒体发展共同体建设，重塑媒体发展新生态，牢牢掌握意识形态工作领导权。加强思想政治工作，推动理想信念教育常态化制度化。深入实施公民道德建设工程，充分发挥文明城市建设和新时代文明实践阵地建设的引领作用，持续提升城乡精神文明建设水平。加强网络内容建设和管理，加强未成年人网络保护，培育良好网络文明生态。</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繁荣发展人文经济。</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积极推进新闻出版、广播影视、文学艺术、哲学社会科学事业，提升公共文化服务水平。坚持以人民为中心的创作导向，</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鼓励文化文艺创作者围绕本土风情进行文艺精品培育创作</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，打造更多反映新时代新气象的精品力作。</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健全文化遗产保护传承体系，深入实施岭南文化“双创”工程和早期岭南探源工程，加强不可移动文物保护和挖掘工作，持续做好鳌头塔、政江塔、陈可钰故居等文物保护修缮工作。</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塑造彰显文化底蕴和独特气质的城市精神，讲好新时代“清新故事”。坚持文化惠民，完善城乡一体、分级分层分类的公共文化服务体系，补齐图书馆、文化馆、博物馆等公共文化设施短板，推进镇级综合文化站提档升级、村级综合性文化服务中心提质增效，推动优质文化资源直达基层。</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推进公共文化机构数字化建设，促进文化信息资源共享。</w:t>
      </w:r>
      <w:r>
        <w:rPr>
          <w:rFonts w:hint="eastAsia" w:ascii="方正仿宋_GBK" w:hAnsi="方正仿宋_GBK" w:eastAsia="方正仿宋_GBK" w:cs="方正仿宋_GBK"/>
          <w:b w:val="0"/>
          <w:bCs w:val="0"/>
          <w:color w:val="000000" w:themeColor="text1"/>
          <w:highlight w:val="none"/>
          <w14:textFill>
            <w14:solidFill>
              <w14:schemeClr w14:val="tx1"/>
            </w14:solidFill>
          </w14:textFill>
        </w:rPr>
        <w:t>广泛开展群众性文化活动，繁荣互联网条件下新大众文艺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。推进书香清新建设，持续完善公共阅读设施，深化全民阅读推广，到2030年，全民阅读的综合参与率达到90%以上。</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大力发展体育经济。</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落实清远体育产业跃升行动，大力发展漂流、登高等户外运动，建设高质量户外运动目的地。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公共体育服务惠民提升计划，完善公共体育场馆设施建设，加快推进体育场、游泳馆和全民健身中心建设，推进村居体育设施更新提升，构建城乡“15分钟健身圈”。推进举办迎春欢乐跑、“村BA”篮球赛、三人燕尾龙舟赛等群众性体育活动，积极开展公益性体育活动、培训与服务。提高公共体育设施开放服务能力，鼓励机关、学校、企业等单位内部的文化体育设施向公众开放。支持建设竞技性体育场地设施，加强青少年体育后备人才培养交流，打造高水平体育后备人才基地。持续深化后备人才培养体系，畅通青少年运动员成长路径。招引培育知名品牌、龙头企业，扩大优质体育产品和服务供给。</w:t>
      </w:r>
    </w:p>
    <w:p>
      <w:pPr>
        <w:rPr>
          <w:rFonts w:hint="default"/>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29" w:name="_Toc1615"/>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打造广东北部优质农产品生产基地</w:t>
      </w:r>
      <w:bookmarkEnd w:id="29"/>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发展壮大特色农业产业。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持续推进清新丝苗米生产种植</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扩大育秧中心服务覆盖范围，提升稻田规模化机械化集约化水平，到2030年，全区19香、南晶香粘等主导品种种植面积超26万亩，机械化种植面积超80%，创建丝苗米品牌10个以上。扩大澳洲坚果、沃柑、山苏、西洋菜等特色果蔬种植规模，推广良种、良法标准化生产技术。稳定现有水果品种基础上，充分利用生态气候水土优势，推进种植品种结构调整优化，推广种植澳洲坚果、脆蜜金柑等。扶优做强清远鸡、桂花鱼等特色畜禽水产产业，推动生态养殖标准化、规模化。推进“蒲坑茶”品牌建设，引导乌鬃鹅、麻竹笋、食用菌等特色农产品生产主体加入“清远好风土”区域公用品牌体系。</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拓展延伸农业全产业链。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农业产业集群培育行动，完善省级现代农业产业园设施配套，培育清远鸡、桂花鱼、丝苗米、南药等四大产业集群，到2030年，清远鸡产业集群产值突破40亿元、桂花鱼产业集群产值突破40亿元。大力发展现代设施农业，因地制宜扩大重点区域连片规模化、标准化、绿色化生产。积极发展农产品精深加工，着力提高加工能力和水平。推进农业一二三产融合，培育发展现代精品农业、农村电商、乡村旅游融合产业链，促进农业与旅游、教育、文化、健康养老等产业功能互补和深度融合，开发、拓展和提升农业的科技教育、文化传承和生态环保等附加功能，加快形成乡村经济新业态新模式。鼓励发展农业生产租赁业务，探索众筹、定制等农业新业态。扶持建设大学生乡村振兴创业销售平台，支持大学生回乡自主创业奋斗。</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专栏5：清新农业四大产业集群培育行动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清远鸡。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清远鸡产业育种、养殖、加工、公共服务、预制菜研发、品牌营销、冷链物流、农旅融合等纵向一体和横向互补的全链条发展。到2030年，实现年出栏量达4000万只，总产值突破40亿元，成为清远百亿级产业集群的重要组成部分。</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桂花鱼。</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巩固并提升广东省桂花鱼三大主产区地位，以“品种培优、品质提升、品牌打造”为主线，构建“苗种繁育标准化、养殖模式生态化、加工链条精细化、流通体系现代化、品牌营销高端化”的全产业链发展格局。深化与科研院所合作，优化桂花鱼苗种选育技术，推广绿色生态养殖模式；完善清新桂花鱼质量数字化品控体系，实现养殖、加工、流通全环节溯源管理；做强“清新桂花鱼”地理标志品牌，拓展预制菜、冷链鲜品等精深加工品类，畅通大湾区市场销售渠道。到2030年，全区桂花鱼年产量力争突破2.6万吨，全产业链产值达到40亿元。</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丝苗米。</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依托清远丝苗米跨县集群产业园建设，构建完善丝苗米“育种—种植—加工—品牌—销售”全产业链。推进山塘镇清远丝苗米“总部”基地建设，联动现有多家主营丝苗米龙头（集团）企业的一二三产业融合发展基地，打造成为清远丝苗米全产业链的核心展示区。到2030年，实现全区丝苗米产量、产值双增长。</w:t>
            </w:r>
          </w:p>
          <w:p>
            <w:pPr>
              <w:pStyle w:val="29"/>
              <w:shd w:val="clear"/>
              <w:bidi w:val="0"/>
              <w:rPr>
                <w:rFonts w:hint="default"/>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南药。</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扩大南药种植规模，重点发展岗梅、千里香、巴戟天、五指毛桃等道地药材。布局发展现代中药与原辅料产业，打造从原料药、中药材到药品的全产业链，扶持一批南药药材种植（养殖）企业和种子种苗企业，建设一批中药材良种选育繁育基地、GAP 种植（养殖）基地和南药种植基地。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推动南药一二三产业融合发展，到2030年，全区南药种植面积、产值稳步提升。</w:t>
            </w:r>
          </w:p>
        </w:tc>
      </w:tr>
    </w:tbl>
    <w:p>
      <w:pPr>
        <w:shd w:val="clear"/>
        <w:bidi w:val="0"/>
        <w:ind w:firstLine="643"/>
        <w:rPr>
          <w:rFonts w:hint="eastAsia"/>
          <w:b/>
          <w:bCs/>
          <w:color w:val="000000" w:themeColor="text1"/>
          <w:highlight w:val="none"/>
          <w:lang w:val="en-US" w:eastAsia="zh-CN"/>
          <w14:textFill>
            <w14:solidFill>
              <w14:schemeClr w14:val="tx1"/>
            </w14:solidFill>
          </w14:textFill>
        </w:rPr>
      </w:pP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培育壮大新型农业经营主体。</w:t>
      </w:r>
      <w:r>
        <w:rPr>
          <w:rFonts w:hint="eastAsia" w:ascii="方正仿宋_GBK" w:hAnsi="方正仿宋_GBK" w:eastAsia="方正仿宋_GBK" w:cs="方正仿宋_GBK"/>
          <w:color w:val="000000" w:themeColor="text1"/>
          <w:kern w:val="21"/>
          <w:sz w:val="32"/>
          <w:szCs w:val="32"/>
          <w:highlight w:val="none"/>
          <w:u w:val="none" w:color="auto"/>
          <w:lang w:val="en-US" w:eastAsia="zh-CN"/>
          <w14:textFill>
            <w14:solidFill>
              <w14:schemeClr w14:val="tx1"/>
            </w14:solidFill>
          </w14:textFill>
        </w:rPr>
        <w:t>深入实施农业龙头企业培优工程</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着力培育壮大一批起点高、规模大、带动力强、成长潜力大的农业龙头企业。深化供销合作社综合改革，完善农业托管、农技服务、农产品物流服务体系。大力发展农村集体经济，着力提高农业生产经营组织化程度，做好强村公司、农民专业合作社、家庭农场等新型农业经营主体和各类农业社会化服务组织机构培育。力争到2030年，新增省级重点农业龙头企业3家、市级重点农业龙头企业5家、区级重点农业龙头企业15家；引导新成立农民专业合作社50个、新增家庭农场100个。</w:t>
      </w:r>
      <w:bookmarkStart w:id="30" w:name="_Toc17114"/>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p>
    <w:p>
      <w:pPr>
        <w:shd w:val="clear"/>
        <w:bidi w:val="0"/>
        <w:ind w:firstLine="643"/>
        <w:rPr>
          <w:rFonts w:hint="eastAsia" w:ascii="方正黑体_GBK" w:hAnsi="方正黑体_GBK" w:eastAsia="方正黑体_GBK" w:cs="方正黑体_GBK"/>
          <w:color w:val="000000" w:themeColor="text1"/>
          <w:highlight w:val="none"/>
          <w:lang w:val="en-US"/>
          <w14:textFill>
            <w14:solidFill>
              <w14:schemeClr w14:val="tx1"/>
            </w14:solidFill>
          </w14:textFill>
        </w:rPr>
      </w:pP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第七章  坚持扩大内需战略，主动服务和融入新发展格局</w:t>
      </w:r>
      <w:bookmarkEnd w:id="30"/>
    </w:p>
    <w:p>
      <w:pPr>
        <w:pageBreakBefore w:val="0"/>
        <w:widowControl/>
        <w:shd w:val="clear"/>
        <w:kinsoku/>
        <w:wordWrap/>
        <w:overflowPunct/>
        <w:topLinePunct w:val="0"/>
        <w:autoSpaceDE/>
        <w:autoSpaceDN/>
        <w:bidi w:val="0"/>
        <w:adjustRightInd/>
        <w:snapToGrid/>
        <w:spacing w:line="240" w:lineRule="auto"/>
        <w:ind w:firstLine="0"/>
        <w:jc w:val="left"/>
        <w:textAlignment w:val="auto"/>
        <w:rPr>
          <w:rFonts w:hint="eastAsia"/>
          <w:color w:val="000000" w:themeColor="text1"/>
          <w:highlight w:val="none"/>
          <w:lang w:val="en-US" w:eastAsia="zh-CN"/>
          <w14:textFill>
            <w14:solidFill>
              <w14:schemeClr w14:val="tx1"/>
            </w14:solidFill>
          </w14:textFill>
        </w:rPr>
      </w:pPr>
    </w:p>
    <w:p>
      <w:pPr>
        <w:pageBreakBefore w:val="0"/>
        <w:widowControl w:val="0"/>
        <w:shd w:val="clear"/>
        <w:kinsoku/>
        <w:wordWrap/>
        <w:overflowPunct/>
        <w:topLinePunct w:val="0"/>
        <w:autoSpaceDE/>
        <w:autoSpaceDN/>
        <w:bidi w:val="0"/>
        <w:adjustRightInd/>
        <w:snapToGrid/>
        <w:spacing w:line="620" w:lineRule="exact"/>
        <w:ind w:firstLine="640"/>
        <w:jc w:val="left"/>
        <w:textAlignment w:val="auto"/>
        <w:rPr>
          <w:rFonts w:hint="eastAsia"/>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坚持惠民生和促消费、投资于物和投资于人紧密结合，</w:t>
      </w:r>
      <w:r>
        <w:rPr>
          <w:rFonts w:hint="eastAsia" w:ascii="Times New Roman" w:hAnsi="Times New Roman"/>
          <w:color w:val="000000" w:themeColor="text1"/>
          <w:highlight w:val="none"/>
          <w:lang w:val="en-US" w:eastAsia="zh-CN"/>
          <w14:textFill>
            <w14:solidFill>
              <w14:schemeClr w14:val="tx1"/>
            </w14:solidFill>
          </w14:textFill>
        </w:rPr>
        <w:t>统筹扩大内需和深化供给侧结构性改革，</w:t>
      </w:r>
      <w:r>
        <w:rPr>
          <w:rFonts w:hint="eastAsia" w:ascii="Times New Roman" w:hAnsi="Times New Roman" w:cs="Times New Roman"/>
          <w:color w:val="000000" w:themeColor="text1"/>
          <w:highlight w:val="none"/>
          <w:lang w:val="en-US" w:eastAsia="zh-CN"/>
          <w14:textFill>
            <w14:solidFill>
              <w14:schemeClr w14:val="tx1"/>
            </w14:solidFill>
          </w14:textFill>
        </w:rPr>
        <w:t>加快融入全国统一大市场，促进消费和投资、供给和需求良性互动</w:t>
      </w:r>
      <w:r>
        <w:rPr>
          <w:rFonts w:hint="eastAsia"/>
          <w:color w:val="000000" w:themeColor="text1"/>
          <w:highlight w:val="none"/>
          <w:lang w:val="en-US" w:eastAsia="zh-CN"/>
          <w14:textFill>
            <w14:solidFill>
              <w14:schemeClr w14:val="tx1"/>
            </w14:solidFill>
          </w14:textFill>
        </w:rPr>
        <w:t>。</w:t>
      </w:r>
    </w:p>
    <w:p>
      <w:pPr>
        <w:rPr>
          <w:rFonts w:hint="default"/>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31" w:name="_Toc22531"/>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促进消费扩容升级</w:t>
      </w:r>
      <w:bookmarkEnd w:id="31"/>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持续提升传统消费</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完善扩大消费长效机制，</w:t>
      </w:r>
      <w:r>
        <w:rPr>
          <w:rFonts w:hint="eastAsia" w:ascii="方正仿宋_GBK" w:hAnsi="方正仿宋_GBK" w:eastAsia="方正仿宋_GBK" w:cs="方正仿宋_GBK"/>
          <w:color w:val="000000" w:themeColor="text1"/>
          <w:kern w:val="2"/>
          <w:sz w:val="32"/>
          <w:szCs w:val="24"/>
          <w:highlight w:val="none"/>
          <w:u w:val="none"/>
          <w:lang w:val="en-US" w:eastAsia="zh-CN"/>
          <w14:textFill>
            <w14:solidFill>
              <w14:schemeClr w14:val="tx1"/>
            </w14:solidFill>
          </w14:textFill>
        </w:rPr>
        <w:t>实施提振消费专项行动，</w:t>
      </w:r>
      <w:r>
        <w:rPr>
          <w:rFonts w:hint="eastAsia" w:ascii="方正仿宋_GBK" w:hAnsi="方正仿宋_GBK" w:eastAsia="方正仿宋_GBK" w:cs="方正仿宋_GBK"/>
          <w:color w:val="000000" w:themeColor="text1"/>
          <w:kern w:val="2"/>
          <w:szCs w:val="24"/>
          <w:highlight w:val="none"/>
          <w:u w:val="none"/>
          <w14:textFill>
            <w14:solidFill>
              <w14:schemeClr w14:val="tx1"/>
            </w14:solidFill>
          </w14:textFill>
        </w:rPr>
        <w:t>引导企业开展系列促消费活动，增加优质产品和服务的有效供给</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健全完善促进住房消费政策，增加改善型住房供给，支持城乡居民多样化改善性住房需求。继续完善“一刻钟便民生活圈”建设，鼓励发展社区嵌入式托育、养老、家政、维修、餐饮等生活性服务业</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开拓城乡消费市场，推动建设高品质消费集聚区，加快推进太和商圈、清新产业园（太平）商圈建设，提升改造商贸中心、步行街、农贸市场，支持商超、连锁商贸流通企业等向镇村下沉。立足温泉、漂流、乡村酒店（民宿）等资源，打造文旅融合消费新场景。强化消费品牌引领，擦亮清新“老字号”。</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eastAsia"/>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专栏6：建设高品质消费集聚区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提质建设太和商圈。</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在空间改造维度，推进星光大道、清新步行街品质提升，打造太和镇商业综合体，加强城西区域商业覆盖。实施现有停车空间改造升级并完善标识标线引导，构建便捷舒适的商业空间;在特色培育维度，围绕美林广场、中恒广场打造“购物+美食”双核心夜生活集聚地，塑造兼具地方辨识度与消费吸引力的商圈品牌。</w:t>
            </w:r>
          </w:p>
          <w:p>
            <w:pPr>
              <w:pStyle w:val="29"/>
              <w:shd w:val="clear"/>
              <w:bidi w:val="0"/>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加快建设清新产业园（太平）商圈。</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太平路沿街风貌整治提升，同步推进清西三鸟市场、太平综合市场、北闸市场等批发市场空间改造升级。沿太平路打造以“大排档”美食体验为主的夜间经济商业休闲轴，挖掘地方美食文化特色，塑造兼具烟火气与吸引力的夜间消费品牌。</w:t>
            </w:r>
          </w:p>
        </w:tc>
      </w:tr>
    </w:tbl>
    <w:p>
      <w:pPr>
        <w:shd w:val="clear"/>
        <w:bidi w:val="0"/>
        <w:rPr>
          <w:rFonts w:hint="eastAsia"/>
          <w:b/>
          <w:bCs/>
          <w:color w:val="000000" w:themeColor="text1"/>
          <w:highlight w:val="none"/>
          <w14:textFill>
            <w14:solidFill>
              <w14:schemeClr w14:val="tx1"/>
            </w14:solidFill>
          </w14:textFill>
        </w:rPr>
      </w:pP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培育壮大新型消费</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培育壮大新兴消费，抢抓数字消费、健康消费、国货“潮品”、电子竞技、银发经济等消费新增长点，大力发展直播电商、低空经济、首发经济、夜经济等新业态。加快AI大模型、虚拟现实、全息互联网、数字孪生等新技术应用赋能，打造一批数实融合场景。支持即时电商平台企业联合社区、商圈等构筑数字生活服务生态。支持直播电商平台创新虚拟主播、3D直播间等带货模式。大力推进“人工智能+消费”，推动自动驾驶、智能穿戴、超高清视频、脑机接口、增材制造等新技术新产品开发与应用推广，加快人工智能在养老服务、教育培训、健康医疗、旅游住宿、政务办公、家装家居以及购物支付等典型场景的应用。支持有条件的地区开展低空消费应用场景，培育低空经济消费新增长点。开展健康消费专项行动，完善远程医疗服务体系，提升“互联网+医疗健康”便民惠民服务水平。</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持续优化消费环境。</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加大直达消费者的普惠性政策力度，加强消费者权益保护。</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开展消费领域“信用+”工程，健全重点领域失信联合惩戒机制。加强消费纠纷排查化解，扎实推进在线消费纠纷解决机制建设，健全消费争议多元化解机制。纠正网络销售、直播带货领域“全网最低价”等不合理经营行为，倡导实价优质。严厉打击售卖假冒伪劣产品行为，依法查处价格欺诈、虚假宣传、不按规定明码标价等违法违规行为。完善重点产品质量追溯机制，加强缺陷产品召回监管。规范广播电视领域订阅、收费等行为，深化电视“套娃”收费、诱导收费和操作复杂治理。引导大众消费场所规范摄像头设置，加强消费者人脸、支付、行迹等隐私信息的保护。</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32" w:name="_Toc585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精准扩大有效投资</w:t>
      </w:r>
      <w:bookmarkEnd w:id="32"/>
    </w:p>
    <w:p>
      <w:pPr>
        <w:shd w:val="clear"/>
        <w:bidi w:val="0"/>
        <w:ind w:firstLine="643"/>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优化</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政府</w:t>
      </w:r>
      <w:r>
        <w:rPr>
          <w:rFonts w:hint="eastAsia" w:ascii="方正仿宋_GBK" w:hAnsi="方正仿宋_GBK" w:eastAsia="方正仿宋_GBK" w:cs="方正仿宋_GBK"/>
          <w:b/>
          <w:bCs/>
          <w:color w:val="000000" w:themeColor="text1"/>
          <w:highlight w:val="none"/>
          <w14:textFill>
            <w14:solidFill>
              <w14:schemeClr w14:val="tx1"/>
            </w14:solidFill>
          </w14:textFill>
        </w:rPr>
        <w:t>投资结构</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注重投新、投缺、投基础、投长远，保持合理投资强度，提高投资效益。</w:t>
      </w:r>
      <w:r>
        <w:rPr>
          <w:rFonts w:hint="eastAsia" w:ascii="方正仿宋_GBK" w:hAnsi="方正仿宋_GBK" w:eastAsia="方正仿宋_GBK" w:cs="方正仿宋_GBK"/>
          <w:color w:val="000000" w:themeColor="text1"/>
          <w:highlight w:val="none"/>
          <w14:textFill>
            <w14:solidFill>
              <w14:schemeClr w14:val="tx1"/>
            </w14:solidFill>
          </w14:textFill>
        </w:rPr>
        <w:t>聚焦</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重点</w:t>
      </w:r>
      <w:r>
        <w:rPr>
          <w:rFonts w:hint="eastAsia" w:ascii="方正仿宋_GBK" w:hAnsi="方正仿宋_GBK" w:eastAsia="方正仿宋_GBK" w:cs="方正仿宋_GBK"/>
          <w:color w:val="000000" w:themeColor="text1"/>
          <w:highlight w:val="none"/>
          <w14:textFill>
            <w14:solidFill>
              <w14:schemeClr w14:val="tx1"/>
            </w14:solidFill>
          </w14:textFill>
        </w:rPr>
        <w:t>产业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园区平台</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科技创新发展、城乡</w:t>
      </w:r>
      <w:r>
        <w:rPr>
          <w:rFonts w:hint="eastAsia" w:ascii="方正仿宋_GBK" w:hAnsi="方正仿宋_GBK" w:eastAsia="方正仿宋_GBK" w:cs="方正仿宋_GBK"/>
          <w:color w:val="000000" w:themeColor="text1"/>
          <w:highlight w:val="none"/>
          <w14:textFill>
            <w14:solidFill>
              <w14:schemeClr w14:val="tx1"/>
            </w14:solidFill>
          </w14:textFill>
        </w:rPr>
        <w:t>基础设施、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农业农村现代化发展</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民生服务</w:t>
      </w:r>
      <w:r>
        <w:rPr>
          <w:rFonts w:hint="eastAsia" w:ascii="方正仿宋_GBK" w:hAnsi="方正仿宋_GBK" w:eastAsia="方正仿宋_GBK" w:cs="方正仿宋_GBK"/>
          <w:color w:val="000000" w:themeColor="text1"/>
          <w:highlight w:val="none"/>
          <w14:textFill>
            <w14:solidFill>
              <w14:schemeClr w14:val="tx1"/>
            </w14:solidFill>
          </w14:textFill>
        </w:rPr>
        <w:t>等重点领域，规划建设一批标志性重大项目</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。加快省、市、区重点项目建设，补齐基础设施、市政工程、农业农村、公共安全、生态环保、公共卫生、防灾减灾、民生保障等领域短板。</w:t>
      </w:r>
      <w:r>
        <w:rPr>
          <w:rFonts w:hint="eastAsia" w:ascii="方正仿宋_GBK" w:hAnsi="方正仿宋_GBK" w:eastAsia="方正仿宋_GBK" w:cs="方正仿宋_GBK"/>
          <w:color w:val="000000" w:themeColor="text1"/>
          <w:highlight w:val="none"/>
          <w14:textFill>
            <w14:solidFill>
              <w14:schemeClr w14:val="tx1"/>
            </w14:solidFill>
          </w14:textFill>
        </w:rPr>
        <w:t>优化提升公共服务设施能力水平</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提高民生类政府投资比重。加强人力资源开发和人的全面发展投资</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。加强政府投资全过程管理，深化投资审批制度改革</w:t>
      </w:r>
      <w:r>
        <w:rPr>
          <w:rFonts w:hint="eastAsia" w:ascii="方正仿宋_GBK" w:hAnsi="方正仿宋_GBK" w:eastAsia="方正仿宋_GBK" w:cs="方正仿宋_GBK"/>
          <w:color w:val="000000" w:themeColor="text1"/>
          <w:highlight w:val="none"/>
          <w14:textFill>
            <w14:solidFill>
              <w14:schemeClr w14:val="tx1"/>
            </w14:solidFill>
          </w14:textFill>
        </w:rPr>
        <w:t>。</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推进工业投资提质增效</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推动企业设备更新和技术改造，扩大战略性新兴产业投资</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综合运用产业链招商、应用场景招商、科技研发招商、投资联动招商等多种模式，借助各类招商活动、展会等平台契机招新引新，</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聚集一批企业项目落地布局。</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落实推进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制造业“三新”</w:t>
      </w:r>
      <w:r>
        <w:rPr>
          <w:rStyle w:val="24"/>
          <w:rFonts w:hint="eastAsia" w:ascii="方正仿宋_GBK" w:hAnsi="方正仿宋_GBK" w:eastAsia="方正仿宋_GBK" w:cs="方正仿宋_GBK"/>
          <w:color w:val="000000" w:themeColor="text1"/>
          <w:highlight w:val="none"/>
          <w:lang w:eastAsia="zh-CN"/>
          <w14:textFill>
            <w14:solidFill>
              <w14:schemeClr w14:val="tx1"/>
            </w14:solidFill>
          </w14:textFill>
        </w:rPr>
        <w:footnoteReference w:id="12"/>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项目攻坚行动，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建立攻坚项目库，聚焦新赛道项目强化储备攻坚，对具有支撑性、标志性的项目“一对一”加强跟踪服务。</w:t>
      </w:r>
      <w:r>
        <w:rPr>
          <w:rFonts w:hint="eastAsia" w:ascii="方正仿宋_GBK" w:hAnsi="方正仿宋_GBK" w:eastAsia="方正仿宋_GBK" w:cs="方正仿宋_GBK"/>
          <w:color w:val="000000" w:themeColor="text1"/>
          <w:highlight w:val="none"/>
          <w14:textFill>
            <w14:solidFill>
              <w14:schemeClr w14:val="tx1"/>
            </w14:solidFill>
          </w14:textFill>
        </w:rPr>
        <w:t>优化企业项目全周期跟踪服务机制，对50亿元以上重大项目建立首谈首报机制。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强化</w:t>
      </w:r>
      <w:r>
        <w:rPr>
          <w:rFonts w:hint="eastAsia" w:ascii="方正仿宋_GBK" w:hAnsi="方正仿宋_GBK" w:eastAsia="方正仿宋_GBK" w:cs="方正仿宋_GBK"/>
          <w:color w:val="000000" w:themeColor="text1"/>
          <w:highlight w:val="none"/>
          <w14:textFill>
            <w14:solidFill>
              <w14:schemeClr w14:val="tx1"/>
            </w14:solidFill>
          </w14:textFill>
        </w:rPr>
        <w:t>财政、金融、土地等</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要素</w:t>
      </w:r>
      <w:r>
        <w:rPr>
          <w:rFonts w:hint="eastAsia" w:ascii="方正仿宋_GBK" w:hAnsi="方正仿宋_GBK" w:eastAsia="方正仿宋_GBK" w:cs="方正仿宋_GBK"/>
          <w:color w:val="000000" w:themeColor="text1"/>
          <w:highlight w:val="none"/>
          <w14:textFill>
            <w14:solidFill>
              <w14:schemeClr w14:val="tx1"/>
            </w14:solidFill>
          </w14:textFill>
        </w:rPr>
        <w:t>保障</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 w:eastAsia="zh-CN"/>
          <w14:textFill>
            <w14:solidFill>
              <w14:schemeClr w14:val="tx1"/>
            </w14:solidFill>
          </w14:textFill>
        </w:rPr>
        <w:t>推动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重点</w:t>
      </w:r>
      <w:r>
        <w:rPr>
          <w:rFonts w:hint="eastAsia" w:ascii="方正仿宋_GBK" w:hAnsi="方正仿宋_GBK" w:eastAsia="方正仿宋_GBK" w:cs="方正仿宋_GBK"/>
          <w:color w:val="000000" w:themeColor="text1"/>
          <w:highlight w:val="none"/>
          <w:lang w:val="en" w:eastAsia="zh-CN"/>
          <w14:textFill>
            <w14:solidFill>
              <w14:schemeClr w14:val="tx1"/>
            </w14:solidFill>
          </w14:textFill>
        </w:rPr>
        <w:t>项目快开工、快建设、快投产、</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快达产，形成更多投资实物量。</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推动民间投资</w:t>
      </w:r>
      <w:r>
        <w:rPr>
          <w:rFonts w:hint="eastAsia" w:ascii="方正仿宋_GBK" w:hAnsi="方正仿宋_GBK" w:eastAsia="方正仿宋_GBK" w:cs="方正仿宋_GBK"/>
          <w:b/>
          <w:bCs/>
          <w:color w:val="000000" w:themeColor="text1"/>
          <w:highlight w:val="none"/>
          <w14:textFill>
            <w14:solidFill>
              <w14:schemeClr w14:val="tx1"/>
            </w14:solidFill>
          </w14:textFill>
        </w:rPr>
        <w:t>平稳</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增长。</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发挥政府投资引领撬动作用，健全民营企业参与基础设施、新质生产力、乡村振兴等重大项目建设长效机制，提高民间投资比重。完善激发社会资本投资活力和促进投资落地机制，规范谋划实施政府和社会资本合作（PPP）项目，引导社会资本参与重大基础设施项目建设。加大对民间投资支持力度，拓宽民间投资渠道。建立全国重点民间投资项目库，加强重点民间投资项目的融资保障和要素保障。鼓励民间投资项目发行基础设施领域不动产投资信托基金（REITs），促进资产类型多样化。</w:t>
      </w:r>
    </w:p>
    <w:p>
      <w:pPr>
        <w:rPr>
          <w:rFonts w:hint="default"/>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33" w:name="_Toc815"/>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加快融入全国统一大市场</w:t>
      </w:r>
      <w:bookmarkEnd w:id="33"/>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推进市场准入退出便利化规范化。</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全面落实市场准入负面清单制度，开展市场准入效能评估，构建开放透明、规范有序、平等竞争、权责清晰、监管有力的市场准入制度体系。</w:t>
      </w:r>
      <w:r>
        <w:rPr>
          <w:rFonts w:hint="eastAsia" w:ascii="方正仿宋_GBK" w:hAnsi="方正仿宋_GBK" w:eastAsia="方正仿宋_GBK" w:cs="方正仿宋_GBK"/>
          <w:color w:val="000000" w:themeColor="text1"/>
          <w:highlight w:val="none"/>
          <w14:textFill>
            <w14:solidFill>
              <w14:schemeClr w14:val="tx1"/>
            </w14:solidFill>
          </w14:textFill>
        </w:rPr>
        <w:t>加力实施住所自主申报承诺制以及</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一照多址</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一址多照</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改革，便利企业扩大经营规模。加强部门间信息共享及业务协同，推行企业注销</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一件事一次办</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，简化注销流程，降低退出成本。健全企业破产机制，探索建立个人破产制度。</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优化市场经营环境。</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维护公平竞争秩序，健全社会信用体系，创新监管模式，为企业发展壮大厚植土壤。规范政府经济促进行为，坚持对各类经营主体一视同仁、平等对待，坚决消除要素获取、资质认定、招标投标、政府采购等方面壁垒，破除地方保护和市场分割。强化公平竞争审查制度刚性约束，完善公平竞争审查举报受理回应、审查抽查和重大政策措施公平竞争审查会审机制。完善信用清新建设，建设覆盖全社会的信用系统，健全信用奖惩、信用修复、异议申诉等机制，提升市场主体诚信水平。完善以信用信息为基础的普惠融资金融体系，解决中小微企业融资难题。严格规范涉企行政检查，推行“亮码入企”工作机制，不断提升执法效能。探索新型监管方式，为新技术、新产业、新业态、新模式留足发展空间。</w:t>
      </w:r>
    </w:p>
    <w:p>
      <w:pPr>
        <w:shd w:val="clear"/>
        <w:bidi w:val="0"/>
        <w:ind w:firstLine="642" w:firstLineChars="200"/>
        <w:rPr>
          <w:rFonts w:hint="eastAsia" w:ascii="方正仿宋_GBK" w:hAnsi="方正仿宋_GBK" w:eastAsia="方正仿宋_GBK" w:cs="方正仿宋_GBK"/>
          <w:color w:val="000000" w:themeColor="text1"/>
          <w:highlight w:val="none"/>
          <w:lang w:val="en"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推动内外贸一体化发展。</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落实“五统一、一开放”</w:t>
      </w:r>
      <w:r>
        <w:rPr>
          <w:rStyle w:val="24"/>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footnoteReference w:id="13"/>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基本要求，打通生产、分配、流通、消费各环节堵点，全面对接全国统一大市场，深化对内经济联系，实现更大范围的资源共享、市场相通、产业相融。积极参与“粤贸全国”活动，促进内外贸渠道对接、品牌对接、产销对接、标准对接。完善现代商贸流通体系建设，完善区、镇、村三级物流配送网络，重点加强园区和农村地区物流设施建设，有效降低全社会物流成本。</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落实稳外贸惠企政策，引导外贸企业结合国内需求积极转型、搭建内销渠道，支持企业开展出口转内销生产线改造等技术改造。</w:t>
      </w: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34" w:name="_Toc6077"/>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第四节  提升开放型经济发展水平</w:t>
      </w:r>
      <w:bookmarkEnd w:id="34"/>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拓展多元化贸易市场。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深度融入共建“一带一路”，用足用好RCEP等自贸协定优惠措施，支持先导等外贸龙头企业做大做强，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挖掘高新技术、专精特新、农业企业出口潜力，推动卓遨、浪骑仕等新投产企业开拓出口业务。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组织外贸企业参加广交会、进博会、粤澳名优商品展、“粤贸全球”等国内外展会，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拓展国际市场布局，提升国际市场占有率。鼓励探索外贸新业态，支持传统外贸企业运用云计算、人工智能、虚拟现实等先进技术，加强研发设计，开展智能化、个性化、定制化生产。优化贸易结构，巩固一般贸易主体地位，推动加工贸易从制造组装向产业链两端延伸。加大对外贸主体培育的支持力度，培育壮大一批新的外贸骨干载体。</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推动参与跨境电商综试区建设。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本土产业和跨境电商重点平台合作对接，支持在营销、支付、交付、物流、品控等外贸细分领域共享创新。深入参与中国（清远）跨境电子商务综合试验区建设，用好清远跨境电商线上通关服务平台，大力引进跨境电商上下游企业。创新发展服务贸易，加快发展跨境电商新业态。支持本土企业开拓跨境电商业务，</w:t>
      </w:r>
      <w:r>
        <w:rPr>
          <w:rFonts w:hint="eastAsia" w:ascii="方正仿宋_GBK" w:hAnsi="方正仿宋_GBK" w:eastAsia="方正仿宋_GBK" w:cs="方正仿宋_GBK"/>
          <w:color w:val="000000" w:themeColor="text1"/>
          <w:highlight w:val="none"/>
          <w:lang w:val="en" w:eastAsia="zh-CN"/>
          <w14:textFill>
            <w14:solidFill>
              <w14:schemeClr w14:val="tx1"/>
            </w14:solidFill>
          </w14:textFill>
        </w:rPr>
        <w:t>培育跨境电商品牌</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p>
    <w:p>
      <w:pPr>
        <w:shd w:val="clear"/>
        <w:bidi w:val="0"/>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促进双向投资提质增效。</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统筹推动高质量引进来和高水平走出去，充分利用两个市场、两种资源，拓展双向投资合作空间，更深更广融入全球生产网络。健全外商投资服务保障体系，促进外资外企在清新加大投资，引导外资更多投向先进制造、高新技术、节能环保等领域。有序开展对外投资合作，加强对企业走出去服务和海外权益保护。做好新时代“侨”的文章，引进侨资侨智、汇聚侨心侨力。</w:t>
      </w:r>
    </w:p>
    <w:p>
      <w:pPr>
        <w:pStyle w:val="3"/>
        <w:shd w:val="clear"/>
        <w:bidi w:val="0"/>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pPr>
      <w:bookmarkStart w:id="35" w:name="_Toc4371"/>
    </w:p>
    <w:p>
      <w:pPr>
        <w:pStyle w:val="3"/>
        <w:shd w:val="clear"/>
        <w:bidi w:val="0"/>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 xml:space="preserve">第八章  </w:t>
      </w:r>
      <w:r>
        <w:rPr>
          <w:rFonts w:hint="eastAsia" w:ascii="方正黑体_GBK" w:hAnsi="方正黑体_GBK" w:eastAsia="方正黑体_GBK" w:cs="方正黑体_GBK"/>
          <w:color w:val="000000" w:themeColor="text1"/>
          <w:highlight w:val="none"/>
          <w14:textFill>
            <w14:solidFill>
              <w14:schemeClr w14:val="tx1"/>
            </w14:solidFill>
          </w14:textFill>
        </w:rPr>
        <w:t>全面深化</w:t>
      </w: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重点领域</w:t>
      </w:r>
      <w:r>
        <w:rPr>
          <w:rFonts w:hint="eastAsia" w:ascii="方正黑体_GBK" w:hAnsi="方正黑体_GBK" w:eastAsia="方正黑体_GBK" w:cs="方正黑体_GBK"/>
          <w:color w:val="000000" w:themeColor="text1"/>
          <w:highlight w:val="none"/>
          <w14:textFill>
            <w14:solidFill>
              <w14:schemeClr w14:val="tx1"/>
            </w14:solidFill>
          </w14:textFill>
        </w:rPr>
        <w:t>改革，释放高质量发展活力</w:t>
      </w:r>
      <w:bookmarkEnd w:id="35"/>
    </w:p>
    <w:p>
      <w:pPr>
        <w:rPr>
          <w:rFonts w:hint="eastAsia"/>
          <w:lang w:val="en-US" w:eastAsia="zh-CN"/>
        </w:rPr>
      </w:pP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坚持和完善社会主义基本经济制度，传承弘扬“清远经验”改革精神，以经济体制改革为牵引，着力破解深层次体制机制障碍，激发全社会内生动力和创新活力。</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36" w:name="_Toc30141"/>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培育高质量市场主体</w:t>
      </w:r>
      <w:bookmarkEnd w:id="36"/>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持续深化国资国企改革。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深入推进国有经济布局优化和结构调整，持续巩固拓展区属三大集团整合成果。聚焦“三个集中”</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14"/>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促进区属国企布局优化、结构调整和效益提升。深化国企投融资体制机制改革，提高国有资本投资、运营能力。强化国有企业资金统筹布局，持续推进发行公司债等国企投融资模式创新，探索设立产业基金。加大力度推动存量资产盘活和低效无效资产处置，持续夯实区属国资国企力量基础。强化国资国企监管，持续完善国企负责人考核和薪酬管理办法，深化国有企业分业考核，推进“一业一策”“一企一策”考核。进一步完善与现代企业制度相适应的出资人财务监督体系，规范和加强国有资产处置，推动国有资产保值增值。健全央企和省属、市属国有企业来清新投资发展机制，争取更多央企和省属、市属国有企业到清新布局新能源、储能、消防应急、现代农业产业等领域项目。</w:t>
      </w:r>
    </w:p>
    <w:p>
      <w:pPr>
        <w:shd w:val="clear"/>
        <w:bidi w:val="0"/>
        <w:ind w:firstLine="64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促进民营经济发展壮大。</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落实民营经济促进法，维护民营企业和企业家合法权益，全面构建亲清政商关系。强化产权执法司法保护。完善民营企业融资</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支持政策，推动融资担保、贷款贴息等优惠政策落地生效。建立资本对接融合机制，扩大耐心资本来源。鼓励企业上市融资，推动本土企业上市实现零突破。实施新粤商培育培训工程，支持中小微企业和个体工商户发展，大力培育“四上企业”</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15"/>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扶持本土民营企业做大做强，推动在鞋材、非金属制品、纺织、农副食品加工、汽配、新材料等特色优势产业开展培育龙头企业计划。加强惠企政策信息推送，扩大政策“免申即享”范围，重点覆盖小微企业、个体工商户税费减免和稳岗补贴。支持民营资本参与新型城镇化、交通水利等重大工程和补短</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板领域建设。健全涉企收费长效监管和拖欠账款清偿机制，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保护民营企业和企业家人身、财产合法权益</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规范涉企行政检查，实施“综合查一次”制度。</w:t>
      </w:r>
    </w:p>
    <w:p>
      <w:pPr>
        <w:shd w:val="clear"/>
        <w:bidi w:val="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完善中国特色现代企业制度。</w:t>
      </w:r>
      <w:r>
        <w:rPr>
          <w:rFonts w:hint="eastAsia" w:ascii="方正仿宋_GBK" w:hAnsi="方正仿宋_GBK" w:eastAsia="方正仿宋_GBK" w:cs="方正仿宋_GBK"/>
          <w:color w:val="000000" w:themeColor="text1"/>
          <w:highlight w:val="none"/>
          <w14:textFill>
            <w14:solidFill>
              <w14:schemeClr w14:val="tx1"/>
            </w14:solidFill>
          </w14:textFill>
        </w:rPr>
        <w:t>坚持和加强党的领导，完善党领导国有企业的制度机制，加强和改进非公有制企业党的建设。健全企业产权结构，尊重企业独立法人财产权，形成归属清晰、结构合理、流转顺畅的企业产权制度。进一步完善</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区</w:t>
      </w:r>
      <w:r>
        <w:rPr>
          <w:rFonts w:hint="eastAsia" w:ascii="方正仿宋_GBK" w:hAnsi="方正仿宋_GBK" w:eastAsia="方正仿宋_GBK" w:cs="方正仿宋_GBK"/>
          <w:color w:val="000000" w:themeColor="text1"/>
          <w:highlight w:val="none"/>
          <w14:textFill>
            <w14:solidFill>
              <w14:schemeClr w14:val="tx1"/>
            </w14:solidFill>
          </w14:textFill>
        </w:rPr>
        <w:t>属国企现代公司治理，加快人事、劳动、分配制度改革，充分激发企业活力。支持引导民营企业完善治理结构和管理制度，鼓励有条件的民营企业规范组建股东会、董事会、经理层。鼓励企业将诚实守信、以义取利、守正创新等中华优秀传统文化理念运用于企业管理实践，融入公司治理。弘扬企业家精神</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引导企业争做爱国敬业、守法经营、创业创新、回报社会的典范。</w:t>
      </w:r>
    </w:p>
    <w:p>
      <w:pPr>
        <w:shd w:val="clear"/>
        <w:bidi w:val="0"/>
        <w:rPr>
          <w:rFonts w:hint="eastAsia"/>
          <w:color w:val="000000" w:themeColor="text1"/>
          <w:highlight w:val="none"/>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37" w:name="_Toc13487"/>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建设高标准市场体系</w:t>
      </w:r>
      <w:bookmarkEnd w:id="37"/>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完善要素市场制度和规则。</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健全劳动、资本、土地、知识、技术、管理、数据等生产要素由市场评价贡献、按贡献决定报酬的机制，推动要素资源高效配置。构建城乡统一的建设用地市场。建立“长钱长投”的政策体系，优化政府投资基金管理，培育发展长期资本、耐心资本。优化居民阶梯水价、气价制度。夯实重要商品价格稳定基础，着眼产供储销全链条，健全促进市场价格稳定的长效机制。综合整治“内卷式”竞争。</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深化人才发展体制机制改革。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推进区级人才政策体系迭代升级，健全各领域人才分级分类评价和建库管理机制，完善“人才工作新十条”等人才引育激励措施，优化分级分类人才联系服务制度，全面推动人才发展引领经济社会高质量发展。完善校政企合作机制，实施产业“新工匠”培养计划，有序推进清远市现代农业与食品市域产教联合体建设，健全产业导向的职业技能人才培育体系。完善人才有序流动机制，加强与粤港澳大湾区人才交流，鼓励更多人力资源服务机构在清新落地。完善事业单位人才专项编制池制度，科学使用编制引进紧缺适用人才。探索优化农村科技特派员工作机制。完善领导干部联系服务人才工作机制。</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深化土地制度改革。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全域土地综合整治，统筹推进城乡建设用地增减挂钩、耕地集中连片整治、农村闲置宅基地盘活利用、产业园区用地专项治理、国土空间生态保护修复等，积极构建“全域整治+生态修复”的良性机制，到“十五五”期末实现全区八个镇全覆盖、任务全落实。开展节地提质攻坚行动，推进低效用地再开发，深入开展批而未供、闲置土地专项清理，促进集中连片改造开发、线性工程沿线土地高效利用。健全交易平台和服务监管体系。健全土地立体分层设权、混合开发利用、用途合理转换规则。落实工商业用地延期和到期后续期政策。完善设施农用地备案制度。健全土地增值收益分配机制。</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推进数据要素市场化配置改革。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依托省、市公共数据开放平台，协调推进政务数据高效开放共享，完善公共数据开放、运营服务、安全保障管理。培育数字经济新产业、新业态、新模式，支持构建农业、工业、交通运输、教育、安防、城市管理、公共资源交易等领域规范化数据开发利用场景。加强数据安全保护，探索建立数据安全使用承诺制度，运用“监管沙盒”。</w:t>
      </w:r>
    </w:p>
    <w:p>
      <w:pPr>
        <w:rPr>
          <w:rFonts w:hint="eastAsia"/>
          <w:color w:val="000000" w:themeColor="text1"/>
          <w:highlight w:val="none"/>
          <w:lang w:val="en-US" w:eastAsia="zh-CN"/>
          <w14:textFill>
            <w14:solidFill>
              <w14:schemeClr w14:val="tx1"/>
            </w14:solidFill>
          </w14:textFill>
        </w:rPr>
      </w:pPr>
    </w:p>
    <w:p>
      <w:pPr>
        <w:pStyle w:val="4"/>
        <w:numPr>
          <w:ilvl w:val="0"/>
          <w:numId w:val="5"/>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38" w:name="_Toc2156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深化投融资及财税体制改革</w:t>
      </w:r>
      <w:bookmarkEnd w:id="38"/>
    </w:p>
    <w:p>
      <w:pPr>
        <w:shd w:val="clear"/>
        <w:bidi w:val="0"/>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创新政府投融资模式。</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积极争取和统筹用好超长期特别国债、中央预算内投资、地方政府专项债券等资金。</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在严防新增隐性债务的前提下，</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积极探索多</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元</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化的政府投</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融</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资方式，充分利用政府和社会资本合作、政府产业基金等模式，吸引社会资本参与政府投资项目，拓宽融资渠道。积极探索</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专项债+超长期特别国债</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专项债资本金+市场化融资</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谋划一批农业农村、交通和物流、市政和产业园区领域债贷联动项目。</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深化财税体制改革。</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加强财政资源和预算统筹，深化零基预算改革，加快构建节约型财政保障机制，统一预算分配权，优化财政支出结构，加强预算绩效管理。加大财力下沉力度，健全财政转移支付激励约束机制，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清理规范财政支出考核挂钩事项</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深入推进市直与清新区财政体制改革，深化县镇财政体制改革，提升基层“三保”能力。深化“数字财政”建设。全面落实国家税收制度改革，加快推进税收征管新体系迭代升级，积极拓宽地方税源，加强收入组织管理和公共资源有偿使用管理，统一社会保险费征收模式。加强财政、金融、国资政策协同，深化“补改投”改革，放大资金使用效应。</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加强政府债务管理，规范举债行为，强化专项债项目资本金增信作用和撬动功能。健全防范化解隐性债务风险长效机制，加强全口径地方债务监测监管。推进政府采购全流程电子化。</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深化金融体制改革。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地方金融机构定位和治理，健全服务实体经济的激励约束机制。大力推进金融赋能“百县千镇万村高质量发展工程”，优化金融资源配置、改善普惠金融服务、创新优化金融服务，动态更新“百县千镇万村高质量发展工程”金融产品指南。鼓励金融机构创新“政银保”贷款担保等服务模式，积极发展科技金融、绿色金融、普惠金融、养老金融、数字金融，创新推广民宿贷、技改贷、创业担保贷等金融产品，引导金融资源合理配置到重点领域和薄弱环节，提升金融服务效率和水平。加大农村金融、小企业金融服务改革，提高金融服务覆盖面和服务效率。建立金融风险研判与预警机制。完善金融监管体系，稳慎推进中小金融机构风险化解。加强金融消费者权益保护。稳妥推进数字人民币应用。</w:t>
      </w:r>
    </w:p>
    <w:p>
      <w:pPr>
        <w:rPr>
          <w:rFonts w:hint="default"/>
          <w:color w:val="000000" w:themeColor="text1"/>
          <w:highlight w:val="none"/>
          <w:lang w:val="en-US" w:eastAsia="zh-CN"/>
          <w14:textFill>
            <w14:solidFill>
              <w14:schemeClr w14:val="tx1"/>
            </w14:solidFill>
          </w14:textFill>
        </w:rPr>
      </w:pPr>
    </w:p>
    <w:p>
      <w:pPr>
        <w:pStyle w:val="4"/>
        <w:numPr>
          <w:ilvl w:val="0"/>
          <w:numId w:val="5"/>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39" w:name="_Toc14049"/>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提升政府服务效能</w:t>
      </w:r>
      <w:bookmarkEnd w:id="39"/>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推进智能政务建设。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高水平推进数字政府建设，加强大模型等新技术在政务服务领域的应用与创新，深化“人工智能+政务应用”，构建政务服务智能新生态。完善一体化政务大数据体系，强化公共数据高质量供给，在保障数据安全的前提下，鼓励推进人工智能、大模型等技术全面赋能转型政务服务场景建设与发展。加强政府权责清单标准化建设，健全“高效办成一件事”重点事项清单管理机制和常态化推进机制，推动一批高频事项“一窗通办”，推进政务服务“一网通办”建设。深化政务服务“跨域通办”，拓展“跨境通办”“跨省通办”“湾区通办”合作地区范围。创新“一站式”办理金融帮扶、减税降费等服务，推动普惠性政策“免申请、零跑腿、快兑现”。持续推进简政放权、放管结合、精简办事材料，优化办事流程。持续推动机关内部业务网上办、掌上办，实现机关内部高频事项跨部门、跨层级办理。深化基层减负数字赋能，深入整治“指尖上的形式主义”。</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健全协同高效的机构职能体系。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巩固机构改革成果，健全综合执法机构与行业管理部门协调配合机制，健全垂直管理机构与地方协作配合机制，强化政策协同、资源整合与监管联动。强化机构编制刚性约束与动态管理，推动编制资源优先保障推进重大战略、重点领域和基层一线需求。落实扩权强县和强县扩权改革，深化县镇管理体制改革，扩大经济发达镇经济社会管理权限，实施乡镇履行职责事项清单。全面深化事业单位改革，持续优化布局结构与功能定位。</w:t>
      </w:r>
      <w:bookmarkStart w:id="40" w:name="_Toc1991"/>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p>
    <w:p>
      <w:pPr>
        <w:shd w:val="clear"/>
        <w:bidi w:val="0"/>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第九章  加力提速</w:t>
      </w:r>
      <w:r>
        <w:rPr>
          <w:rFonts w:hint="eastAsia" w:ascii="方正黑体_GBK" w:hAnsi="方正黑体_GBK" w:eastAsia="方正黑体_GBK" w:cs="方正黑体_GBK"/>
          <w:color w:val="000000" w:themeColor="text1"/>
          <w:highlight w:val="none"/>
          <w:lang w:eastAsia="zh-CN"/>
          <w14:textFill>
            <w14:solidFill>
              <w14:schemeClr w14:val="tx1"/>
            </w14:solidFill>
          </w14:textFill>
        </w:rPr>
        <w:t>“</w:t>
      </w:r>
      <w:r>
        <w:rPr>
          <w:rFonts w:hint="eastAsia" w:ascii="方正黑体_GBK" w:hAnsi="方正黑体_GBK" w:eastAsia="方正黑体_GBK" w:cs="方正黑体_GBK"/>
          <w:color w:val="000000" w:themeColor="text1"/>
          <w:highlight w:val="none"/>
          <w14:textFill>
            <w14:solidFill>
              <w14:schemeClr w14:val="tx1"/>
            </w14:solidFill>
          </w14:textFill>
        </w:rPr>
        <w:t>百千万工程</w:t>
      </w:r>
      <w:r>
        <w:rPr>
          <w:rFonts w:hint="eastAsia" w:ascii="方正黑体_GBK" w:hAnsi="方正黑体_GBK" w:eastAsia="方正黑体_GBK" w:cs="方正黑体_GBK"/>
          <w:color w:val="000000" w:themeColor="text1"/>
          <w:highlight w:val="none"/>
          <w:lang w:eastAsia="zh-CN"/>
          <w14:textFill>
            <w14:solidFill>
              <w14:schemeClr w14:val="tx1"/>
            </w14:solidFill>
          </w14:textFill>
        </w:rPr>
        <w:t>”</w:t>
      </w:r>
      <w:r>
        <w:rPr>
          <w:rFonts w:hint="eastAsia" w:ascii="方正黑体_GBK" w:hAnsi="方正黑体_GBK" w:eastAsia="方正黑体_GBK" w:cs="方正黑体_GBK"/>
          <w:color w:val="000000" w:themeColor="text1"/>
          <w:highlight w:val="none"/>
          <w14:textFill>
            <w14:solidFill>
              <w14:schemeClr w14:val="tx1"/>
            </w14:solidFill>
          </w14:textFill>
        </w:rPr>
        <w:t>，促进城乡区域协调发展</w:t>
      </w:r>
      <w:bookmarkEnd w:id="40"/>
    </w:p>
    <w:p>
      <w:pPr>
        <w:shd w:val="clear"/>
        <w:bidi w:val="0"/>
        <w:rPr>
          <w:rFonts w:hint="eastAsia"/>
          <w:color w:val="000000" w:themeColor="text1"/>
          <w:highlight w:val="none"/>
          <w:lang w:val="en-US" w:eastAsia="zh-CN"/>
          <w14:textFill>
            <w14:solidFill>
              <w14:schemeClr w14:val="tx1"/>
            </w14:solidFill>
          </w14:textFill>
        </w:rPr>
      </w:pP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以乡村振兴战略、区域协调发展战略、新型城镇化战略为重要牵引，加快建设现代化高品质城区，提升各镇集聚特色发展水平，构建南北协调发展格局。</w:t>
      </w:r>
    </w:p>
    <w:p>
      <w:pPr>
        <w:rPr>
          <w:rFonts w:hint="default"/>
          <w:color w:val="000000" w:themeColor="text1"/>
          <w:highlight w:val="none"/>
          <w:lang w:val="en-US" w:eastAsia="zh-CN"/>
          <w14:textFill>
            <w14:solidFill>
              <w14:schemeClr w14:val="tx1"/>
            </w14:solidFill>
          </w14:textFill>
        </w:rPr>
      </w:pPr>
    </w:p>
    <w:p>
      <w:pPr>
        <w:pStyle w:val="4"/>
        <w:numPr>
          <w:ilvl w:val="0"/>
          <w:numId w:val="0"/>
        </w:numPr>
        <w:shd w:val="clear"/>
        <w:bidi w:val="0"/>
        <w:ind w:firstLine="320" w:firstLineChars="100"/>
        <w:jc w:val="cente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1" w:name="_Toc13432"/>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第一节  </w:t>
      </w:r>
      <w:r>
        <w:rPr>
          <w:rFonts w:hint="eastAsia" w:ascii="方正楷体_GBK" w:hAnsi="方正楷体_GBK" w:eastAsia="方正楷体_GBK" w:cs="方正楷体_GBK"/>
          <w:color w:val="000000" w:themeColor="text1"/>
          <w:highlight w:val="none"/>
          <w14:textFill>
            <w14:solidFill>
              <w14:schemeClr w14:val="tx1"/>
            </w14:solidFill>
          </w14:textFill>
        </w:rPr>
        <w:t>建设现代化</w:t>
      </w: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高</w:t>
      </w:r>
      <w:r>
        <w:rPr>
          <w:rFonts w:hint="eastAsia" w:ascii="方正楷体_GBK" w:hAnsi="方正楷体_GBK" w:eastAsia="方正楷体_GBK" w:cs="方正楷体_GBK"/>
          <w:color w:val="000000" w:themeColor="text1"/>
          <w:highlight w:val="none"/>
          <w14:textFill>
            <w14:solidFill>
              <w14:schemeClr w14:val="tx1"/>
            </w14:solidFill>
          </w14:textFill>
        </w:rPr>
        <w:t>品质城区</w:t>
      </w:r>
      <w:bookmarkEnd w:id="41"/>
    </w:p>
    <w:p>
      <w:pPr>
        <w:shd w:val="clear"/>
        <w:bidi w:val="0"/>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优化城市形态格局。</w:t>
      </w:r>
      <w:r>
        <w:rPr>
          <w:rFonts w:hint="eastAsia" w:ascii="方正仿宋_GBK" w:hAnsi="方正仿宋_GBK" w:eastAsia="方正仿宋_GBK" w:cs="方正仿宋_GBK"/>
          <w:color w:val="000000" w:themeColor="text1"/>
          <w:kern w:val="2"/>
          <w:sz w:val="32"/>
          <w:szCs w:val="24"/>
          <w:highlight w:val="none"/>
          <w:u w:val="none" w:color="auto"/>
          <w:lang w:val="en-US" w:eastAsia="zh-CN"/>
          <w14:textFill>
            <w14:solidFill>
              <w14:schemeClr w14:val="tx1"/>
            </w14:solidFill>
          </w14:textFill>
        </w:rPr>
        <w:t>持续巩固深化国家城乡融合发展试验区广清接合片区建设成果，推进户籍制度改革，统筹城乡规划建设、发展与治理，优化城乡产业、功能布局和生态空间结构，畅通城乡要素双向流动渠道，促进各类生产要素有序流动。</w:t>
      </w:r>
      <w:r>
        <w:rPr>
          <w:rFonts w:hint="eastAsia" w:ascii="方正仿宋_GBK" w:hAnsi="方正仿宋_GBK" w:eastAsia="方正仿宋_GBK" w:cs="方正仿宋_GBK"/>
          <w:color w:val="000000" w:themeColor="text1"/>
          <w:kern w:val="2"/>
          <w:sz w:val="32"/>
          <w:szCs w:val="24"/>
          <w:highlight w:val="none"/>
          <w:u w:val="none"/>
          <w:lang w:val="en-US" w:eastAsia="zh-CN"/>
          <w14:textFill>
            <w14:solidFill>
              <w14:schemeClr w14:val="tx1"/>
            </w14:solidFill>
          </w14:textFill>
        </w:rPr>
        <w:t>强化清城、清新双区联动，积极推动清新主城区向西发展，做强飞水片区城市增量功能，优化拓展城市发展空间。加快清新主城区扩容提质，统筹推进基础设施补短板项目建设，推进城市更新和经济商圈建设。</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打造高品质城市生活空间。</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转变城市开发建设方式，建立可持续的城市更新模式和政策措施，因地制宜推进老旧街区、老旧厂区、城中村等城市更新改造，促进城市结构优化、功能完善、文脉赓续、品质提升。加快构建房地产发展新模式，系统推进适应人民群众新期待的好房子、好小区、好社区建设，全链条提升住房设计、建造、维护、服务水平。推进社区教育、医疗、养老、托育、文体、商业、智慧安防等未来社区（完整社区）建设，完善社区基本公共服务设施、便民商业服务设施、公共活动场地等，构建一刻钟便民生活圈。加快推进农业转移人口市民化，落实完善农业转移人口市民化配套政策</w:t>
      </w:r>
      <w:r>
        <w:rPr>
          <w:rFonts w:hint="eastAsia" w:ascii="方正仿宋_GBK" w:hAnsi="方正仿宋_GBK" w:eastAsia="方正仿宋_GBK" w:cs="方正仿宋_GBK"/>
          <w:b w:val="0"/>
          <w:bCs w:val="0"/>
          <w:color w:val="auto"/>
          <w:highlight w:val="none"/>
          <w:lang w:val="en-US" w:eastAsia="zh-CN"/>
        </w:rPr>
        <w:t>。</w:t>
      </w:r>
      <w:r>
        <w:rPr>
          <w:rFonts w:hint="eastAsia" w:ascii="方正仿宋_GBK" w:hAnsi="方正仿宋_GBK" w:eastAsia="方正仿宋_GBK" w:cs="方正仿宋_GBK"/>
          <w:color w:val="000000" w:themeColor="text1"/>
          <w:kern w:val="2"/>
          <w:szCs w:val="24"/>
          <w:highlight w:val="none"/>
          <w:u w:val="none" w:color="auto"/>
          <w14:textFill>
            <w14:solidFill>
              <w14:schemeClr w14:val="tx1"/>
            </w14:solidFill>
          </w14:textFill>
        </w:rPr>
        <w:t>加强外来人口服务管理，健全与常住人口相匹配的公共资源配置机制，</w:t>
      </w:r>
      <w:r>
        <w:rPr>
          <w:rFonts w:hint="eastAsia" w:ascii="方正仿宋_GBK" w:hAnsi="方正仿宋_GBK" w:eastAsia="方正仿宋_GBK" w:cs="方正仿宋_GBK"/>
          <w:color w:val="000000" w:themeColor="text1"/>
          <w:kern w:val="2"/>
          <w:szCs w:val="24"/>
          <w:highlight w:val="none"/>
          <w:u w:val="none" w:color="auto"/>
          <w:lang w:eastAsia="zh-CN"/>
          <w14:textFill>
            <w14:solidFill>
              <w14:schemeClr w14:val="tx1"/>
            </w14:solidFill>
          </w14:textFill>
        </w:rPr>
        <w:t>落实</w:t>
      </w:r>
      <w:r>
        <w:rPr>
          <w:rFonts w:hint="eastAsia" w:ascii="方正仿宋_GBK" w:hAnsi="方正仿宋_GBK" w:eastAsia="方正仿宋_GBK" w:cs="方正仿宋_GBK"/>
          <w:color w:val="000000" w:themeColor="text1"/>
          <w:kern w:val="2"/>
          <w:szCs w:val="24"/>
          <w:highlight w:val="none"/>
          <w:u w:val="none" w:color="auto"/>
          <w14:textFill>
            <w14:solidFill>
              <w14:schemeClr w14:val="tx1"/>
            </w14:solidFill>
          </w14:textFill>
        </w:rPr>
        <w:t>由常住地登记户口提供基本公共服务制度。</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深耕小微空间整治提升，营造干净整洁、安全有序的宜居宜业现代化城市发展环境</w:t>
      </w:r>
      <w:r>
        <w:rPr>
          <w:rFonts w:hint="eastAsia" w:ascii="方正仿宋_GBK" w:hAnsi="方正仿宋_GBK" w:eastAsia="方正仿宋_GBK" w:cs="方正仿宋_GBK"/>
          <w:color w:val="000000" w:themeColor="text1"/>
          <w:highlight w:val="none"/>
          <w:u w:val="none" w:color="auto"/>
          <w:lang w:val="en-US" w:eastAsia="zh-CN"/>
          <w14:textFill>
            <w14:solidFill>
              <w14:schemeClr w14:val="tx1"/>
            </w14:solidFill>
          </w14:textFill>
        </w:rPr>
        <w:t>。</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增强城市安全韧性。</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加强房屋建筑安全管理，建立房屋安全体检、房屋安全管理资金、房屋质量安全保险等房屋全生命周期安全管理制度。严格限制超高层建筑，</w:t>
      </w:r>
      <w:r>
        <w:rPr>
          <w:rFonts w:hint="eastAsia" w:ascii="方正仿宋_GBK" w:hAnsi="方正仿宋_GBK" w:eastAsia="方正仿宋_GBK" w:cs="方正仿宋_GBK"/>
          <w:b w:val="0"/>
          <w:bCs/>
          <w:color w:val="000000" w:themeColor="text1"/>
          <w:highlight w:val="none"/>
          <w:lang w:val="en-US" w:eastAsia="zh-CN"/>
          <w14:textFill>
            <w14:solidFill>
              <w14:schemeClr w14:val="tx1"/>
            </w14:solidFill>
          </w14:textFill>
        </w:rPr>
        <w:t>持续推进自建房安全专项指导和整治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开展市政基础设施普查，建立设施信息动态更新机制，全面掌握现状底数和管养状况。加快推进城市基础设施生命线工程建设，因地制宜对城镇供水、排水、供电、燃气、消火栓等市政基础设施进行更新改造和数字化、智能化管理。持续推进海绵城市建设，统筹推进城市防洪体系和内涝治理，加快推进</w:t>
      </w:r>
      <w:r>
        <w:rPr>
          <w:rFonts w:hint="eastAsia" w:ascii="方正仿宋_GBK" w:hAnsi="方正仿宋_GBK" w:eastAsia="方正仿宋_GBK" w:cs="方正仿宋_GBK"/>
          <w:b w:val="0"/>
          <w:bCs/>
          <w:color w:val="000000" w:themeColor="text1"/>
          <w:highlight w:val="none"/>
          <w:lang w:val="en-US" w:eastAsia="zh-CN"/>
          <w14:textFill>
            <w14:solidFill>
              <w14:schemeClr w14:val="tx1"/>
            </w14:solidFill>
          </w14:textFill>
        </w:rPr>
        <w:t>工业大道、新大地市场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等重点区域内涝点位整治，配合做好加快蓄滞洪区布局调整和安全建设。强化灾害监测预警防控，进一步健全全民防灾减灾的应急预案和救援体系，提升应急物资保障能力。</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推动城市治理智慧化精细化。</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开展道路交通安全和堵点整治，推进一批重点路段数字化改造。优化市政道路路权分配，优化设置非机动车道、集中充电点和停放场所，提升市区停车秩序。健全完善城市慢行系统，规范广告牌、交通标志设置，净化人行道空间。统筹道路功能照明与街区夜景亮化，丰富城市夜景层次。加强环卫设施运行管理，完善生活垃圾处置体系。系统深化“两违”治理，持续开展户外广告（招牌）、铁皮棚、城乡围挡整治等专项行动，因地制宜划定摊贩经营场所，疏导违规占道摆卖。创新城市治理的理念和模式，持续完善“易清新”等信息化服务平台载体，强化城市治理数据赋能。谋划推进社会智能化转型，推广智慧医疗、智慧校园、智慧旅游等便民应用。加快推动农贸市场智慧化改造，积极推动智慧社区、智能安防建设，大力推动新能源充电桩、5G微基站实现圩镇全覆盖，构建“15分钟智慧生活圈”。</w:t>
      </w:r>
    </w:p>
    <w:p>
      <w:pPr>
        <w:rPr>
          <w:rFonts w:hint="default"/>
          <w:color w:val="000000" w:themeColor="text1"/>
          <w:highlight w:val="none"/>
          <w:lang w:val="en-US" w:eastAsia="zh-CN"/>
          <w14:textFill>
            <w14:solidFill>
              <w14:schemeClr w14:val="tx1"/>
            </w14:solidFill>
          </w14:textFill>
        </w:rPr>
      </w:pPr>
    </w:p>
    <w:p>
      <w:pPr>
        <w:pStyle w:val="4"/>
        <w:numPr>
          <w:ilvl w:val="-1"/>
          <w:numId w:val="0"/>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2" w:name="_Toc29293"/>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优化城镇空间发展格局</w:t>
      </w:r>
      <w:bookmarkEnd w:id="42"/>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构建南北协调发展格局。</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强化太和、太平、山塘、三坑南部四镇市区“强中心”建设，积极承接广佛优质资源外溢和非核心功能疏解，增加城市服务功能，辐射带动北部四镇加快发展。推进龙颈、禾云、浸潭、石潭北部四镇优化发展，立足生态资源禀</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赋，积极发展生态农业、康养旅游等绿色产业，围绕完善与南部四镇的交通衔接，围绕农文旅产业融合，补齐二、三产短板，发挥联城带村作用，实现产业兴旺，促进乡村全面振兴。</w:t>
      </w:r>
    </w:p>
    <w:p>
      <w:pPr>
        <w:shd w:val="clear"/>
        <w:bidi w:val="0"/>
        <w:rPr>
          <w:rFonts w:hint="eastAsia" w:ascii="方正仿宋_GBK" w:hAnsi="方正仿宋_GBK" w:eastAsia="方正仿宋_GBK" w:cs="方正仿宋_GBK"/>
          <w:b w:val="0"/>
          <w:bCs w:val="0"/>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提升各镇</w:t>
      </w:r>
      <w:r>
        <w:rPr>
          <w:rFonts w:hint="eastAsia" w:ascii="方正仿宋_GBK" w:hAnsi="方正仿宋_GBK" w:eastAsia="方正仿宋_GBK" w:cs="方正仿宋_GBK"/>
          <w:b/>
          <w:bCs/>
          <w:color w:val="000000" w:themeColor="text1"/>
          <w:highlight w:val="none"/>
          <w14:textFill>
            <w14:solidFill>
              <w14:schemeClr w14:val="tx1"/>
            </w14:solidFill>
          </w14:textFill>
        </w:rPr>
        <w:t>集聚特色</w:t>
      </w: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发展水平。</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扎实推进新型城镇化建设，“一镇一策”支持各镇培育主导产业和优势产业。太和镇要做富做旺城区镇，加快提升现代化城市配套服务设施。太平镇、禾云镇、浸潭镇要做大做强中心镇，加强产业协同协作，参照小城市标准持续完善基础设施和公共服务，提升人口承载能力。山塘镇、龙颈镇要做专做精农业专业镇，积极建设特色农业产业集群，大力培育壮大农业品牌。三坑镇、石潭镇要做优做美特色镇，打造农文旅融合新场景、新业态，壮大新能源产业链条，丰富生态价值转化路径，培育乡村新产业新业态</w:t>
      </w:r>
      <w:r>
        <w:rPr>
          <w:rFonts w:hint="eastAsia" w:ascii="方正仿宋_GBK" w:hAnsi="方正仿宋_GBK" w:eastAsia="方正仿宋_GBK" w:cs="方正仿宋_GBK"/>
          <w:bCs w:val="0"/>
          <w:color w:val="000000" w:themeColor="text1"/>
          <w:highlight w:val="none"/>
          <w14:textFill>
            <w14:solidFill>
              <w14:schemeClr w14:val="tx1"/>
            </w14:solidFill>
          </w14:textFill>
        </w:rPr>
        <w:t>。</w:t>
      </w:r>
    </w:p>
    <w:p>
      <w:pPr>
        <w:shd w:val="clear"/>
        <w:bidi w:val="0"/>
        <w:rPr>
          <w:rFonts w:hint="default"/>
          <w:lang w:val="en-US" w:eastAsia="zh-CN"/>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强化镇联动城乡的纽带作用。</w:t>
      </w:r>
      <w:r>
        <w:rPr>
          <w:rFonts w:hint="eastAsia" w:ascii="方正仿宋_GBK" w:hAnsi="方正仿宋_GBK" w:eastAsia="方正仿宋_GBK" w:cs="方正仿宋_GBK"/>
          <w:bCs/>
          <w:color w:val="000000" w:themeColor="text1"/>
          <w:highlight w:val="none"/>
          <w14:textFill>
            <w14:solidFill>
              <w14:schemeClr w14:val="tx1"/>
            </w14:solidFill>
          </w14:textFill>
        </w:rPr>
        <w:t>持续巩固拓展</w:t>
      </w:r>
      <w:r>
        <w:rPr>
          <w:rFonts w:hint="eastAsia" w:ascii="方正仿宋_GBK" w:hAnsi="方正仿宋_GBK" w:eastAsia="方正仿宋_GBK" w:cs="方正仿宋_GBK"/>
          <w:bCs/>
          <w:color w:val="000000" w:themeColor="text1"/>
          <w:highlight w:val="none"/>
          <w:lang w:val="en-US" w:eastAsia="zh-CN"/>
          <w14:textFill>
            <w14:solidFill>
              <w14:schemeClr w14:val="tx1"/>
            </w14:solidFill>
          </w14:textFill>
        </w:rPr>
        <w:t>典型镇培育</w:t>
      </w:r>
      <w:r>
        <w:rPr>
          <w:rFonts w:hint="eastAsia" w:ascii="方正仿宋_GBK" w:hAnsi="方正仿宋_GBK" w:eastAsia="方正仿宋_GBK" w:cs="方正仿宋_GBK"/>
          <w:bCs/>
          <w:color w:val="000000" w:themeColor="text1"/>
          <w:highlight w:val="none"/>
          <w14:textFill>
            <w14:solidFill>
              <w14:schemeClr w14:val="tx1"/>
            </w14:solidFill>
          </w14:textFill>
        </w:rPr>
        <w:t>建设成效，注重抓好原撤并镇的基础设施配套建设，丰富和拓展美丽圩镇建设内涵。</w:t>
      </w:r>
      <w:r>
        <w:rPr>
          <w:rFonts w:hint="eastAsia" w:ascii="方正仿宋_GBK" w:hAnsi="方正仿宋_GBK" w:eastAsia="方正仿宋_GBK" w:cs="方正仿宋_GBK"/>
          <w:bCs/>
          <w:color w:val="000000" w:themeColor="text1"/>
          <w:highlight w:val="none"/>
          <w:lang w:val="en-US" w:eastAsia="zh-CN"/>
          <w14:textFill>
            <w14:solidFill>
              <w14:schemeClr w14:val="tx1"/>
            </w14:solidFill>
          </w14:textFill>
        </w:rPr>
        <w:t>推动城乡基础设施一体化规划建设管护，加强城乡通信网络、人工智能应用等新型基础设施建设，补齐</w:t>
      </w:r>
      <w:r>
        <w:rPr>
          <w:rFonts w:hint="eastAsia" w:ascii="方正仿宋_GBK" w:hAnsi="方正仿宋_GBK" w:eastAsia="方正仿宋_GBK" w:cs="方正仿宋_GBK"/>
          <w:bCs/>
          <w:color w:val="000000" w:themeColor="text1"/>
          <w:highlight w:val="none"/>
          <w14:textFill>
            <w14:solidFill>
              <w14:schemeClr w14:val="tx1"/>
            </w14:solidFill>
          </w14:textFill>
        </w:rPr>
        <w:t>城镇道路、给排水、供电、供气、污水垃圾处理、环境绿化</w:t>
      </w:r>
      <w:r>
        <w:rPr>
          <w:rFonts w:hint="eastAsia" w:ascii="方正仿宋_GBK" w:hAnsi="方正仿宋_GBK" w:eastAsia="方正仿宋_GBK" w:cs="方正仿宋_GBK"/>
          <w:bCs/>
          <w:color w:val="000000" w:themeColor="text1"/>
          <w:highlight w:val="none"/>
          <w:lang w:val="en-US" w:eastAsia="zh-CN"/>
          <w14:textFill>
            <w14:solidFill>
              <w14:schemeClr w14:val="tx1"/>
            </w14:solidFill>
          </w14:textFill>
        </w:rPr>
        <w:t>等</w:t>
      </w:r>
      <w:r>
        <w:rPr>
          <w:rFonts w:hint="eastAsia" w:ascii="方正仿宋_GBK" w:hAnsi="方正仿宋_GBK" w:eastAsia="方正仿宋_GBK" w:cs="方正仿宋_GBK"/>
          <w:bCs/>
          <w:color w:val="000000" w:themeColor="text1"/>
          <w:highlight w:val="none"/>
          <w14:textFill>
            <w14:solidFill>
              <w14:schemeClr w14:val="tx1"/>
            </w14:solidFill>
          </w14:textFill>
        </w:rPr>
        <w:t>市政基础设施</w:t>
      </w:r>
      <w:r>
        <w:rPr>
          <w:rFonts w:hint="eastAsia" w:ascii="方正仿宋_GBK" w:hAnsi="方正仿宋_GBK" w:eastAsia="方正仿宋_GBK" w:cs="方正仿宋_GBK"/>
          <w:bCs/>
          <w:color w:val="000000" w:themeColor="text1"/>
          <w:highlight w:val="none"/>
          <w:lang w:val="en-US" w:eastAsia="zh-CN"/>
          <w14:textFill>
            <w14:solidFill>
              <w14:schemeClr w14:val="tx1"/>
            </w14:solidFill>
          </w14:textFill>
        </w:rPr>
        <w:t>短板。完善乡镇</w:t>
      </w:r>
      <w:r>
        <w:rPr>
          <w:rFonts w:hint="eastAsia" w:ascii="方正仿宋_GBK" w:hAnsi="方正仿宋_GBK" w:eastAsia="方正仿宋_GBK" w:cs="方正仿宋_GBK"/>
          <w:b w:val="0"/>
          <w:bCs w:val="0"/>
          <w:color w:val="auto"/>
          <w:highlight w:val="none"/>
          <w:lang w:val="en-US" w:eastAsia="zh-CN"/>
        </w:rPr>
        <w:t>农贸市场、商贸网点、仓储保鲜、冷链物流等建设</w:t>
      </w:r>
      <w:r>
        <w:rPr>
          <w:rFonts w:hint="eastAsia" w:ascii="方正仿宋_GBK" w:hAnsi="方正仿宋_GBK" w:eastAsia="方正仿宋_GBK" w:cs="方正仿宋_GBK"/>
          <w:bCs/>
          <w:color w:val="000000" w:themeColor="text1"/>
          <w:highlight w:val="none"/>
          <w:lang w:val="en-US" w:eastAsia="zh-CN"/>
          <w14:textFill>
            <w14:solidFill>
              <w14:schemeClr w14:val="tx1"/>
            </w14:solidFill>
          </w14:textFill>
        </w:rPr>
        <w:t>，</w:t>
      </w:r>
      <w:r>
        <w:rPr>
          <w:rFonts w:hint="eastAsia" w:ascii="方正仿宋_GBK" w:hAnsi="方正仿宋_GBK" w:eastAsia="方正仿宋_GBK" w:cs="方正仿宋_GBK"/>
          <w:bCs/>
          <w:color w:val="000000" w:themeColor="text1"/>
          <w:highlight w:val="none"/>
          <w14:textFill>
            <w14:solidFill>
              <w14:schemeClr w14:val="tx1"/>
            </w14:solidFill>
          </w14:textFill>
        </w:rPr>
        <w:t>提升镇域教育、医疗、养老等公</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共服务水平，</w:t>
      </w:r>
      <w:r>
        <w:rPr>
          <w:rFonts w:hint="eastAsia" w:ascii="方正仿宋_GBK" w:hAnsi="方正仿宋_GBK" w:eastAsia="方正仿宋_GBK" w:cs="方正仿宋_GBK"/>
          <w:bCs/>
          <w:color w:val="000000" w:themeColor="text1"/>
          <w:highlight w:val="none"/>
          <w:lang w:val="en-US" w:eastAsia="zh-CN"/>
          <w14:textFill>
            <w14:solidFill>
              <w14:schemeClr w14:val="tx1"/>
            </w14:solidFill>
          </w14:textFill>
        </w:rPr>
        <w:t>推动市、区教育联合体、医共体、文化驿站等优质公共服务资源向镇域延伸覆盖，增强镇域综合服务功能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p>
    <w:p>
      <w:pPr>
        <w:pStyle w:val="4"/>
        <w:shd w:val="clea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3" w:name="_Toc17894"/>
    </w:p>
    <w:p>
      <w:pPr>
        <w:pStyle w:val="4"/>
        <w:shd w:val="clea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建设宜居宜业和美乡村</w:t>
      </w:r>
      <w:bookmarkEnd w:id="43"/>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全面提升农村人居环境和整体风貌。</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统筹农村改厕和生活污水、黑臭水体治理，重点健全长效管护机制，推行粪污资源化利用，逐步完善全区“建管养一体化”、运行维护专业化机制，基本消除黑臭水体。完善县镇村三级设施和服务，推动农村生活垃圾分类减量与资源化处理利用，建设一批区域农村有机废弃物综合处置利用设施。持续开展村庄清洁行动，深入推进“三清三拆三整治”，清理整治出来的空地优先保障村内公共基础设施建设和乡村发展空间。加强农村建房全程监管，加强乡村风貌管理，持续推进存量农房微改造和新建农房风貌塑造，通过引导农户利用乡土材料和植被，对庭院、闲置空间进行精细化提升，避免大拆大建，用好用活村内闲置房屋，发展乡村旅游产业。持续开展乡村绿化美化行动，建设村头巷尾的“小微公园”和生态绿地，构建层次丰富的乡村景观；加强传统村落保护，活化利用历史建筑，保留乡村独特风貌与文化基因，全面提升乡村宜居水平。</w:t>
      </w:r>
    </w:p>
    <w:p>
      <w:pPr>
        <w:shd w:val="clear"/>
        <w:bidi w:val="0"/>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完善强农惠农富农支持制度。</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健全多元投入机制，落实强农惠农政策，加大财政、金融支农力度，创新“公益+微利”机制，充分调动社会力量参与，确保乡村振兴投入力度不断增强。深化农村土地制度、集体产权制度改革，深化全域土地综合整治，有效盘活农村集体资产资源。建立全链条全过程乡村项目运营机制，完善联农带农机制，培育乡村运营人才、致富带头人。大力实施高素质农民培育、农村实用人才带头人培训、乡村产业振兴带头人培育，支持各类人才下乡服务和创业就业，鼓励农民进城务工和自主创业。巩固拓展脱贫攻坚成果，加强帮扶项目资产全链条监管和动态监测管理，促进资产稳定良性运行、持续发挥作用，确保不发生规模性返贫致贫。</w:t>
      </w:r>
    </w:p>
    <w:p>
      <w:pPr>
        <w:shd w:val="clear"/>
        <w:bidi w:val="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优化乡村公共服务供给水平。</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改善农村基本办学条件，推进乡镇中心幼儿园、中心小学和寄宿制学校建设，增加义务教育公办学位供给。推进基层医疗卫生服务能力提质增效，提升村卫生室标准化建设和健康管理水平，完善村级医疗疾控网底建设。改造提升乡镇敬老院，完善农村养老服务网络。持续推进党群服务中心“一站式”服务，推动“粤智助”政务服务自助机镇村全覆盖。加强农村全民健身场地设施建设。推进村级综合性文化服务中心达标建设和优化提升。</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推进乡村治理现代化。</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涉农领域扫黑除恶斗争，加强农村违法占地、非法采矿、私自买卖土地等问题治理，打击整治村霸、宗族势力干预基层换届选举等问题乱象，巩固基层政权。深入开展“党建引领百村共建”工作，加强软弱涣散基层党组织整顿、干部队伍建设、村组干部大储备，推动重点村矛盾纠纷排查化解、治安综合治理、道路交通整治等，提升基层治理效能。</w:t>
      </w:r>
      <w:r>
        <w:rPr>
          <w:rFonts w:hint="eastAsia" w:ascii="方正仿宋_GBK" w:hAnsi="方正仿宋_GBK" w:eastAsia="方正仿宋_GBK" w:cs="方正仿宋_GBK"/>
          <w:color w:val="000000" w:themeColor="text1"/>
          <w:highlight w:val="none"/>
          <w14:textFill>
            <w14:solidFill>
              <w14:schemeClr w14:val="tx1"/>
            </w14:solidFill>
          </w14:textFill>
        </w:rPr>
        <w:t>健全乡村治理体系，运用数字化手段，推广</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网格化管理</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积分制</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等模式，提升乡村治理精细化水平</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p>
    <w:p>
      <w:pPr>
        <w:shd w:val="clear"/>
        <w:rPr>
          <w:rFonts w:hint="eastAsia"/>
          <w:color w:val="000000" w:themeColor="text1"/>
          <w:highlight w:val="none"/>
          <w:lang w:val="en-US" w:eastAsia="zh-CN"/>
          <w14:textFill>
            <w14:solidFill>
              <w14:schemeClr w14:val="tx1"/>
            </w14:solidFill>
          </w14:textFill>
        </w:rPr>
      </w:pPr>
    </w:p>
    <w:p>
      <w:pPr>
        <w:pStyle w:val="4"/>
        <w:shd w:val="clea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4" w:name="_Toc22303"/>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第四节  加强城乡基础设施建设</w:t>
      </w:r>
      <w:bookmarkEnd w:id="44"/>
    </w:p>
    <w:p>
      <w:pPr>
        <w:shd w:val="clear"/>
        <w:bidi w:val="0"/>
        <w:rPr>
          <w:rFonts w:hint="eastAsia" w:ascii="方正仿宋_GBK" w:hAnsi="方正仿宋_GBK" w:eastAsia="方正仿宋_GBK" w:cs="方正仿宋_GBK"/>
          <w:b w:val="0"/>
          <w:bCs w:val="0"/>
          <w:color w:val="000000" w:themeColor="text1"/>
          <w:sz w:val="32"/>
          <w:szCs w:val="22"/>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完善交通基础设施网络。</w:t>
      </w:r>
      <w:r>
        <w:rPr>
          <w:rFonts w:hint="eastAsia" w:ascii="方正仿宋_GBK" w:hAnsi="方正仿宋_GBK" w:eastAsia="方正仿宋_GBK" w:cs="方正仿宋_GBK"/>
          <w:b w:val="0"/>
          <w:bCs w:val="0"/>
          <w:color w:val="000000" w:themeColor="text1"/>
          <w:sz w:val="32"/>
          <w:szCs w:val="22"/>
          <w:highlight w:val="none"/>
          <w:lang w:val="en-US" w:eastAsia="zh-CN"/>
          <w14:textFill>
            <w14:solidFill>
              <w14:schemeClr w14:val="tx1"/>
            </w14:solidFill>
          </w14:textFill>
        </w:rPr>
        <w:t>积极推动清远西站、浸潭站科学选址，</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统筹做好高铁站场周边路网规划，强化交通枢纽与城市主干道、产业园区的衔接，推动交通建设与片区综合开发深度融合。进一步完善回澜、飞水等片区路网建设，完成新建跨滨江桥与沿江西路改建工程、振港北路建设工程、清远市清新区福成岗路、黄泥塘路（工业大道至三中2号路段）建设工程等项目，强化干线公路网与回澜、飞水等片区内高速公路出入口规划。推动普通国省道升级，聚焦拥堵及瓶颈路段，推进省道S354等路线改扩建，着力提升干线公路技术等级和公路沿线景观，提高安全通行能力。实施新一轮农村公路提升行动，提高农村公路服务水平，积极推进通行政村单改双工程项目建设、3A</w:t>
      </w:r>
      <w:r>
        <w:rPr>
          <w:rFonts w:hint="eastAsia" w:ascii="方正仿宋_GBK" w:hAnsi="方正仿宋_GBK" w:eastAsia="方正仿宋_GBK" w:cs="方正仿宋_GBK"/>
          <w:b w:val="0"/>
          <w:bCs w:val="0"/>
          <w:color w:val="000000" w:themeColor="text1"/>
          <w:sz w:val="32"/>
          <w:szCs w:val="22"/>
          <w:highlight w:val="none"/>
          <w:lang w:val="en-US" w:eastAsia="zh-CN"/>
          <w14:textFill>
            <w14:solidFill>
              <w14:schemeClr w14:val="tx1"/>
            </w14:solidFill>
          </w14:textFill>
        </w:rPr>
        <w:t>级及以上旅游景区和产业园区三级及以上公路建设、县道路网提升工程、路网联结工程等，提升城镇带动乡村发展能力。加强中心城区与省级及以上重点产业园区核心区连接路段提质改造，统筹推进城乡融合发展。完善高速公路出入口路网，畅通城镇及产业园到高速公路出入口等重要节点的路网，提升高速公路网络连通效率。</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专栏7：交通基础设施网络重点项目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5000" w:type="pct"/>
          </w:tcPr>
          <w:p>
            <w:pPr>
              <w:pStyle w:val="29"/>
              <w:shd w:val="clear"/>
              <w:bidi w:val="0"/>
              <w:ind w:firstLine="562"/>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轨道交通。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配合推进永州经清远至广州高铁轨道交通建设，积极推动清远西站、浸潭站科学选址。</w:t>
            </w:r>
          </w:p>
          <w:p>
            <w:pPr>
              <w:pStyle w:val="29"/>
              <w:shd w:val="clear"/>
              <w:bidi w:val="0"/>
              <w:ind w:firstLine="562"/>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水运码头。</w:t>
            </w:r>
            <w:r>
              <w:rPr>
                <w:rFonts w:hint="eastAsia" w:ascii="方正仿宋_GBK" w:hAnsi="方正仿宋_GBK" w:eastAsia="方正仿宋_GBK" w:cs="方正仿宋_GBK"/>
                <w:color w:val="000000" w:themeColor="text1"/>
                <w:highlight w:val="none"/>
                <w14:textFill>
                  <w14:solidFill>
                    <w14:schemeClr w14:val="tx1"/>
                  </w14:solidFill>
                </w14:textFill>
              </w:rPr>
              <w:t>配合做好清远港清新作业区岸线调整事项，做好清新区旅游客运和公务执法码头岸线项目的前期研究工作。推进港口基础设施扩能升级，谋划清远港清远港区山塘作业区码头及配套基础设施建设项目</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加快推动清新作业区疏港公路的前期工作。</w:t>
            </w:r>
          </w:p>
          <w:p>
            <w:pPr>
              <w:pStyle w:val="29"/>
              <w:shd w:val="clear"/>
              <w:ind w:firstLine="562"/>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高速公路。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连山至清新段开工建设，配合做好清远至佛山高明高速（环城高速）前期研究工作。加快推进清花高速（清新段）建成通车，积极推动清远至珠海高速公路连山至清新段。</w:t>
            </w:r>
          </w:p>
          <w:p>
            <w:pPr>
              <w:pStyle w:val="29"/>
              <w:shd w:val="clear"/>
              <w:ind w:firstLine="562"/>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特色高速公路服务区。</w:t>
            </w:r>
            <w:r>
              <w:rPr>
                <w:rFonts w:hint="eastAsia" w:ascii="方正仿宋_GBK" w:hAnsi="方正仿宋_GBK" w:eastAsia="方正仿宋_GBK" w:cs="方正仿宋_GBK"/>
                <w:color w:val="000000" w:themeColor="text1"/>
                <w:highlight w:val="none"/>
                <w14:textFill>
                  <w14:solidFill>
                    <w14:schemeClr w14:val="tx1"/>
                  </w14:solidFill>
                </w14:textFill>
              </w:rPr>
              <w:t>完成许广高速清连段清新浸潭停车区建设，研究谋划清新区境内服务区按</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助农兴业</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理念进行微改造和服务品质升级</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w:t>
            </w:r>
          </w:p>
          <w:p>
            <w:pPr>
              <w:pStyle w:val="29"/>
              <w:shd w:val="clear"/>
              <w:ind w:firstLine="562"/>
              <w:rPr>
                <w:rFonts w:hint="eastAsia" w:ascii="方正仿宋_GBK" w:hAnsi="方正仿宋_GBK" w:eastAsia="方正仿宋_GBK" w:cs="方正仿宋_GBK"/>
                <w:b/>
                <w:bCs/>
                <w:color w:val="000000" w:themeColor="text1"/>
                <w:highlight w:val="none"/>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bidi="ar"/>
                <w14:textFill>
                  <w14:solidFill>
                    <w14:schemeClr w14:val="tx1"/>
                  </w14:solidFill>
                </w14:textFill>
              </w:rPr>
              <w:t>高速路出入口。</w:t>
            </w:r>
            <w:r>
              <w:rPr>
                <w:rFonts w:hint="eastAsia" w:ascii="方正仿宋_GBK" w:hAnsi="方正仿宋_GBK" w:eastAsia="方正仿宋_GBK" w:cs="方正仿宋_GBK"/>
                <w:b w:val="0"/>
                <w:bCs w:val="0"/>
                <w:color w:val="000000" w:themeColor="text1"/>
                <w:kern w:val="0"/>
                <w:sz w:val="28"/>
                <w:szCs w:val="21"/>
                <w:highlight w:val="none"/>
                <w:u w:val="none"/>
                <w:lang w:val="en-US" w:eastAsia="zh-CN" w:bidi="ar"/>
                <w14:textFill>
                  <w14:solidFill>
                    <w14:schemeClr w14:val="tx1"/>
                  </w14:solidFill>
                </w14:textFill>
              </w:rPr>
              <w:t>做好高速出入口快速路等项目建设工作，改善高速出入口至产业园及县城路段交通品质，研究推动具备条件的高速公路服务区增设出入口，打造服务区“后通道”。</w:t>
            </w:r>
          </w:p>
          <w:p>
            <w:pPr>
              <w:pStyle w:val="29"/>
              <w:shd w:val="clear"/>
              <w:ind w:firstLine="56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普通国省道。</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推进省道S354线清新太和至三坑段改建工程（清四复线）建设，推动实施国道G107线清新龙颈军营至太和迳口段改建工程等一批改扩建项目，实施国省道路面预防养护及功能性修复养护工程、国省道安全提升工程等一批养护项目。</w:t>
            </w:r>
          </w:p>
          <w:p>
            <w:pPr>
              <w:pStyle w:val="29"/>
              <w:shd w:val="clear"/>
              <w:ind w:firstLine="562"/>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农村公路。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清新区“四好农村路”高质量发展，加快推进清新区县道路网提档升级工程、清新区山塘镇沙和村至永兴村三级公路新建工程等项目建设。推动实施通行政村单改双工程、路网联结工程、危旧桥梁改造工程、“美丽农村路”等项目，切实提高镇村出行环境，减少交通安全隐患。</w:t>
            </w:r>
          </w:p>
          <w:p>
            <w:pPr>
              <w:pStyle w:val="29"/>
              <w:shd w:val="clear"/>
              <w:ind w:firstLine="562"/>
              <w:rPr>
                <w:rFonts w:hint="default"/>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市政产业路。</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加快推进广东清远经济开发区及周边基础设施项目云龙产业大道一期、二期工程等项目建设，推动实施盈富片区盈富北快速路建设工程、清新区太平镇龙湾大道升级改造工程等项目，构建产城融合路网。</w:t>
            </w:r>
          </w:p>
        </w:tc>
      </w:tr>
    </w:tbl>
    <w:p>
      <w:pPr>
        <w:shd w:val="clear"/>
        <w:bidi w:val="0"/>
        <w:rPr>
          <w:rFonts w:hint="eastAsia"/>
          <w:b/>
          <w:bCs/>
          <w:color w:val="000000" w:themeColor="text1"/>
          <w:highlight w:val="none"/>
          <w:lang w:val="en-US" w:eastAsia="zh-CN"/>
          <w14:textFill>
            <w14:solidFill>
              <w14:schemeClr w14:val="tx1"/>
            </w14:solidFill>
          </w14:textFill>
        </w:rPr>
      </w:pP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前瞻布局新型基础设施。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大5G基站建设力度，到2030年，5G基站数量达到0.43万个，5G通达率达100%。实施光纤宽带普及提速工程，加快窄宽物联网、千兆光纤建设，推动信息通信网络设施改造升级。加快政务应用改造，推动全区电子政务网络、政务数据中心、政务云平台、政府网站、政务类移动客户端 IPv6 升级改造。有序推进各类飞行服务站和低空综合管理服务平台建设，做好低空航线及基础设施规划布局。</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加强水利基础设施建设。</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以</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漫水河、秦皇河、滨江河、古水河等流域为重点，推进实施多宗200—3000平方公里中小河流治理。推进黄岗联围、飞水围、三坑南围等中心城区重要堤防达标提标，强化堤防及岸线改造，推进堤路结合飞水围—清西围北江干堤改造工程建设，巩固提升清新区防洪能力，力争到“十五五”期末，主城区防洪标准有明显提高。实施中型灌区加固提升建设，开展三坑镇北灌区水利基础设施改造工程、浸潭镇大罗山灌区维修改造工程、太平镇大秦灌区维修改造工程建设，提升灌区灌溉能力。积极推进清新区水源互联互通工程，加快推进清新区城市供水设施改造、清新供水一张网建设等工程，提升区域供水质量，保障居民用水安全。落实推进农村供水“三同五化”</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16"/>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提升改造工作，进一步推进农村供水工程县域统管工作，到2030年，规模化供水工程覆盖农村人口比例达83%。推进智慧水利建设，推动重点水利业务遥感监测能力提升，着力建设大秦水库现代化运行管理</w:t>
      </w:r>
      <w:r>
        <w:rPr>
          <w:rFonts w:hint="eastAsia" w:ascii="方正仿宋_GBK" w:hAnsi="方正仿宋_GBK" w:eastAsia="方正仿宋_GBK" w:cs="方正仿宋_GBK"/>
          <w:color w:val="000000" w:themeColor="text1"/>
          <w:kern w:val="2"/>
          <w:sz w:val="32"/>
          <w:szCs w:val="32"/>
          <w:highlight w:val="none"/>
          <w:lang w:val="en-US" w:eastAsia="zh-CN" w:bidi="ar-SA"/>
          <w14:textFill>
            <w14:solidFill>
              <w14:schemeClr w14:val="tx1"/>
            </w14:solidFill>
          </w14:textFill>
        </w:rPr>
        <w:t>矩阵。</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强化能源基础设施网络。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完善电网基础设施，加快推进220kV滨河变电站建设，并配套建设110kV花清#1变电站、110千伏回岐（山塘）输变电工程、110千伏平湾站扩建第三台主变工程、110kV盈富变电站与110kV石潭变电站。加快构建绿色低碳能源体系，进一步优化开发新能源基础设施建设环境，有序发展太阳能、风电、分布式光伏、新型储能，着力推进清远下坪抽水蓄能电站项目建设。积极争取500kV与220kV新能源接入电站的建设，大幅提升清新区新能源电网接入能力。积极推进配电网智能化升级改造，推动构建安全高效、清洁低碳的现代化智能电网。加强城乡配电网络建设，提高农村供电可靠性和供电质量。加快布局建设以快充为主，超充、慢充为辅的公共充电基础设施，形成城市面状、公路线状、乡村点状布局的充电网络。</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spacing w:line="240" w:lineRule="auto"/>
              <w:jc w:val="center"/>
              <w:rPr>
                <w:rFonts w:hint="default"/>
                <w:color w:val="000000" w:themeColor="text1"/>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专栏8：构建绿色清洁能源体系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风电。</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国电电力清新七星岗风电场、竹山风电场、秦皇风电场、禾云分散式风电场、鸿辉分散式风电场、清新大桥分散式风电场项目、鸿远分散式风电场项目、龙颈分散式风电场项目。</w:t>
            </w:r>
          </w:p>
          <w:p>
            <w:pPr>
              <w:pStyle w:val="29"/>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储能。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下坪抽水蓄能电站、华润清远清新独立共享储能电站、太平镇龙湾村200MW/400MWh独立储能电站。</w:t>
            </w:r>
          </w:p>
          <w:p>
            <w:pPr>
              <w:pStyle w:val="29"/>
              <w:shd w:val="clear"/>
              <w:rPr>
                <w:rFonts w:hint="default"/>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电网。</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110kV花清#1变电站、110千伏回岐（山塘）输变电工程、110千伏平湾站扩建第三台主变工程、110kV盈富变电站、110kV石潭变电站。</w:t>
            </w:r>
          </w:p>
        </w:tc>
      </w:tr>
    </w:tbl>
    <w:p>
      <w:pPr>
        <w:pStyle w:val="3"/>
        <w:shd w:val="clear"/>
        <w:bidi w:val="0"/>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pPr>
      <w:bookmarkStart w:id="45" w:name="_Toc9591"/>
    </w:p>
    <w:p>
      <w:pPr>
        <w:pStyle w:val="3"/>
        <w:shd w:val="clear"/>
        <w:bidi w:val="0"/>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第十章  加强</w:t>
      </w:r>
      <w:r>
        <w:rPr>
          <w:rFonts w:hint="eastAsia" w:ascii="方正黑体_GBK" w:hAnsi="方正黑体_GBK" w:eastAsia="方正黑体_GBK" w:cs="方正黑体_GBK"/>
          <w:color w:val="000000" w:themeColor="text1"/>
          <w:highlight w:val="none"/>
          <w14:textFill>
            <w14:solidFill>
              <w14:schemeClr w14:val="tx1"/>
            </w14:solidFill>
          </w14:textFill>
        </w:rPr>
        <w:t>民生事业</w:t>
      </w: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建设</w:t>
      </w:r>
      <w:r>
        <w:rPr>
          <w:rFonts w:hint="eastAsia" w:ascii="方正黑体_GBK" w:hAnsi="方正黑体_GBK" w:eastAsia="方正黑体_GBK" w:cs="方正黑体_GBK"/>
          <w:color w:val="000000" w:themeColor="text1"/>
          <w:highlight w:val="none"/>
          <w14:textFill>
            <w14:solidFill>
              <w14:schemeClr w14:val="tx1"/>
            </w14:solidFill>
          </w14:textFill>
        </w:rPr>
        <w:t>，不断提高人民生活品质</w:t>
      </w:r>
      <w:bookmarkEnd w:id="45"/>
    </w:p>
    <w:p>
      <w:pPr>
        <w:shd w:val="clear"/>
        <w:bidi w:val="0"/>
        <w:ind w:firstLine="0"/>
        <w:rPr>
          <w:rFonts w:hint="eastAsia"/>
          <w:color w:val="000000" w:themeColor="text1"/>
          <w:highlight w:val="none"/>
          <w:lang w:val="en-US" w:eastAsia="zh-CN"/>
          <w14:textFill>
            <w14:solidFill>
              <w14:schemeClr w14:val="tx1"/>
            </w14:solidFill>
          </w14:textFill>
        </w:rPr>
      </w:pPr>
    </w:p>
    <w:p>
      <w:pPr>
        <w:shd w:val="clear"/>
        <w:bidi w:val="0"/>
        <w:ind w:firstLine="64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坚持以人民为中心的发展思想，进一步增强社会保障公平性、提高基本公共服务均衡性、扩大基础民生服务普惠性、提升多样化社会服务可及性，不断实现人民对美好生活的向往。</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6" w:name="_Toc1430"/>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扎实推进稳就业增收入</w:t>
      </w:r>
      <w:bookmarkEnd w:id="46"/>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促进高质量充分就业。</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贯彻落实就业促进政策</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，构建就业友好型发展模式。</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加强产业和就业协同，支持各类经营主体稳岗扩岗，积极培育就业新岗位。推进建设清新区人力资源市场，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积极举办各类主题招聘活动，促进企业和求职者有效对接。</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推进区镇村三级</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公共就业服务体系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标准化建设</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建设就业驿站和零工市场，打造“家门口”服务圈。强化高校毕业生、农民工、退役军人、就业困难人员等重点群体就业帮扶，推动灵活就业、新就业形态健康发展。加大优秀创业项目支持力度，增强就业带动效应。加强农村电商产业园建设，进一步提升创业服务能力。落实创业补贴支持创业带头人和返乡务工人员在清新创办企业，带动周边群众实现就业。“十五五”时期计划新增城镇就业3.25万人。</w:t>
      </w:r>
    </w:p>
    <w:p>
      <w:pPr>
        <w:shd w:val="clear"/>
        <w:bidi w:val="0"/>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多渠道促进城乡居民增收</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加强对企业工资收入分配的宏观指导，建立健全企业薪酬调查和信息发布制度，完善企业薪酬调查发布体系、企业人工成本监测分析制度，以及劳动者工资决定、合理增长、支付保障机制。加强劳动者技能培训，分行业领域有序组织开展职业技能提升培训。大力发展劳务经济，完善“劳务品牌+产业”模式，建设围餐师傅培训基地，提升“南粤家政”就业服务能力，培育“粤菜师傅”“清新家护”等劳务品牌。</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支持勤劳创造合法致富，鼓励先富带后富促共富。</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构建和谐稳定劳动关系。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立健全劳动关系风险预警机制，加强劳动保障法律法规宣传和劳动用工指导服务。积极开展劳动法律法规的宣传，加强劳动者和企业的法律意识。完善政府、工会、企业组织三方协商机制，充分发挥三方在劳动关系协调中的作用。维护新就业形态劳动者权益，探索适合新就业形态的劳动标准、劳动保障、纠纷调解机制。推动劳动关系治理体系和治理能力现代化建设，大力推广应用电子劳动合同。推进劳动保障诚信体系建设，完善企业劳动保障守法诚信等级评价体系及强化结果应用。</w:t>
      </w:r>
    </w:p>
    <w:p>
      <w:pPr>
        <w:rPr>
          <w:rFonts w:hint="default"/>
          <w:color w:val="000000" w:themeColor="text1"/>
          <w:highlight w:val="none"/>
          <w:lang w:val="en-US" w:eastAsia="zh-CN"/>
          <w14:textFill>
            <w14:solidFill>
              <w14:schemeClr w14:val="tx1"/>
            </w14:solidFill>
          </w14:textFill>
        </w:rPr>
      </w:pPr>
    </w:p>
    <w:p>
      <w:pPr>
        <w:pStyle w:val="4"/>
        <w:numPr>
          <w:ilvl w:val="0"/>
          <w:numId w:val="6"/>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47" w:name="_Toc20529"/>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持续办好人民满意的教育</w:t>
      </w:r>
      <w:bookmarkEnd w:id="47"/>
    </w:p>
    <w:p>
      <w:pPr>
        <w:shd w:val="clear"/>
        <w:bidi w:val="0"/>
        <w:ind w:firstLine="642" w:firstLineChars="20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落实立德树人根本任务。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不懈用习近平新时代中国特色社会主义思想铸魂育人，落实推进新时代立德树人工程，加强社会主义核心价值观、铸牢中华民族共同体意识及党史、新中国史、改革开放史、社会主义发展史、宪法、国家安全教育。深入实施素质教育，健全德智体美劳全面培养体系。全面实施学生强健体质计划，加强青少年体育与健康教育，控制近视、肥胖等发生率。深化美育浸润行动，培养学生审美和人文素养。进一步加强心理健康教育，开足开齐心理健康课，实施心理教师素质提升工程，落实专兼职心理教师培养培训工作。抓好预防和治理未成年人违法犯罪专项行动工作，做好预防学生欺凌、预防性侵、毒品预防等教育工作。加强青少年学生网络安全教育，培育网络文明素养与良好行为习惯。完善法治副校长制度，联</w:t>
      </w:r>
      <w:r>
        <w:rPr>
          <w:rFonts w:hint="eastAsia" w:ascii="方正仿宋_GBK" w:hAnsi="方正仿宋_GBK" w:eastAsia="方正仿宋_GBK" w:cs="方正仿宋_GBK"/>
          <w:color w:val="000000" w:themeColor="text1"/>
          <w:szCs w:val="32"/>
          <w:highlight w:val="none"/>
          <w:lang w:val="en-US" w:eastAsia="zh-CN"/>
          <w14:textFill>
            <w14:solidFill>
              <w14:schemeClr w14:val="tx1"/>
            </w14:solidFill>
          </w14:textFill>
        </w:rPr>
        <w:t>动家校社力量，塑造有利于青少年健康成</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长的网络空间和育人生态。</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办强办优基础教育</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创建学前教育普及普惠区，稳步增加公办幼儿园学位供给，在城镇新增人口集中地区新建、改扩建一批公办园，力争到2028年公办幼儿园在园幼儿占比达到60%以上，保持公办和普惠性民办幼儿园在园幼儿占比达85%。提高幼儿园保教质量，加强幼儿园教师队伍建设</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落实教师持证上岗制度。健全学前教育投入机制，逐步推行免费学前教育政策。</w:t>
      </w:r>
    </w:p>
    <w:p>
      <w:pPr>
        <w:shd w:val="clear"/>
        <w:bidi w:val="0"/>
        <w:ind w:firstLine="0" w:firstLineChars="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积极创建义务教育优质均衡区，深化集团化办学，提升乡镇“三所学校”</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17"/>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办学条件和管理水平，加强教育基础设施建设。推进太和镇回澜中学、市职校搬迁后改建学校等新（改、扩）建项目，力争“十五五”期间增加义务教育学位6000个以上。统筹推进高中多样特色发展，办好普通高中和综合高中，做好高中学位“迎峰”供给，“十五五”期间增加高中学位约4000个。推进区特殊教育学校扩建工程，完善“春风”工作体系，促进特殊教育优质融合发展。</w:t>
      </w:r>
    </w:p>
    <w:p>
      <w:pPr>
        <w:shd w:val="clear"/>
        <w:bidi w:val="0"/>
        <w:ind w:firstLine="642" w:firstLineChars="200"/>
        <w:rPr>
          <w:rFonts w:hint="eastAsia" w:ascii="方正仿宋_GBK" w:hAnsi="方正仿宋_GBK" w:eastAsia="方正仿宋_GBK" w:cs="方正仿宋_GBK"/>
          <w:color w:val="000000" w:themeColor="text1"/>
          <w:kern w:val="21"/>
          <w:sz w:val="32"/>
          <w:szCs w:val="32"/>
          <w:highlight w:val="none"/>
          <w:u w:val="none" w:color="auto"/>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建设现代职业教育体系</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实施职业教育培优工程，</w:t>
      </w:r>
      <w:r>
        <w:rPr>
          <w:rFonts w:hint="eastAsia" w:ascii="方正仿宋_GBK" w:hAnsi="方正仿宋_GBK" w:eastAsia="方正仿宋_GBK" w:cs="方正仿宋_GBK"/>
          <w:color w:val="000000" w:themeColor="text1"/>
          <w:kern w:val="2"/>
          <w:sz w:val="32"/>
          <w:szCs w:val="32"/>
          <w:highlight w:val="none"/>
          <w:u w:val="none"/>
          <w:lang w:val="en-US" w:eastAsia="zh-CN"/>
          <w14:textFill>
            <w14:solidFill>
              <w14:schemeClr w14:val="tx1"/>
            </w14:solidFill>
          </w14:textFill>
        </w:rPr>
        <w:t>深化中高职贯通培养，大力发展技工教育。</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完善产教融合体制机制，</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推动职业学校与企业深化合作，推广</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实施“订单定向培养”，提升产教融合共同体建设水平。</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力争“十五五”</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期间</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校企合作企业数量达到30家，与企业开展订单班培养项目不少于8项，每年培养“订单定向”生约200人。</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加强高水平职业学校和专业群建设，加快清新区中等职业教育基地（一期）、清新区职业技术学校（二期）和广东江南理工高级技工学校清远校区等项目建设，</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推进中餐烹饪、电子商务等专业群建设，力争在“十五五”期间完成“双高”建设</w:t>
      </w:r>
      <w:r>
        <w:rPr>
          <w:rStyle w:val="24"/>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footnoteReference w:id="18"/>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并顺利通过验收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。一体推进教育发展、科技创新、人才培养，用好区职校平台，强化政产学研合作，推动更多科技成果转化为现实生产力。</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深化教育综合改革</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深化督导体制机制改革，推动督导从“监督为主”向“监督与指导并重”转变，完善督导评价体系，建立多元化评价机制。积极探索教育评价方式改革，深化评改试点学校过程管理。完善市</w:t>
      </w:r>
      <w:r>
        <w:rPr>
          <w:rFonts w:hint="eastAsia" w:ascii="方正仿宋_GBK" w:hAnsi="方正仿宋_GBK" w:eastAsia="方正仿宋_GBK" w:cs="方正仿宋_GBK"/>
          <w:color w:val="auto"/>
          <w:highlight w:val="none"/>
          <w:lang w:val="en-US" w:eastAsia="zh-CN"/>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区</w:t>
      </w:r>
      <w:r>
        <w:rPr>
          <w:rFonts w:hint="eastAsia" w:ascii="方正仿宋_GBK" w:hAnsi="方正仿宋_GBK" w:eastAsia="方正仿宋_GBK" w:cs="方正仿宋_GBK"/>
          <w:color w:val="auto"/>
          <w:highlight w:val="none"/>
          <w:lang w:val="en-US" w:eastAsia="zh-CN"/>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校三级立体教研体系建设，打通三级教研联动壁垒，形成“自上而下引领+自下而上反馈”的教研闭环。推进城乡一体化办学体制改革，完善推进城乡教育共同体的保障机制，有效推进强校带弱校、城乡学校对口帮扶工作，不断缩小校际、城乡教育差距。持续深化中小学课堂教学改革，推动数字教育、数字技术、数字平台与教育教学深度融合，探索在线平台、智能设备、虚拟现实等教与学方式变革，推动建设智慧校园。有序推进“双减”工作，优化作业设计，提升教师命题能力，开展提升学生数学思维、科学素养和体艺素质的课后托管服务，实现“双减”背景下的质量提升。</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实施“新强师”工程。</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完善构建清新区“四维四阶”</w:t>
      </w:r>
      <w:r>
        <w:rPr>
          <w:rFonts w:hint="eastAsia" w:ascii="方正仿宋_GBK" w:hAnsi="方正仿宋_GBK" w:eastAsia="方正仿宋_GBK" w:cs="方正仿宋_GBK"/>
          <w:color w:val="000000" w:themeColor="text1"/>
          <w:highlight w:val="none"/>
          <w:vertAlign w:val="superscript"/>
          <w:lang w:val="en-US" w:eastAsia="zh-CN"/>
          <w14:textFill>
            <w14:solidFill>
              <w14:schemeClr w14:val="tx1"/>
            </w14:solidFill>
          </w14:textFill>
        </w:rPr>
        <w:footnoteReference w:id="19"/>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培训体系，全面提升教师育人水平。持续推进岗位核定、等级细分和竞聘上岗等工作，确保县管校聘改革工作落到实处。健全教师补充激励机制，实施县域普通高中在职教师学历提升专项行动。实施教育家精神铸魂强师行动，健全师德师风建设长效机制，培育新时代“四有”</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0"/>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好老师。进一步落实校长聘任负责制，积极选拔年轻有为、德才兼备的中层干部、骨干教师进入中小学校长队伍。推进教师交流轮岗，推动城镇优秀教师、校长向乡村学校、薄弱学校流动。</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建设学习型社会。</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教育资源开放共享，建立健全城乡一体的区—镇—村三级社区学习网络。开展社区教育品牌建设活动，培育一批品牌社区学习中心和社区教育品牌课程，为居民提供智能灵活、普惠共享、公平可及的终身学习支持服务。支持有条件的中等职业学校试办社区教育学院。聚焦继续教育品牌特色专业建设、继续教育课程思政与思政课程同向同行、数字化学习支持服务等重点，推进学历继续教育教学改革创新。重点围绕立德树人融入非学历教育全过程、创新推进非学历教育精准规范管理、非学历教育学习成果认证积累转换、线上线下混合式研修等方面，开展非学历教育教学改革创新。</w:t>
      </w: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8" w:name="_Toc2603"/>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建设更高水平的健康清新</w:t>
      </w:r>
      <w:bookmarkEnd w:id="48"/>
    </w:p>
    <w:p>
      <w:pPr>
        <w:shd w:val="clear"/>
        <w:bidi w:val="0"/>
        <w:ind w:firstLine="64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健全公共卫生服务体系。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加强疾病预防控制体系建设，加快推进区疾病预防控制体系建设项目。巩固提升应急和重大疫情防控救治能力，定期开展应急演练，提升突发事件协同处置能力。推动建设5G智慧化应急体系。推动清远市清新区吸毒病残人员收治所及精神病院康复中心等六合一场所建设工程建设。提升公共卫生干预能力，持续加强艾滋病、结核病、病毒性肝炎等重点传染病防控，巩固重点寄生虫病、地方病防治成果，强化职业病源头防控。加强老年人、妇幼健康保障，提升慢性病管理和家庭医生服务能力，做好心理健康和精神卫生服务。深入开展爱国卫生运动，普及文明健康的生活方式，提升人均预期寿命和人民健康水平。</w:t>
      </w:r>
    </w:p>
    <w:p>
      <w:pPr>
        <w:shd w:val="clear"/>
        <w:bidi w:val="0"/>
        <w:ind w:firstLine="642"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提升医疗卫生服务水平。</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医疗卫生强基工程，强化广东省妇幼保健院清远院区辐射带动作用，搭建医教研协同平台；加快推进区人民医院“创三甲”工作，继续推进区人民医院配套基础设施建设、区中医院及区妇幼保健院（二期）、区医共体总院（区人医）升级建设等项目建设。高标准创建广东省三级创伤中心、攻坚创建国家胸痛中心（标准版），构建急危重症高效救治体系。加强临床重点专科建设，力争到2030年，内分泌科创建为省级重点专科，新增培育1—2个市级重点专科。提升基层医疗机构服务能力，加快太平医院、浸潭医院建设，推进村级卫生站标准化建设。深化紧密型县域医共体建设，搭建区域医共体信息服务平台，推进医共体内实行“六统一”</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1"/>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管理，推动人员、技术、服务、管理“四个下沉”。深化人工智能与医疗健康全链条融合，实现医疗服务智能化转型。</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推进医药卫生体制改革。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健全公共卫生健康服务体系，建立完善科学合理的分级诊疗制度，深化医疗、医药、医保“三医联动”改革。深化以公益性为导向的公立医院改革。提高基层医疗保障水平，加大医疗保障支持力度，加强基层医保基金和医疗服务监管。进一步落实国家基本药物制度，继续规范国家和省财政的基本药物制度补助资金使用。深入推进疾病预防控制体系改革，完善突发公共卫生事件监测预警处置机制。推进卫生监督执法创新，规范引导民营医院发展。</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促进中医药特色发展。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推进中医妇幼相融合，建设中医“两专科一中心”</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2"/>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推动区域中医药工作发展。中医科推进专科能力建设，推广中医治疗，深化中医保健服务，推广中医治未病理念，探索中药制剂项目。依托省、市中医院优质中医药资源，通过“传帮带”的方式，促进人才、服务、技术、文化的下沉，提升各镇卫生院中医药专病专治诊疗服务能力。组织开展非中医类别医师学习中医知识和技能、安排基层医务人员到省、市中医院进修学习等方式，强化中医药人才队伍的培养。</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强化医疗人才队伍建设。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人才强卫”，加强人才专项引进与培育。大力推进区管镇用、镇聘村用，积极推动编制额度核定机制建立和区招区管镇用制度出台等工作。加强公共卫生人才队伍建设，推动医师多点执业，引导优秀医疗卫生人才向基层流动。落实省“启航计划”、积极推动引进“外智外脑”人才。通过跟班进修、专家授课等方式，提升基层医务人员慢性病防治与康复服务能力。推动“人尽其才、人尽其用”的人才工作理念，改善医务人员工作生活环境和就医环境。落实公立医院薪酬制度改革。优化职称评聘工作，落实收入和待遇保障。</w:t>
      </w:r>
    </w:p>
    <w:p>
      <w:pPr>
        <w:rPr>
          <w:rFonts w:hint="default"/>
          <w:color w:val="000000" w:themeColor="text1"/>
          <w:highlight w:val="none"/>
          <w:lang w:val="en-US" w:eastAsia="zh-CN"/>
          <w14:textFill>
            <w14:solidFill>
              <w14:schemeClr w14:val="tx1"/>
            </w14:solidFill>
          </w14:textFill>
        </w:rPr>
      </w:pPr>
    </w:p>
    <w:p>
      <w:pPr>
        <w:pStyle w:val="4"/>
        <w:numPr>
          <w:ilvl w:val="-1"/>
          <w:numId w:val="0"/>
        </w:numPr>
        <w:shd w:val="clear"/>
        <w:bidi w:val="0"/>
        <w:ind w:leftChars="0"/>
        <w:jc w:val="cente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49" w:name="_Toc1607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第四节  提高社会保障水平</w:t>
      </w:r>
      <w:bookmarkEnd w:id="49"/>
    </w:p>
    <w:p>
      <w:pPr>
        <w:shd w:val="clear"/>
        <w:bidi w:val="0"/>
        <w:ind w:firstLine="64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完善社会保险和医疗保障体系。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社会保障制度改革，健全覆盖全民多层次的社会保障体系。加快发展多层次、多支柱养老保险体系，多措并举提高企业年金覆盖率，推进第三支柱养老保险扩面提质增效行动。健全多层次医疗保障体系，落实基本医疗保障省级统筹，健全重特大疾病医疗保险，发展商业健康保险。强化医保基金常态化监管，推动异地就医结算政策与管理的统一与规范。落实医保支付方式改革政策，推进以门诊统筹按人头付费、住院按病种分值付费为主的多元复合式医保支付方式。扩大失业、工伤保险覆盖面，建立健全职业伤害保障制度。推进实施社保“镇村通”工程，建立以社保经办机构为主、横向到银行、纵向到镇村、一干多支的社保公共服务体系。优化社保关系转移接续服务，提高灵活就业人员、农民工、新业态从业人员参保率，促进城乡、区域、群体间保障水平合理衔接。健全社会保险基金监管体系，持续推进社保基金管理巩固提升行动。</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健全社会救助和福利服务体系。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建设区镇村三级综合救助服务平台，积极发展服务类社会救助，推动发展“物质+服务”综合救助模式。加强低收入人群救助帮扶，关心关爱空巢老人、困境儿童、残障人群、精神病人等特殊群体生活。持续推进惠民殡葬改革，建立健全基本殡葬服务制度，加大殡葬设施公益供给力度。弘扬慈善文化，培育公民慈善意识。推动慈善事业健康发展，加强与社会救助、社会福利等制度衔接。健全志愿服务体系，加强志愿服务社会组织培育发展、阵地建设，保障志愿者基本权利，广泛开展志愿服务关爱行动。完善住房保障体系，优化保障性住房供给，提升住房保障能力。</w:t>
      </w:r>
    </w:p>
    <w:p>
      <w:pPr>
        <w:shd w:val="clear"/>
        <w:bidi w:val="0"/>
        <w:ind w:firstLine="643"/>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提升重点人群服务水平。</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促进妇女全面发展，健全法规政策性别平等评估咨询机制，建立困难妇女关爱服务体系，鼓励妇女积极投身经济社会建设。加强妇女普法与维权工作，营造妇女发展良好法治氛围，促进妇女平等享有多层次可持续的社会保障。坚持儿童利益优先，健全儿童福利和权益保障工作体制机制。推进未成年人救助保护体系建设，</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加强区未成年人救助保护中心和各镇未成年人保护工作站建设，积极争取省、市资金支持未成年人救助保护中心进一步升级改造。加强对未成年人保护机构人员、儿童督导员、儿童主任、“双百”社工的政策培训及业务指导，共同织牢未成年人保护网。</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残疾人就业增收政策与社会保障政策的有效衔接，落实残疾人就业财政补贴、税收优惠、金融扶持等帮扶政策，提高残疾人就业服务水平。进一步健全以区残联为主导、镇残联为骨干、村（社区）残疾人协会为基础的基层残疾人组织网络，继续做好残疾人精准康复、居家无障碍等残疾人社会保障工作。强化退役军人服务保障，加大拥军优属力度。加强退役军人就业创业服务，推动退役军人高质量、多渠道就业创业</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w:t>
      </w:r>
    </w:p>
    <w:p>
      <w:pPr>
        <w:shd w:val="clear"/>
        <w:bidi w:val="0"/>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50" w:name="_Toc1060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第五节  推动人口高质量发展</w:t>
      </w:r>
      <w:bookmarkEnd w:id="50"/>
    </w:p>
    <w:p>
      <w:pPr>
        <w:shd w:val="clear"/>
        <w:bidi w:val="0"/>
        <w:ind w:firstLine="643"/>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促进人口结构优化及合理分布。</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应对人口老龄化、少子化发展趋势，健全覆盖全人群、全生命周期的人口服务体系。积极构建生育友好环境，完善生育政策配套措施，提高优生优育服务水平。完善生育休假制度，落实延长产假、护理假、育儿假的政策，职工休假期间享受相应工资福利待遇。加强妇女和儿童健康服务，巩固拓展省儿童友好示范镇、示范基地建设成果。持续深化青年发展型城市建设，完善青年创业就业政策支持体系。丰富青年文化活动，支持青年文化建设。健全落户配套政策，加大力度吸引增加劳动年龄人口。</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加强移风易俗宣传教育，持续推进婚俗改革，培育向上的婚俗文化。</w:t>
      </w:r>
    </w:p>
    <w:p>
      <w:pPr>
        <w:shd w:val="clear"/>
        <w:bidi w:val="0"/>
        <w:ind w:firstLine="643"/>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加强普惠育幼服务体系建设。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加强普惠育幼服务体系建设，完善“托幼一体”管理服务机制，规范家庭托育点发展。积极争取和引导各级</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政府扶持资金和社会力量，多渠道、多方式发展普惠托育产业，建立更多普惠托育服务机构。推进0—3岁儿童发育监测筛查和出生缺陷防治。加强托育服务监督管理，定期对托育机构进行监督管理。加强托育人才培养，每年定期举办托育机构工作人员培训班，切实提高托育机构工作人员的保健意识和素质。推动托育与妇幼保健、儿童早期发展服务协同联动。持续开展“托育无忧”保险公益行动。</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健全养老服务体系。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完善区、镇、村三级养老服务网络，发展普惠型养老服务和互助性养老，支持家庭承担养老功能，培育养老新业态，构建居家社区机构相协调、医养康养相结合的养老服务体系。</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大力推进区、镇、村三级养老服务网络建设，2028年前实现行政村养老服务站覆盖率60%，2030年形成“三级联动、全域覆盖”的服务格局。</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加快推进清远市清新区滨江养老服务中心项目建设，</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整合民政、卫健、财政及社会力量资源</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建设综合养老服务中心、颐养院等，</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到2030年，全区养老床位数总量达到900张以上，其中护理型养老床位占比不低于80%，每千名老年人拥有养老床位9张以上。</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开展居家和社区基本养老服务提升行动，加快完善“1+8+N”的养老服务站点</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3"/>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建设，推动构建一刻钟居家社区养老服务圈。持续推进建设长者饭堂，</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2030年前增设15个以上村级助餐点</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养老护理员培训项目，完善养老服务人才培养、评价、使用、激励等措施，全面提升养老护理员的综合素养和职业技能水平。促进智慧健康养老产业及家政服务业高质量发展，丰富照护服务内涵。丰富老年人教育、文化、体育服务供给，稳妥实施渐进式延迟法定退休年龄，积极开发老年人力资源，发展银发经济。</w:t>
      </w:r>
    </w:p>
    <w:p>
      <w:pPr>
        <w:pStyle w:val="3"/>
        <w:shd w:val="clear"/>
        <w:bidi w:val="0"/>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pPr>
      <w:bookmarkStart w:id="51" w:name="_Toc32615"/>
    </w:p>
    <w:p>
      <w:pPr>
        <w:pStyle w:val="3"/>
        <w:shd w:val="clear"/>
        <w:bidi w:val="0"/>
        <w:rPr>
          <w:rFonts w:hint="eastAsia" w:ascii="方正黑体_GBK" w:hAnsi="方正黑体_GBK" w:eastAsia="方正黑体_GBK" w:cs="方正黑体_GBK"/>
          <w:color w:val="000000" w:themeColor="text1"/>
          <w:highlight w:val="none"/>
          <w14:textFill>
            <w14:solidFill>
              <w14:schemeClr w14:val="tx1"/>
            </w14:solidFill>
          </w14:textFill>
        </w:rPr>
      </w:pP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第十一章  促进人与自然和谐共生，建设绿美生态清新</w:t>
      </w:r>
      <w:bookmarkEnd w:id="51"/>
    </w:p>
    <w:p>
      <w:pPr>
        <w:shd w:val="clear"/>
        <w:bidi w:val="0"/>
        <w:ind w:firstLine="0" w:firstLineChars="0"/>
        <w:rPr>
          <w:rFonts w:hint="eastAsia"/>
          <w:color w:val="000000" w:themeColor="text1"/>
          <w:highlight w:val="none"/>
          <w:lang w:val="en-US" w:eastAsia="zh-CN"/>
          <w14:textFill>
            <w14:solidFill>
              <w14:schemeClr w14:val="tx1"/>
            </w14:solidFill>
          </w14:textFill>
        </w:rPr>
      </w:pPr>
    </w:p>
    <w:p>
      <w:pPr>
        <w:shd w:val="clear"/>
        <w:bidi w:val="0"/>
        <w:ind w:firstLine="640"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深入践行“两山”理念，积极创建生态文明建设示范区，一体推进降碳、减污、扩绿、增长，深入实施绿美清新生态建设，推进美丽清新建设，加速推进人与自然和谐共生的现代化。</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52" w:name="_Toc28044"/>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维育绿美生态系统</w:t>
      </w:r>
      <w:bookmarkEnd w:id="52"/>
    </w:p>
    <w:p>
      <w:pPr>
        <w:shd w:val="clear"/>
        <w:bidi w:val="0"/>
        <w:ind w:firstLine="642" w:firstLineChars="20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扎实推进生态系统建设与保护。</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自然保护地体系建设，统筹推进自然保护地整合优化、勘界立标、科学考察、总体规划等工作。加强区域生态空间保护，重点保护以太和洞森林公园、三坑自然保护区为核心的粤港澳大湾区外围丘陵浅山生态屏障以及以白湾、燕子岩自然保护区为核心的南岭生态屏障，配合推进三桂山—笔架山等跨界山体屏障整体修复。完善</w:t>
      </w:r>
      <w:r>
        <w:rPr>
          <w:rFonts w:hint="eastAsia" w:ascii="方正仿宋_GBK" w:hAnsi="方正仿宋_GBK" w:eastAsia="方正仿宋_GBK" w:cs="方正仿宋_GBK"/>
          <w:color w:val="000000" w:themeColor="text1"/>
          <w:kern w:val="2"/>
          <w:sz w:val="32"/>
          <w:szCs w:val="24"/>
          <w:highlight w:val="none"/>
          <w:u w:val="none"/>
          <w:lang w:val="en-US" w:eastAsia="zh-CN"/>
          <w14:textFill>
            <w14:solidFill>
              <w14:schemeClr w14:val="tx1"/>
            </w14:solidFill>
          </w14:textFill>
        </w:rPr>
        <w:t>湿地保护与修复机制，推进小微湿地保护。</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谋划推进清新区滨江支流禾云河、黄坑水、六仔洞河水质治理及生态修复项目建设。持续推进万里碧道建设，积极探索“碧道+”项目。加强森林资源管护、森林病虫害防治和森林防火工作。全面开展绿色矿山建设，加快推进生产矿山改造升级，推进</w:t>
      </w:r>
      <w:r>
        <w:rPr>
          <w:rFonts w:hint="eastAsia" w:ascii="方正仿宋_GBK" w:hAnsi="方正仿宋_GBK" w:eastAsia="方正仿宋_GBK" w:cs="方正仿宋_GBK"/>
          <w:color w:val="000000" w:themeColor="text1"/>
          <w:highlight w:val="none"/>
          <w14:textFill>
            <w14:solidFill>
              <w14:schemeClr w14:val="tx1"/>
            </w14:solidFill>
          </w14:textFill>
        </w:rPr>
        <w:t>历史遗留矿山生态修复。</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推进绿美清新生态建设。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积极配合市创建国家森林城市，全面落实</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林长制</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深入实施绿美清新生态建设“七大行动”</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4"/>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。精准提升森林质量，强化森林抚育提升，开展林分优化提升、林分质量提升、林相改善，到2030年</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完成林分改造提升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4.6</w:t>
      </w:r>
      <w:r>
        <w:rPr>
          <w:rFonts w:hint="eastAsia" w:ascii="方正仿宋_GBK" w:hAnsi="方正仿宋_GBK" w:eastAsia="方正仿宋_GBK" w:cs="方正仿宋_GBK"/>
          <w:color w:val="000000" w:themeColor="text1"/>
          <w:highlight w:val="none"/>
          <w14:textFill>
            <w14:solidFill>
              <w14:schemeClr w14:val="tx1"/>
            </w14:solidFill>
          </w14:textFill>
        </w:rPr>
        <w:t>万亩、森林抚育提升</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7.4</w:t>
      </w:r>
      <w:r>
        <w:rPr>
          <w:rFonts w:hint="eastAsia" w:ascii="方正仿宋_GBK" w:hAnsi="方正仿宋_GBK" w:eastAsia="方正仿宋_GBK" w:cs="方正仿宋_GBK"/>
          <w:color w:val="000000" w:themeColor="text1"/>
          <w:highlight w:val="none"/>
          <w14:textFill>
            <w14:solidFill>
              <w14:schemeClr w14:val="tx1"/>
            </w14:solidFill>
          </w14:textFill>
        </w:rPr>
        <w:t>万亩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。持续推动山上、山下、干线绿化，</w:t>
      </w:r>
      <w:r>
        <w:rPr>
          <w:rFonts w:hint="eastAsia" w:ascii="方正仿宋_GBK" w:hAnsi="方正仿宋_GBK" w:eastAsia="方正仿宋_GBK" w:cs="方正仿宋_GBK"/>
          <w:color w:val="000000" w:themeColor="text1"/>
          <w:sz w:val="32"/>
          <w:highlight w:val="none"/>
          <w:lang w:val="en-US" w:eastAsia="zh-CN"/>
          <w14:textFill>
            <w14:solidFill>
              <w14:schemeClr w14:val="tx1"/>
            </w14:solidFill>
          </w14:textFill>
        </w:rPr>
        <w:t>在主要通道两侧山体以及滨江河两岸打造森林景观带，提升区内绿道、碧道、古驿道森林景观。</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稳步推进国储林项目建设，到2030年完成国储林地收储7.5万亩。</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加强古树名木保护和珍贵树种大径材培育，抓好松材线虫病、柑橘黄龙病等疫情防控。</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一体推进城乡绿化美化，加强城市公园、绿道、街头绿地建设。</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广泛开展全民爱绿植绿护绿活动，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积极打造“互联网+”义务植树基地。</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强化生物多样性保护。</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开展全面的野生动植物本底资源调查，准确掌握全区重点野生动植物资源分布情况。加强陆生野生动物疫源疫病监测，以龙须带水库等省级陆生野生动物疫源疫病监测点为重点，加密加大辖区内鸟类等陆生野生动物集中分布区、繁殖地、候鸟迁徙通道、停歇地、觅食地等重要区域的巡查密度和巡护力度。织牢野生动植物保护网，持续联合开展“捕、运、食、销”环节违法犯罪行为专项行动，严厉打击非法猎捕野生动物、交易野生动植物制品等行为。</w:t>
      </w:r>
    </w:p>
    <w:p>
      <w:pPr>
        <w:shd w:val="clear"/>
        <w:bidi w:val="0"/>
        <w:rPr>
          <w:rFonts w:hint="default"/>
          <w:color w:val="000000" w:themeColor="text1"/>
          <w:highlight w:val="none"/>
          <w:lang w:val="en-US" w:eastAsia="zh-CN"/>
          <w14:textFill>
            <w14:solidFill>
              <w14:schemeClr w14:val="tx1"/>
            </w14:solidFill>
          </w14:textFill>
        </w:rPr>
      </w:pPr>
    </w:p>
    <w:p>
      <w:pPr>
        <w:pStyle w:val="4"/>
        <w:numPr>
          <w:ilvl w:val="0"/>
          <w:numId w:val="7"/>
        </w:numPr>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53" w:name="_Toc32227"/>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全面提升生态环境品质</w:t>
      </w:r>
      <w:bookmarkEnd w:id="53"/>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推进美丽河湖建设。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严格落实河长制，深入打好碧水保卫战，统筹治差水、保好水，以漫水河综合整治和滨江美丽河湖建设为重点，实施流域水质治理与生态修复，巩固提升断面水质达标成效。加强饮用水水源监督管理，统筹抓好千人以上供水工程饮用水源保护区“划、立、治”。完善污水收集管网设施及长效运维机制建设，加快推进清新区飞水片区污水管网、镇级生活污水处理厂末端管网完善工程、告星污水处理厂扩建工程、清西片区（太平片区及山塘低地片区）集中式污水治理设施等项目建设，提升城镇及工业园区污水收集处理效能。持续强化畜禽养殖场监管，加强粪污处理与资源化利用。加强养殖尾水监测，推动水产养殖尾水收集处理达标排放。到2030年，力争建成幸福河湖1条以上。</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稳定环境空气质量。</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深化大气污染治理，统筹大气污染防治和温室气体减排，以降低PM2.5浓度为主线，强化VOCs和NOx协同控制，推动移动源减排与固定源、面源减排协同发力。</w:t>
      </w:r>
      <w:r>
        <w:rPr>
          <w:rFonts w:hint="eastAsia" w:ascii="方正仿宋_GBK" w:hAnsi="方正仿宋_GBK" w:eastAsia="方正仿宋_GBK" w:cs="方正仿宋_GBK"/>
          <w:snapToGrid/>
          <w:color w:val="000000" w:themeColor="text1"/>
          <w:kern w:val="2"/>
          <w:szCs w:val="24"/>
          <w:highlight w:val="none"/>
          <w:lang w:val="en-US" w:eastAsia="zh-CN"/>
          <w14:textFill>
            <w14:solidFill>
              <w14:schemeClr w14:val="tx1"/>
            </w14:solidFill>
          </w14:textFill>
        </w:rPr>
        <w:t>深化工业源污染防治，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低（无）VOCs含量原辅材料源头替代。推进交通结构优化调整，优化调整客货运结构，推广使用清洁低碳的运输及作业工具。综合治理扬尘污染，加强露天焚烧管控和鼓励秸秆综合利用。发展清洁低碳能源，提升非化石能源消费比重和电能占终端能源消费比重。</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深化土壤污染防治。</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严格落实建设项目土壤环境现状调查及环境影响评价制度。强化优先保护类耕地保护，扎实推进受污染耕地安全利用和风险管控，分阶段推进农用地土壤重金属污染溯源和整治全覆盖，到2027年，受污染耕地安全利用率稳定在94%以上。强化土壤和地下水污染协同防控，持续推进固体废物堆场、生活垃圾填埋处置设施、城镇污水处理设施污泥堆场等整治。推进农业面源污染防治，全面推行病虫害绿色防控、化肥农药减量增效和农膜回收。加强建设用地土壤管理，因地制宜推进“净土开发”模式落地实施。</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推进“无废城区”建设和新污染物治理。</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立完善城镇生活垃圾分装、收集、运输、处置体系。推进建筑垃圾资源化利用，深化污泥无害化处置，完善废旧动力电池回收体系。加强一般固体废物、危险废物集中贮存和处置，强化工业固体废物综合利用和再生资源回收利用，支持资源综合利用基地建设，推广“互联网+回收”模式。推进“两网融合”</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5"/>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可回收物分类回收体系建设。严格控制涉重金属行业企业污染物排放，加强涉重金属矿区历史遗留固体废物治理。遏制固体废物非法转移倾倒。统筹噪声源管控，系统推进噪声监测，严格落实噪声污染防治要求。探索固体废物领域碳足迹评价的应用，鼓励固体废物处置利用行业二氧化碳捕集、利用与封存（CCUS）等节能降碳技术研发应用和推广。</w:t>
      </w:r>
    </w:p>
    <w:p>
      <w:pPr>
        <w:rPr>
          <w:rFonts w:hint="default"/>
          <w:color w:val="000000" w:themeColor="text1"/>
          <w:highlight w:val="none"/>
          <w:lang w:val="en-US" w:eastAsia="zh-CN"/>
          <w14:textFill>
            <w14:solidFill>
              <w14:schemeClr w14:val="tx1"/>
            </w14:solidFill>
          </w14:textFill>
        </w:rPr>
      </w:pPr>
    </w:p>
    <w:p>
      <w:pPr>
        <w:pStyle w:val="4"/>
        <w:numPr>
          <w:ilvl w:val="0"/>
          <w:numId w:val="7"/>
        </w:numPr>
        <w:shd w:val="clear"/>
        <w:bidi w:val="0"/>
        <w:ind w:left="0" w:leftChars="0" w:firstLine="0" w:firstLineChars="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54" w:name="_Toc3167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推进绿色低碳循环发展</w:t>
      </w:r>
      <w:bookmarkEnd w:id="54"/>
    </w:p>
    <w:p>
      <w:pPr>
        <w:shd w:val="clear"/>
        <w:bidi w:val="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大力发展绿色低碳产业。</w:t>
      </w:r>
      <w:r>
        <w:rPr>
          <w:rFonts w:hint="eastAsia" w:ascii="方正仿宋_GBK" w:hAnsi="方正仿宋_GBK" w:eastAsia="方正仿宋_GBK" w:cs="方正仿宋_GBK"/>
          <w:color w:val="000000" w:themeColor="text1"/>
          <w:highlight w:val="none"/>
          <w14:textFill>
            <w14:solidFill>
              <w14:schemeClr w14:val="tx1"/>
            </w14:solidFill>
          </w14:textFill>
        </w:rPr>
        <w:t>积极稳妥做好</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双碳</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工作，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快调整优化产业、能源、交通运输结构，确保2030年前实现碳达峰。严格“两高”项目准入。加快工业领域全流程绿色发展，推进陶瓷、水泥、印染等行业现代化、低碳化、绿色化转型，加大对建材、有色金属等传统高耗能行业的技术改造力度，降低单位产品能耗、物耗和污染物排放。积极发展再制造产业，加快发展再制造智能设计与分析、智能损伤检测与寿命评估、质量性能检测及智能运行监测等再制造服务，推进智能拆解与绿色清洗、先进表面工程与增材制造成形、智能再制造加工等技术装备研发和产业化应用。鼓励高值关键件再制造龙头生产企业牵头，推动形成涵盖旧件回收、关键件配套及整机再制造的产业链条。探索建立覆盖旧件高效低成本回收、再制造产品生产及运行监测等的全过程溯源追踪服务体系，推动发展基于电子商务的再制造产品营销模式。大力发展林下经济，支持企业创建林业产品优质品牌，培育国家林下经济示范基地。</w:t>
      </w:r>
    </w:p>
    <w:p>
      <w:pPr>
        <w:shd w:val="clear"/>
        <w:bidi w:val="0"/>
        <w:rPr>
          <w:rFonts w:hint="eastAsia" w:ascii="方正仿宋_GBK" w:hAnsi="方正仿宋_GBK" w:eastAsia="方正仿宋_GBK" w:cs="方正仿宋_GBK"/>
          <w:color w:val="000000" w:themeColor="text1"/>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推进资源集约循环利用。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实施全面节约战略，推进能源、水、土地等资源全过程管理和全链条节约，大力发展循环经济。实行最严格水资源管理制度，至2030年，全区用水总量不超过省级下达指标。加快推进农业绿色发展，持续推进畜禽养殖废弃物资源化利用。全面提升工业园区绿色低碳发展水平，推进供热、污水处理、中水回用等公共基础设施共建共享。加快构建废弃物循环利用体系，推进产业园区和产业集群循环化、绿色化改造。持续优化交通用能结构，推进公共交通、货物运输车辆电动化。支持再制造产业化、餐厨废弃物资源化。推进节约集约用地，实施“节地提质”专项行动，逐步推动以盘活存量建设用地为主的土地利用模式。推动矿产资源开发整合和高效利用，加强区域地质调查等基础地质工作，严格矿业权规模准入、开发利用方案审查把关。推动“光伏+储能”系统在公共基础设施融合应用。</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倡导绿色低碳生活方式。</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健全生态文明推广体系，营造良好氛围。大力倡导简约适度、绿色低碳、文明健康的生活理念和消费方式，开展绿色低碳全民行动，引导公众节约用水用电、反对铺张浪费、推广光盘行动、抵制过度包装、减少一次性用品使用，引导公众优先选择公共交通、步行、自行车等绿色出行方式。开展节约型机关、绿色家庭、绿色学校、绿色社区、绿色出行、绿色商场、绿色建筑等创建行动。推动生态文化产业发展，创作更多生态文化产品，弘扬生态文化。引导居民自觉实施生活垃圾分类，推行生活垃圾减量化、资源化、无害化。强化政府绿色采购制度。构建循环型旅游服务体系，推进旅游业开发、管理、消费等各环节绿色化。</w:t>
      </w:r>
    </w:p>
    <w:p>
      <w:pPr>
        <w:rPr>
          <w:rFonts w:hint="default"/>
          <w:color w:val="000000" w:themeColor="text1"/>
          <w:highlight w:val="none"/>
          <w:lang w:val="en-US" w:eastAsia="zh-CN"/>
          <w14:textFill>
            <w14:solidFill>
              <w14:schemeClr w14:val="tx1"/>
            </w14:solidFill>
          </w14:textFill>
        </w:rPr>
      </w:pPr>
    </w:p>
    <w:p>
      <w:pPr>
        <w:pStyle w:val="4"/>
        <w:numPr>
          <w:ilvl w:val="0"/>
          <w:numId w:val="7"/>
        </w:numPr>
        <w:shd w:val="clear"/>
        <w:bidi w:val="0"/>
        <w:ind w:left="0" w:leftChars="0" w:firstLine="0" w:firstLineChars="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 xml:space="preserve"> </w:t>
      </w:r>
      <w:bookmarkStart w:id="55" w:name="_Toc30728"/>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健全生态文明体制</w:t>
      </w:r>
      <w:bookmarkEnd w:id="55"/>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完善生态环境管理制度</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健全国土空间规划体系</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强化国土空间总体规划对专项规划的指导约束作用。全面推进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多规合一</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，全面完成国土空间总体规划编制。健全规划实施管理制度。严格落实和管控</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三区三</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线”</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6"/>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落实生态环境分区管控制度，定期调整与动态更新生态环境分区管控成果，探索对同一建设项目的环评和排污许可实行统一受理、同步审查、一次办结，对同类型建设项目探索环评打捆审批。全面推进自然保护地体系建设，落实生态保护红线管</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理制度。</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探索生态产品价值实现机制。</w:t>
      </w:r>
      <w:r>
        <w:rPr>
          <w:rFonts w:hint="eastAsia" w:ascii="方正仿宋_GBK" w:hAnsi="方正仿宋_GBK" w:eastAsia="方正仿宋_GBK" w:cs="方正仿宋_GBK"/>
          <w:color w:val="000000" w:themeColor="text1"/>
          <w:highlight w:val="none"/>
          <w14:textFill>
            <w14:solidFill>
              <w14:schemeClr w14:val="tx1"/>
            </w14:solidFill>
          </w14:textFill>
        </w:rPr>
        <w:t>健全生态产品价值实现机制</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积极</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发展水经济、林木经济、林下经济等绿色经济形态。</w:t>
      </w:r>
      <w:r>
        <w:rPr>
          <w:rFonts w:hint="eastAsia" w:ascii="方正仿宋_GBK" w:hAnsi="方正仿宋_GBK" w:eastAsia="方正仿宋_GBK" w:cs="方正仿宋_GBK"/>
          <w:color w:val="000000" w:themeColor="text1"/>
          <w:highlight w:val="none"/>
          <w14:textFill>
            <w14:solidFill>
              <w14:schemeClr w14:val="tx1"/>
            </w14:solidFill>
          </w14:textFill>
        </w:rPr>
        <w:t>推行自然生态系统休养生息，增值自然资本，增强自然生态系统提供生态产品能力。全面查清自然资源资产底数，加快建立自然资源统一调查、评价、监测制度，健全自然资源监管体制。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增加生态系统碳汇和生态产品供给。支持对自然保护地体系内的国家公园、自然保护区等特定区域，开展针对性的生态产品价值核算工作。建立纵向与横向、补偿与赔偿、政府与市场有机结合的生态产品价值实现机制，促进生态产品价值核算结果应用于财政转移支付、生态保护补偿、生态环境损害赔偿、生态资源权益交易及经营开发融资等领域。推动构建专业化的生态产品交易平台。</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推进生态文明体制改革。</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持续完善生态文明基础体制，积极探索生态环境领域行政执法权下放到乡镇。深化自然资源有偿使用制度改革，扩大自然资源有偿使用范围。推进集体林地“三权”</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7"/>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分置改革，探索社会资本通过流转取得林地经营权，激活林业发展潜力。加强环保队伍建设，提升执法综合素质。</w:t>
      </w:r>
      <w:r>
        <w:rPr>
          <w:rFonts w:hint="eastAsia" w:ascii="方正仿宋_GBK" w:hAnsi="方正仿宋_GBK" w:eastAsia="方正仿宋_GBK" w:cs="方正仿宋_GBK"/>
          <w:color w:val="000000" w:themeColor="text1"/>
          <w:highlight w:val="none"/>
          <w14:textFill>
            <w14:solidFill>
              <w14:schemeClr w14:val="tx1"/>
            </w14:solidFill>
          </w14:textFill>
        </w:rPr>
        <w:t>建立健全绿色发展法规政策体系，鼓励金融机构推动绿色金融改革创新，加强与粤港澳大湾区绿色金融合作。</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吸引粤港澳大湾区碳排放权交易、金融等机构在清新设立独立法人机构、分支机构或服务机构。鼓励金融机构开发绿色金融产品。</w:t>
      </w:r>
    </w:p>
    <w:p>
      <w:pPr>
        <w:pStyle w:val="3"/>
        <w:shd w:val="clear"/>
        <w:bidi w:val="0"/>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pPr>
      <w:bookmarkStart w:id="56" w:name="_Toc23120"/>
    </w:p>
    <w:p>
      <w:pPr>
        <w:pStyle w:val="3"/>
        <w:shd w:val="clear"/>
        <w:bidi w:val="0"/>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 xml:space="preserve">第十二章  </w:t>
      </w:r>
      <w:r>
        <w:rPr>
          <w:rFonts w:hint="eastAsia" w:ascii="方正黑体_GBK" w:hAnsi="方正黑体_GBK" w:eastAsia="方正黑体_GBK" w:cs="方正黑体_GBK"/>
          <w:color w:val="000000" w:themeColor="text1"/>
          <w:highlight w:val="none"/>
          <w14:textFill>
            <w14:solidFill>
              <w14:schemeClr w14:val="tx1"/>
            </w14:solidFill>
          </w14:textFill>
        </w:rPr>
        <w:t>统筹发展和安全，建设更高水平的平安法治清新</w:t>
      </w:r>
      <w:bookmarkEnd w:id="56"/>
    </w:p>
    <w:p>
      <w:pPr>
        <w:shd w:val="clear"/>
        <w:bidi w:val="0"/>
        <w:ind w:firstLine="0" w:firstLineChars="0"/>
        <w:rPr>
          <w:rFonts w:hint="eastAsia"/>
          <w:color w:val="000000" w:themeColor="text1"/>
          <w:highlight w:val="none"/>
          <w:lang w:val="en-US" w:eastAsia="zh-CN"/>
          <w14:textFill>
            <w14:solidFill>
              <w14:schemeClr w14:val="tx1"/>
            </w14:solidFill>
          </w14:textFill>
        </w:rPr>
      </w:pPr>
    </w:p>
    <w:p>
      <w:pPr>
        <w:shd w:val="clear"/>
        <w:bidi w:val="0"/>
        <w:ind w:firstLine="640" w:firstLineChars="20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全面贯彻落实总体国家安全观，增强忧患意识，坚持底线思维，防范化解重点领域重大风险，更好统筹发展和安全，努力以高水平安全服务高质量发展、以新安全格局保障新发展格局。</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57" w:name="_Toc17376"/>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大力维护政治经济安全</w:t>
      </w:r>
      <w:bookmarkEnd w:id="57"/>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加强国家安全体系和能力建设。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和落实集中统一、高效权威的国家安全领导体制，健全国家安全责任体系、运行机制，探索符合清新实际、具有清新特色的国家安全体系。加强重大风险防范和各领域安全工作，建立系统的安全管理数据库，提高安全管理效率，提升驾驭安全稳定能力，构建大安全格局。加大国家安全宣传教育力度，推动宣传教育培训本地化、项目化，增强全民国家安全意识，巩固国家安全人民防线。</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坚决捍卫政治安全。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把维护国家政治安全特别是政权安全、制度安全放在首位，落实国家安全战略和政策，严密防范和严厉打击敌对势力渗透、破坏、颠覆、分裂活动。坚持党管意识形态原则，压实意识形态安全责任，全方位加强意识形态阵地管理，坚决打赢网络意识形态斗争。落实重点行业、重点部位、重要目标反恐防范标准，完善大型公共场所反恐预案和指南。继续完善国民经济动员组织架构体系，大力推进国民经济动员常态化建设。巩固“省级双拥模范城（县）”创建成果，加强国防动员和后备力量建设，推进军民深度融合发展。深化跨军地改革，加强新域新质民兵建设。加强军供保障系统建设。加强现代人民防空建设。</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全面加强经济安全。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防范化解金融机构风险，健全常态化金融风险处置机制，加强对金融机构资本充足率、资产不良率等风险指标的常态化监测，打好地方金融机构风险歼灭战。防范化解地方债务风险，严格实施政府债务限额管理，加强专项债券投后管理，加强全口径地方债务监测，遏制新增隐性债务。加快构建房地产发展新模式，谋划发行专项债券盘活存量闲置土地和收购存量住房；稳妥推进问题楼盘风险化解，做好保交楼工作，促进房地产市场平稳健康发展。健全完善数据安全监管体系，提升数据安全风险监测预警和应急处置能力。</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确保粮食、能源、重要产业链供应链安全。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落实耕地保护和粮食安全党政同责，牢固树立和践行大农业观、大食物观，严守31万亩耕地红线。将具备条件的永久基本农田逐步建成高标准农田，到2030年，完成47.79万亩高标准农田建设。持续推进撂荒耕地复耕复种，积极开展晚造粮食生产工作和粮油作物大面积单产提升行动，到2030年确保完成耕地保护、上级下达的粮食生产任务。科学布局仓储设施，推动实现应急状态下对全区粮食和重要物资的统一调度、协同联动，切实提升区域粮食应急保障能力；健全粮食和食物节约长效机制。完善能源产供储销体系，夯实能源安全稳定运行基础，增强能源储备应急能力，构建多元的能源供应渠道，提升新能源安全可靠替代能力。健全政府和企业、实物和产能多元互补、协同联动的能源储备体系；提升能源安全生产监督管理水平，强化能源监测和预警机制，做好能源重大基础设施和关键风险管控。建立产业链供应链安全风险评估和应对机制，强化应对极端情况能力；落实推进产业链供应链“百链韧性提升”专项行动，充分发挥“链长+链主”协同作用，“一链一策”实施精准补链强链。</w:t>
      </w:r>
    </w:p>
    <w:p>
      <w:pPr>
        <w:rPr>
          <w:rFonts w:hint="default"/>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58" w:name="_Toc21539"/>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加强和创新社会治理</w:t>
      </w:r>
      <w:bookmarkEnd w:id="58"/>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纵深推进法治政府建设。</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坚持全面依法治区，协同推进科学立法、严格执法、公正司法、全民守法。</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推进依法行政，进一步深化行政执法体制改革，规范涉企行政执法，推动行政执法跨区域衔接。健全行政复议体制机制，推动行政复议机构依法高效履职，加强行政复议机构建设和能力建设，加强专业化、职业化行政复议人员队伍建设。健全实质化解行政复议案件办理机制，充分发挥行政复议化解行政争议主渠道作用，推动行政争议全流程实质化解。推动行政复议和行政诉讼等其他纠纷解决机制的有效衔接，探索溯源治理新模式，共同推动行政与司法的良性互动和执法审判尺度统一。强化行政复议权威性和行政监督功能，完善配套制度机制以及约谈、通报批评等工作机制。落实和完善司法责任制，全面推进公正司法，深化司法体制改革，加强人权执法司法保障。推进政法工作数字化平台建设，强化跨部门执法司法协同和监督。加强城乡统筹协调，构建权责明晰执法监管体系。深化乡镇综合行政执法体制改革，充实基层一线行政执法力量。加强执法队伍建设，提升执法人员法治思维和依法办事能力。全面建成行政执法信息平台和行政执法监督网络平台。</w:t>
      </w:r>
    </w:p>
    <w:p>
      <w:pPr>
        <w:shd w:val="clear"/>
        <w:bidi w:val="0"/>
        <w:ind w:firstLine="643"/>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全面推进法治社会建设。</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加强社会主义法治文化建设，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大全民普法工作力度，规范建设“法德大讲堂”，全面提高全民法治意识和法治素养。开展民主法治示范村（社区）创建活动，积极推进法治乡村建设。加强青少年法治宣传教育，强化未成年人违法犯罪和治理，加强专门教育和矫治教育。健全公共法律服务体系，基本建成覆盖城乡、便捷高效、普惠均等的现代公共法律服务体系。加强线上和线下公共法律服务平台建设，促进基本公共法律服务均衡发展。创新公共法律服务管理体制和工作机制，大力发展律师、公证、仲裁等现代法律服务业，促进公共法律服务多元化、专业化。推进法律援助工作，完善法律咨询服务机构监管制度。创新公共法律服务管理体制和工作机制。加强涉外法治建设，提高涉外法律服务水平。</w:t>
      </w:r>
    </w:p>
    <w:p>
      <w:pPr>
        <w:shd w:val="clear"/>
        <w:bidi w:val="0"/>
        <w:ind w:firstLine="642" w:firstLineChars="200"/>
        <w:rPr>
          <w:rFonts w:hint="eastAsia" w:ascii="方正仿宋_GBK" w:hAnsi="方正仿宋_GBK" w:eastAsia="方正仿宋_GBK" w:cs="方正仿宋_GBK"/>
          <w:color w:val="000000" w:themeColor="text1"/>
          <w:highlight w:val="none"/>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加强和创新社会治理。</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坚持系统治理、依法治理、综合治理、源头治理，完善共建共治共享的社会治理制度，推进社会治理现代化。加强党建引领基层治理和基层政权建设，加强新经济组织、社会组织、新就业群体党的建设。健全社会工作体制机制，提速建设“两社三中心”</w:t>
      </w:r>
      <w:r>
        <w:rPr>
          <w:rStyle w:val="24"/>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footnoteReference w:id="28"/>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，探索完善社会工作观察制度。深化“一网统管”建设，</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持续提升“粤系列”平台赋能作用，</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进一步完善“网格化+信息化”“网格员+信息员”工作机制，加强社会治安综合治理中心规范化建设，引导各方有序参与社会治理。完善网上网下协同治理，强化市民热线等公共服务平台功能。</w:t>
      </w:r>
      <w:r>
        <w:rPr>
          <w:rFonts w:hint="eastAsia" w:ascii="方正仿宋_GBK" w:hAnsi="方正仿宋_GBK" w:eastAsia="方正仿宋_GBK" w:cs="方正仿宋_GBK"/>
          <w:color w:val="000000" w:themeColor="text1"/>
          <w:highlight w:val="none"/>
          <w14:textFill>
            <w14:solidFill>
              <w14:schemeClr w14:val="tx1"/>
            </w14:solidFill>
          </w14:textFill>
        </w:rPr>
        <w:t>推动</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互联网+社区</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发展，打造智慧社区。</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深化多元协同共治，积极培育融合性、行业性、品牌化人民调解组织。发挥市民公约、村规民约作用，加强家庭家教家风建设，推进移风易俗。</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激发社会组织活力</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加强社会组织培育管理，推动行业协会商会改革，实现健康有序发展。</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稳步实施</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广东兜底民生服务社会“双百”工程，健全城乡社区工作者薪酬待遇保障机制和激励奖励机制，实施社会工作人才专业化培养工程，努力建设一支素质优良的城乡社区工作者队伍。大力培育发展社区社会组织，理顺社区社会组织登记管理和属地管理关系，探索以镇为责任主体的管理体制。强化社会组织党建工作，充分发挥社会组织功能作用。推动建设社会组织信息管理平台，改善管理与服务体制，提高工作效率。促进社区、社区社会组织、社会工作者等力量和资源的整合，充分发挥志愿者、物业、协会等社会组织在基层社会治理中的作用，鼓励社区社会组织依法有序参与城乡社区治理。</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59" w:name="_Toc499"/>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全力维护社会和谐稳定</w:t>
      </w:r>
      <w:bookmarkEnd w:id="59"/>
    </w:p>
    <w:p>
      <w:pPr>
        <w:shd w:val="clear"/>
        <w:bidi w:val="0"/>
        <w:ind w:firstLine="640"/>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14:textFill>
            <w14:solidFill>
              <w14:schemeClr w14:val="tx1"/>
            </w14:solidFill>
          </w14:textFill>
        </w:rPr>
        <w:t>提高社会治安防控水平</w:t>
      </w:r>
      <w:r>
        <w:rPr>
          <w:rFonts w:hint="eastAsia" w:ascii="方正仿宋_GBK" w:hAnsi="方正仿宋_GBK" w:eastAsia="方正仿宋_GBK" w:cs="方正仿宋_GBK"/>
          <w:b/>
          <w:bCs/>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kern w:val="2"/>
          <w:sz w:val="32"/>
          <w:szCs w:val="24"/>
          <w:highlight w:val="none"/>
          <w:u w:val="none" w:color="auto"/>
          <w:lang w:val="en-US" w:eastAsia="zh-CN" w:bidi="ar-SA"/>
          <w14:textFill>
            <w14:solidFill>
              <w14:schemeClr w14:val="tx1"/>
            </w14:solidFill>
          </w14:textFill>
        </w:rPr>
        <w:t>坚持安全第一、预防为主，推动公共安全治理模式向事先预防转型。</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深入推进“1+6+N”社会治安综合治理工作体系建设和社会治安综合治理中心规范化建设，实施信访工作法治化强基工程，有效整合各方资源力量，围绕金融、房地产、劳动关系、教育培训、交通运输、生态环保、退役军人事务、自然资源等重点领域社会矛盾问题开展专项治理，探索搭建包含“治安调解+人民调解+诉前调解+刑事调解+网上司法确认”功能的警访调一体化对接平台，把各种矛盾纠纷排查到底、化解到位。强化社会治安整体防控，常态化开展扫黑除恶斗争，统筹做好“扫黄打非”、全民禁毒、反诈等工作，打击整治违法犯罪行为</w:t>
      </w:r>
      <w:r>
        <w:rPr>
          <w:rFonts w:hint="eastAsia" w:ascii="方正仿宋_GBK" w:hAnsi="方正仿宋_GBK" w:eastAsia="方正仿宋_GBK" w:cs="方正仿宋_GBK"/>
          <w:color w:val="000000" w:themeColor="text1"/>
          <w:kern w:val="2"/>
          <w:szCs w:val="24"/>
          <w:highlight w:val="none"/>
          <w:u w:val="none"/>
          <w:lang w:eastAsia="zh-CN"/>
          <w14:textFill>
            <w14:solidFill>
              <w14:schemeClr w14:val="tx1"/>
            </w14:solidFill>
          </w14:textFill>
        </w:rPr>
        <w:t>。</w:t>
      </w:r>
      <w:r>
        <w:rPr>
          <w:rFonts w:hint="eastAsia" w:ascii="方正仿宋_GBK" w:hAnsi="方正仿宋_GBK" w:eastAsia="方正仿宋_GBK" w:cs="方正仿宋_GBK"/>
          <w:color w:val="000000" w:themeColor="text1"/>
          <w:kern w:val="2"/>
          <w:szCs w:val="24"/>
          <w:highlight w:val="none"/>
          <w:u w:val="none" w:color="auto"/>
          <w:lang w:eastAsia="zh-CN"/>
          <w14:textFill>
            <w14:solidFill>
              <w14:schemeClr w14:val="tx1"/>
            </w14:solidFill>
          </w14:textFill>
        </w:rPr>
        <w:t>加强重点人群服务管理，严防个人极端暴力等案（事）件。</w:t>
      </w:r>
      <w:r>
        <w:rPr>
          <w:rFonts w:hint="eastAsia" w:ascii="方正仿宋_GBK" w:hAnsi="方正仿宋_GBK" w:eastAsia="方正仿宋_GBK" w:cs="方正仿宋_GBK"/>
          <w:color w:val="000000" w:themeColor="text1"/>
          <w:kern w:val="2"/>
          <w:sz w:val="32"/>
          <w:szCs w:val="24"/>
          <w:highlight w:val="none"/>
          <w:u w:val="none" w:color="auto"/>
          <w:lang w:val="en-US" w:eastAsia="zh-CN" w:bidi="ar-SA"/>
          <w14:textFill>
            <w14:solidFill>
              <w14:schemeClr w14:val="tx1"/>
            </w14:solidFill>
          </w14:textFill>
        </w:rPr>
        <w:t>深化网络空间安全综合治理，加强个人信息保护。</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强化安全生产监管。</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树牢安全发展理念，强化底线思维和风险意识，坚持“党政同责、一岗双责、齐抓共管、失职追责”以及“管行业必须管安全，管业务必须管安全，管生产经营必须管安全”要求，全面压实政府监管责任和企业主体责任。统筹发展和安全，坚决履行公共安全管理职能，严格落实责任明晰的安全生产责任制，坚决守住不发生重特大生产安全事故的底线。聚焦非煤矿山、危化品、建筑施工、交通运输、城镇燃气、消防等重点行业领域，强化源头治理，</w:t>
      </w:r>
      <w:r>
        <w:rPr>
          <w:rFonts w:hint="eastAsia" w:ascii="方正仿宋_GBK" w:hAnsi="方正仿宋_GBK" w:eastAsia="方正仿宋_GBK" w:cs="方正仿宋_GBK"/>
          <w:color w:val="000000" w:themeColor="text1"/>
          <w:highlight w:val="none"/>
          <w14:textFill>
            <w14:solidFill>
              <w14:schemeClr w14:val="tx1"/>
            </w14:solidFill>
          </w14:textFill>
        </w:rPr>
        <w:t>严格安全准入与项目审查，</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全面落实安全风险分级管控和隐患排查治理双重预防工作机制，筑牢安全生产防线。强化执法队伍建设，健全执法制度体系，完善优化执法程序，持续推动应急管理执法规范化建设，提升安全生产监管精准效能。加强安全生产教育培训，健全应急救援体系，</w:t>
      </w:r>
      <w:r>
        <w:rPr>
          <w:rFonts w:hint="eastAsia" w:ascii="方正仿宋_GBK" w:hAnsi="方正仿宋_GBK" w:eastAsia="方正仿宋_GBK" w:cs="方正仿宋_GBK"/>
          <w:color w:val="000000" w:themeColor="text1"/>
          <w:highlight w:val="none"/>
          <w14:textFill>
            <w14:solidFill>
              <w14:schemeClr w14:val="tx1"/>
            </w14:solidFill>
          </w14:textFill>
        </w:rPr>
        <w:t>完善应急物资储备与预案，强化应急响应、演练及现场处置能力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畅通监督举报渠道</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凝聚全社会安全合力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highlight w:val="none"/>
          <w14:textFill>
            <w14:solidFill>
              <w14:schemeClr w14:val="tx1"/>
            </w14:solidFill>
          </w14:textFill>
        </w:rPr>
        <w:t>推进</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安全生产</w:t>
      </w:r>
      <w:r>
        <w:rPr>
          <w:rFonts w:hint="eastAsia" w:ascii="方正仿宋_GBK" w:hAnsi="方正仿宋_GBK" w:eastAsia="方正仿宋_GBK" w:cs="方正仿宋_GBK"/>
          <w:color w:val="000000" w:themeColor="text1"/>
          <w:highlight w:val="none"/>
          <w14:textFill>
            <w14:solidFill>
              <w14:schemeClr w14:val="tx1"/>
            </w14:solidFill>
          </w14:textFill>
        </w:rPr>
        <w:t>社会</w:t>
      </w:r>
      <w:r>
        <w:rPr>
          <w:rFonts w:hint="eastAsia" w:ascii="方正仿宋_GBK" w:hAnsi="方正仿宋_GBK" w:eastAsia="方正仿宋_GBK" w:cs="方正仿宋_GBK"/>
          <w:color w:val="000000" w:themeColor="text1"/>
          <w:highlight w:val="none"/>
          <w:lang w:eastAsia="zh-CN"/>
          <w14:textFill>
            <w14:solidFill>
              <w14:schemeClr w14:val="tx1"/>
            </w14:solidFill>
          </w14:textFill>
        </w:rPr>
        <w:t>共治，构建全域安全保障格局</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保障食品药品安全。</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建立健全食品质量安全监管体系，着力推进农村假冒伪劣食品治理、餐饮质量安全提升、保健食品行业清理整治、药品行业清理等专项整治，依法严厉打击制售假劣食品药品违法犯罪活动，落实“四个最严”</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29"/>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要求，加大检验检测力度，强化种植养殖环节监管，加强食品生产、流通和餐饮环节安全监管，加强药品流通环节安全监管，着力推进校园及周边食品卫生环境净化，推进食品安全溯源工作，多样化加强食品安全法宣传教育工作。</w:t>
      </w:r>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增强防灾减灾能力。</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以防为主、防抗救相结合，坚持常态减灾和非常态救灾相统一，推动实现从注重灾后救助向注重灾前预防转变。提升消防灭火和综合应急救援能力，加快完善城镇消防站点布局和建设，加强消火栓规划建设、维护保养和监督管理，落实市政消火栓与城市道路建设同步设计、施工，按照发展需求配备车辆装备和消防、应急救援装备。完善综合监测预警机制，完善建设灾害监测站（台）网。加强防灾减灾工程和城乡应急避难场所建设，推进行政村（社区）防灾减灾救灾能力标准化建设。加强三防应急体系建设，建立健全灾害救助</w:t>
      </w:r>
      <w:r>
        <w:rPr>
          <w:rFonts w:hint="eastAsia" w:ascii="方正仿宋_GBK" w:hAnsi="方正仿宋_GBK" w:eastAsia="方正仿宋_GBK" w:cs="方正仿宋_GBK"/>
          <w:strike w:val="0"/>
          <w:dstrike w:val="0"/>
          <w:color w:val="000000" w:themeColor="text1"/>
          <w:highlight w:val="none"/>
          <w:lang w:val="en-US" w:eastAsia="zh-CN"/>
          <w14:textFill>
            <w14:solidFill>
              <w14:schemeClr w14:val="tx1"/>
            </w14:solidFill>
          </w14:textFill>
        </w:rPr>
        <w:t>机制</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，完善社会组织参与机制，构建政府主导、多元联动、协同配合、有序参与的防灾减灾救灾工作格局。开展综合减灾宣教和科普，常态化开展应急处置演练。</w:t>
      </w:r>
    </w:p>
    <w:p>
      <w:pPr>
        <w:shd w:val="clear"/>
        <w:bidi w:val="0"/>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highlight w:val="none"/>
          <w:lang w:val="en-US" w:eastAsia="zh-CN"/>
          <w14:textFill>
            <w14:solidFill>
              <w14:schemeClr w14:val="tx1"/>
            </w14:solidFill>
          </w14:textFill>
        </w:rPr>
        <w:t>提升应急救援能力。</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健全突发公共事件处置保障体系，</w:t>
      </w:r>
      <w:r>
        <w:rPr>
          <w:rFonts w:hint="eastAsia" w:ascii="方正仿宋_GBK" w:hAnsi="方正仿宋_GBK" w:eastAsia="方正仿宋_GBK" w:cs="方正仿宋_GBK"/>
          <w:color w:val="000000" w:themeColor="text1"/>
          <w:highlight w:val="none"/>
          <w:u w:val="none"/>
          <w:lang w:val="en-US" w:eastAsia="zh-CN"/>
          <w14:textFill>
            <w14:solidFill>
              <w14:schemeClr w14:val="tx1"/>
            </w14:solidFill>
          </w14:textFill>
        </w:rPr>
        <w:t>加强应急信息化建设，优化完善区、镇防灾减灾救灾工作机制，进一步完善应急协调联动机制，确保在突发事件发生时，能够快速、高效地协调指挥各类应急救援力量。加强应急救援队伍的建设。加大对消防、森林火灾扑救、抗洪抢险等的投入，加强救援技能培训和实战演练，提高救援队伍的素质和能力；通过政策扶持、资金补贴等方式鼓励和支持社会应急救援力量的发展，并纳入全区应急救援体系。完善应急物资管理，科学制定应急物资储备规划，建立应急物资储备的动态调整机制，根据灾害风险的变化、物资的消耗和更新换代情况，及时调整储备物资的种类和数量。进一步完善各类应急预案，确保预案的科学性、实用性和可操作性。</w:t>
      </w:r>
    </w:p>
    <w:p>
      <w:pPr>
        <w:pStyle w:val="3"/>
        <w:shd w:val="clear"/>
        <w:bidi w:val="0"/>
        <w:rPr>
          <w:rFonts w:hint="eastAsia"/>
          <w:color w:val="000000" w:themeColor="text1"/>
          <w:highlight w:val="none"/>
          <w:lang w:val="en-US" w:eastAsia="zh-CN"/>
          <w14:textFill>
            <w14:solidFill>
              <w14:schemeClr w14:val="tx1"/>
            </w14:solidFill>
          </w14:textFill>
        </w:rPr>
        <w:sectPr>
          <w:pgSz w:w="11906" w:h="16838"/>
          <w:pgMar w:top="2154" w:right="1417" w:bottom="1984" w:left="1587" w:header="851" w:footer="992" w:gutter="0"/>
          <w:pgNumType w:fmt="numberInDash"/>
          <w:cols w:space="0" w:num="1"/>
          <w:rtlGutter w:val="0"/>
          <w:docGrid w:type="lines" w:linePitch="437" w:charSpace="0"/>
        </w:sectPr>
      </w:pPr>
    </w:p>
    <w:p>
      <w:pPr>
        <w:pStyle w:val="3"/>
        <w:shd w:val="clear"/>
        <w:bidi w:val="0"/>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pPr>
      <w:bookmarkStart w:id="60" w:name="_Toc19561"/>
      <w:r>
        <w:rPr>
          <w:rFonts w:hint="eastAsia" w:ascii="方正黑体_GBK" w:hAnsi="方正黑体_GBK" w:eastAsia="方正黑体_GBK" w:cs="方正黑体_GBK"/>
          <w:color w:val="000000" w:themeColor="text1"/>
          <w:highlight w:val="none"/>
          <w:lang w:val="en-US" w:eastAsia="zh-CN"/>
          <w14:textFill>
            <w14:solidFill>
              <w14:schemeClr w14:val="tx1"/>
            </w14:solidFill>
          </w14:textFill>
        </w:rPr>
        <w:t>第十三章  完善规划保障机制，确保规划有效落实</w:t>
      </w:r>
      <w:bookmarkEnd w:id="60"/>
    </w:p>
    <w:p>
      <w:pPr>
        <w:shd w:val="clear"/>
        <w:bidi w:val="0"/>
        <w:rPr>
          <w:rFonts w:hint="eastAsia"/>
          <w:color w:val="000000" w:themeColor="text1"/>
          <w:highlight w:val="none"/>
          <w:lang w:val="en-US" w:eastAsia="zh-CN"/>
          <w14:textFill>
            <w14:solidFill>
              <w14:schemeClr w14:val="tx1"/>
            </w14:solidFill>
          </w14:textFill>
        </w:rPr>
      </w:pPr>
    </w:p>
    <w:p>
      <w:pPr>
        <w:shd w:val="clear"/>
        <w:bidi w:val="0"/>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严格按照国家、省、市规划编制管理要求，加强党的全面领导，</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加强统筹协调，</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完善统一规划体系与政策配套机制，强化监督检查与</w:t>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责任落实，</w:t>
      </w:r>
      <w:r>
        <w:rPr>
          <w:rFonts w:hint="eastAsia" w:ascii="方正仿宋_GBK" w:hAnsi="方正仿宋_GBK" w:eastAsia="方正仿宋_GBK" w:cs="方正仿宋_GBK"/>
          <w:b w:val="0"/>
          <w:bCs w:val="0"/>
          <w:color w:val="000000" w:themeColor="text1"/>
          <w:highlight w:val="none"/>
          <w:lang w:val="en-US" w:eastAsia="zh-CN"/>
          <w14:textFill>
            <w14:solidFill>
              <w14:schemeClr w14:val="tx1"/>
            </w14:solidFill>
          </w14:textFill>
        </w:rPr>
        <w:t>确保规划目标实现、重点任务完成。</w:t>
      </w:r>
    </w:p>
    <w:p>
      <w:pPr>
        <w:shd w:val="clear"/>
        <w:bidi w:val="0"/>
        <w:rPr>
          <w:rFonts w:hint="default"/>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61" w:name="_Toc25153"/>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第一节  加强党的全面领导</w:t>
      </w:r>
      <w:bookmarkEnd w:id="61"/>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坚持以习近平新时代中国特色社会主义思想为指导，增强“四个意识”</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30"/>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、坚定“四个自信”</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31"/>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、做到“两个维护”</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32"/>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充分发挥区委总揽全局、协调各方的领导核心作用，贯彻落实区委“十五五”规划编制工作部署，把党的领导始终贯穿研究、编制、实施的全过程。充分发挥各级党组织战斗堡垒作用和党员先锋模范作用，持之以恒落实中央八项规定精神，不断完善整治“四风”</w:t>
      </w:r>
      <w:r>
        <w:rPr>
          <w:rStyle w:val="24"/>
          <w:rFonts w:hint="eastAsia" w:ascii="方正仿宋_GBK" w:hAnsi="方正仿宋_GBK" w:eastAsia="方正仿宋_GBK" w:cs="方正仿宋_GBK"/>
          <w:color w:val="000000" w:themeColor="text1"/>
          <w:highlight w:val="none"/>
          <w:lang w:val="en-US" w:eastAsia="zh-CN"/>
          <w14:textFill>
            <w14:solidFill>
              <w14:schemeClr w14:val="tx1"/>
            </w14:solidFill>
          </w14:textFill>
        </w:rPr>
        <w:footnoteReference w:id="33"/>
      </w: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的制度机制，严防和纠正在推进规划实施过程中的形式主义、官僚主义问题，最大限度聚合全社会共识和力量，共同推动“十五五”规划蓝图实施。</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62" w:name="_Toc11838"/>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第二节  完善统一规划体系</w:t>
      </w:r>
      <w:bookmarkEnd w:id="62"/>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加强发展规划统领，强化发展规划与国土空间规划、区级各类专项规划衔接协调，加强各项规划目标特别是约束性指标、发展方向、总体布局、重大政策、重大工程项目、风险防控等的统筹衔接，形成以区“十五五”规划纲要为统领，各类规划定位清晰、功能互补、纵向对接、横向衔接的规划体系。强化国土空间规划的基础作用和专项规划的支撑作用。</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63" w:name="_Toc6701"/>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第三节  健全规划保障机制</w:t>
      </w:r>
      <w:bookmarkEnd w:id="63"/>
    </w:p>
    <w:p>
      <w:pPr>
        <w:shd w:val="clear"/>
        <w:bidi w:val="0"/>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围绕规划纲要确定的发展目标和主要任务，编制国民经济和社会发展年度工作要点，细化工作分工，明确工作责任，推进各项目标分阶段、按步骤实现。加强配套政策制定实施。强化规划纲要战略导向作用，优化经济社会发展的政策，促进财政、就业、产业、投资、消费、环保等政策协同。健全规划修订和考核评价机制。强化规划权威性、严肃性，未经法定程序批准，不得随意调整更改各类规划。</w:t>
      </w:r>
    </w:p>
    <w:p>
      <w:pPr>
        <w:rPr>
          <w:rFonts w:hint="eastAsia"/>
          <w:color w:val="000000" w:themeColor="text1"/>
          <w:highlight w:val="none"/>
          <w:lang w:val="en-US" w:eastAsia="zh-CN"/>
          <w14:textFill>
            <w14:solidFill>
              <w14:schemeClr w14:val="tx1"/>
            </w14:solidFill>
          </w14:textFill>
        </w:rPr>
      </w:pPr>
    </w:p>
    <w:p>
      <w:pPr>
        <w:pStyle w:val="4"/>
        <w:shd w:val="clear"/>
        <w:bidi w:val="0"/>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pPr>
      <w:bookmarkStart w:id="64" w:name="_Toc15710"/>
      <w:r>
        <w:rPr>
          <w:rFonts w:hint="eastAsia" w:ascii="方正楷体_GBK" w:hAnsi="方正楷体_GBK" w:eastAsia="方正楷体_GBK" w:cs="方正楷体_GBK"/>
          <w:color w:val="000000" w:themeColor="text1"/>
          <w:highlight w:val="none"/>
          <w:lang w:val="en-US" w:eastAsia="zh-CN"/>
          <w14:textFill>
            <w14:solidFill>
              <w14:schemeClr w14:val="tx1"/>
            </w14:solidFill>
          </w14:textFill>
        </w:rPr>
        <w:t>第四节  强化重大项目支撑</w:t>
      </w:r>
      <w:bookmarkEnd w:id="64"/>
    </w:p>
    <w:p>
      <w:pPr>
        <w:shd w:val="clear"/>
        <w:bidi w:val="0"/>
        <w:rPr>
          <w:rFonts w:hint="eastAsia" w:ascii="黑体" w:hAnsi="黑体" w:eastAsia="黑体"/>
          <w:b w:val="0"/>
          <w:bCs w:val="0"/>
          <w:color w:val="auto"/>
          <w:sz w:val="32"/>
        </w:rPr>
      </w:pPr>
      <w:r>
        <w:rPr>
          <w:rFonts w:hint="eastAsia" w:ascii="方正仿宋_GBK" w:hAnsi="方正仿宋_GBK" w:eastAsia="方正仿宋_GBK" w:cs="方正仿宋_GBK"/>
          <w:color w:val="000000" w:themeColor="text1"/>
          <w:highlight w:val="none"/>
          <w:lang w:val="en-US" w:eastAsia="zh-CN"/>
          <w14:textFill>
            <w14:solidFill>
              <w14:schemeClr w14:val="tx1"/>
            </w14:solidFill>
          </w14:textFill>
        </w:rPr>
        <w:t>充分发挥重大项目对经济社会发展和城市建设的关键性作用，按照谋划引进一批、建设推进一批、建成投产一批“三个一批”的思路，遴选100宗左右事关全局性、战略性、基础性的重大基础设施项目、重大产业项目和重要民生工程，统筹各方面力量加快推进、尽快建成。加强重大项目管理，加大项目建设统筹协调力度，强化重大项目前期论证，完善重大项目联动协调机制，把重大项目建设列入政府重要议程，强化层级互动，集中力量保证重大项目顺利推进建设，强化项目建设全过程管理，依法依规推进建设。加强资金、土地、能源、人才投入、科技投入等要素对规划实施的保障作用。</w:t>
      </w: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ind w:left="0" w:leftChars="0" w:firstLine="0" w:firstLineChars="0"/>
        <w:rPr>
          <w:rFonts w:hint="eastAsia" w:ascii="黑体" w:hAnsi="黑体" w:eastAsia="黑体"/>
          <w:b w:val="0"/>
          <w:bCs w:val="0"/>
          <w:color w:val="auto"/>
          <w:sz w:val="32"/>
        </w:rPr>
      </w:pPr>
    </w:p>
    <w:p>
      <w:pPr>
        <w:pStyle w:val="2"/>
        <w:rPr>
          <w:rFonts w:hint="eastAsia" w:ascii="黑体" w:hAnsi="黑体" w:eastAsia="黑体"/>
          <w:b w:val="0"/>
          <w:bCs w:val="0"/>
          <w:color w:val="auto"/>
          <w:sz w:val="32"/>
        </w:rPr>
      </w:pPr>
    </w:p>
    <w:p>
      <w:pPr>
        <w:pStyle w:val="2"/>
        <w:ind w:left="0" w:leftChars="0" w:firstLine="0" w:firstLineChars="0"/>
        <w:rPr>
          <w:rFonts w:hint="eastAsia" w:ascii="黑体" w:hAnsi="黑体" w:eastAsia="黑体"/>
          <w:b w:val="0"/>
          <w:bCs w:val="0"/>
          <w:color w:val="auto"/>
          <w:sz w:val="32"/>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both"/>
        <w:textAlignment w:val="auto"/>
        <w:outlineLvl w:val="9"/>
        <w:rPr>
          <w:rFonts w:hint="eastAsia" w:ascii="仿宋_GB2312" w:hAnsi="仿宋_GB2312" w:eastAsia="仿宋_GB2312"/>
          <w:b w:val="0"/>
          <w:bCs w:val="0"/>
          <w:color w:val="auto"/>
          <w:sz w:val="32"/>
          <w:szCs w:val="32"/>
        </w:rPr>
      </w:pPr>
      <w:r>
        <w:rPr>
          <w:rFonts w:hint="eastAsia" w:ascii="黑体" w:hAnsi="黑体" w:eastAsia="黑体"/>
          <w:b w:val="0"/>
          <w:bCs w:val="0"/>
          <w:color w:val="auto"/>
          <w:sz w:val="32"/>
          <w:szCs w:val="32"/>
        </w:rPr>
        <w:t>公开方式</w:t>
      </w:r>
      <w:r>
        <w:rPr>
          <w:rFonts w:hint="eastAsia" w:ascii="黑体" w:hAnsi="黑体" w:eastAsia="黑体"/>
          <w:b w:val="0"/>
          <w:bCs w:val="0"/>
          <w:color w:val="auto"/>
          <w:sz w:val="32"/>
          <w:szCs w:val="32"/>
          <w:lang w:eastAsia="zh-CN"/>
        </w:rPr>
        <w:t>：</w:t>
      </w:r>
      <w:r>
        <w:rPr>
          <w:rFonts w:hint="eastAsia" w:ascii="仿宋_GB2312" w:hAnsi="仿宋_GB2312" w:eastAsia="仿宋_GB2312"/>
          <w:b w:val="0"/>
          <w:bCs w:val="0"/>
          <w:color w:val="auto"/>
          <w:sz w:val="32"/>
          <w:szCs w:val="32"/>
          <w:lang w:eastAsia="zh-CN"/>
        </w:rPr>
        <w:t>主动</w:t>
      </w:r>
      <w:r>
        <w:rPr>
          <w:rFonts w:hint="eastAsia" w:ascii="仿宋_GB2312" w:hAnsi="仿宋_GB2312" w:eastAsia="仿宋_GB2312"/>
          <w:b w:val="0"/>
          <w:bCs w:val="0"/>
          <w:color w:val="auto"/>
          <w:sz w:val="32"/>
          <w:szCs w:val="32"/>
        </w:rPr>
        <w:t>公开</w:t>
      </w:r>
    </w:p>
    <w:tbl>
      <w:tblPr>
        <w:tblStyle w:val="21"/>
        <w:tblpPr w:leftFromText="180" w:rightFromText="180" w:vertAnchor="text" w:horzAnchor="page" w:tblpX="1705" w:tblpY="207"/>
        <w:tblOverlap w:val="never"/>
        <w:tblW w:w="8787"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787"/>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70" w:hRule="atLeast"/>
        </w:trPr>
        <w:tc>
          <w:tcPr>
            <w:tcW w:w="9255" w:type="dxa"/>
            <w:noWrap w:val="0"/>
            <w:vAlign w:val="top"/>
          </w:tcPr>
          <w:p>
            <w:pPr>
              <w:pStyle w:val="36"/>
              <w:keepNext w:val="0"/>
              <w:keepLines w:val="0"/>
              <w:pageBreakBefore w:val="0"/>
              <w:widowControl w:val="0"/>
              <w:kinsoku/>
              <w:wordWrap/>
              <w:overflowPunct/>
              <w:topLinePunct w:val="0"/>
              <w:autoSpaceDE/>
              <w:autoSpaceDN/>
              <w:bidi w:val="0"/>
              <w:adjustRightInd/>
              <w:snapToGrid/>
              <w:spacing w:line="520" w:lineRule="exact"/>
              <w:ind w:left="1122" w:leftChars="88" w:hanging="840" w:hangingChars="300"/>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抄送：区纪委监委，区委有关部委办，区人大常委会办公室，区政</w:t>
            </w:r>
          </w:p>
          <w:p>
            <w:pPr>
              <w:pStyle w:val="36"/>
              <w:keepNext w:val="0"/>
              <w:keepLines w:val="0"/>
              <w:pageBreakBefore w:val="0"/>
              <w:widowControl w:val="0"/>
              <w:kinsoku/>
              <w:wordWrap/>
              <w:overflowPunct/>
              <w:topLinePunct w:val="0"/>
              <w:autoSpaceDE/>
              <w:autoSpaceDN/>
              <w:bidi w:val="0"/>
              <w:adjustRightInd/>
              <w:snapToGrid/>
              <w:spacing w:line="520" w:lineRule="exact"/>
              <w:ind w:left="0" w:leftChars="0" w:firstLine="1120" w:firstLineChars="400"/>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协办公室，区人民武装部，区法院、区检察院，区有关人民</w:t>
            </w:r>
          </w:p>
          <w:p>
            <w:pPr>
              <w:pStyle w:val="36"/>
              <w:keepNext w:val="0"/>
              <w:keepLines w:val="0"/>
              <w:pageBreakBefore w:val="0"/>
              <w:widowControl w:val="0"/>
              <w:kinsoku/>
              <w:wordWrap/>
              <w:overflowPunct/>
              <w:topLinePunct w:val="0"/>
              <w:autoSpaceDE/>
              <w:autoSpaceDN/>
              <w:bidi w:val="0"/>
              <w:adjustRightInd/>
              <w:snapToGrid/>
              <w:spacing w:line="520" w:lineRule="exact"/>
              <w:ind w:left="0" w:leftChars="0" w:firstLine="1120" w:firstLineChars="400"/>
              <w:textAlignment w:val="auto"/>
              <w:rPr>
                <w:rFonts w:hint="eastAsia" w:ascii="仿宋_GB2312" w:hAnsi="仿宋_GB2312" w:eastAsia="仿宋_GB2312"/>
                <w:b w:val="0"/>
                <w:bCs w:val="0"/>
                <w:color w:val="auto"/>
                <w:sz w:val="28"/>
                <w:szCs w:val="28"/>
                <w:vertAlign w:val="baseline"/>
                <w:lang w:val="en-US" w:eastAsia="zh-CN"/>
              </w:rPr>
            </w:pPr>
            <w:r>
              <w:rPr>
                <w:rFonts w:hint="eastAsia" w:ascii="方正仿宋_GBK" w:hAnsi="方正仿宋_GBK" w:eastAsia="方正仿宋_GBK" w:cs="方正仿宋_GBK"/>
                <w:sz w:val="28"/>
                <w:szCs w:val="28"/>
                <w:lang w:eastAsia="zh-CN"/>
              </w:rPr>
              <w:t>团体，驻清新有关单位。</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85" w:hRule="atLeast"/>
        </w:trPr>
        <w:tc>
          <w:tcPr>
            <w:tcW w:w="9255"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ind w:right="0" w:rightChars="0" w:firstLine="280" w:firstLineChars="100"/>
              <w:jc w:val="both"/>
              <w:textAlignment w:val="auto"/>
              <w:outlineLvl w:val="9"/>
              <w:rPr>
                <w:rFonts w:hint="default" w:ascii="仿宋_GB2312" w:hAnsi="仿宋_GB2312" w:eastAsia="仿宋_GB2312"/>
                <w:b w:val="0"/>
                <w:bCs w:val="0"/>
                <w:color w:val="auto"/>
                <w:sz w:val="28"/>
                <w:szCs w:val="28"/>
                <w:vertAlign w:val="baseline"/>
                <w:lang w:val="en-US" w:eastAsia="zh-CN"/>
              </w:rPr>
            </w:pPr>
            <w:r>
              <w:rPr>
                <w:rFonts w:hint="eastAsia" w:ascii="仿宋_GB2312" w:hAnsi="仿宋_GB2312" w:eastAsia="仿宋_GB2312"/>
                <w:b w:val="0"/>
                <w:bCs w:val="0"/>
                <w:color w:val="auto"/>
                <w:sz w:val="28"/>
                <w:szCs w:val="28"/>
                <w:vertAlign w:val="baseline"/>
                <w:lang w:val="en-US" w:eastAsia="zh-CN"/>
              </w:rPr>
              <w:t xml:space="preserve">清远市清新区人民政府办公室             2026年7月30日印发 </w:t>
            </w:r>
          </w:p>
        </w:tc>
      </w:tr>
    </w:tbl>
    <w:p>
      <w:pPr>
        <w:keepNext w:val="0"/>
        <w:keepLines w:val="0"/>
        <w:pageBreakBefore w:val="0"/>
        <w:widowControl w:val="0"/>
        <w:shd w:val="clear"/>
        <w:kinsoku/>
        <w:wordWrap/>
        <w:overflowPunct/>
        <w:topLinePunct w:val="0"/>
        <w:autoSpaceDE/>
        <w:autoSpaceDN/>
        <w:bidi w:val="0"/>
        <w:adjustRightInd/>
        <w:snapToGrid/>
        <w:spacing w:line="20" w:lineRule="exact"/>
        <w:ind w:left="0" w:leftChars="0" w:firstLine="0" w:firstLineChars="0"/>
        <w:textAlignment w:val="auto"/>
        <w:rPr>
          <w:rFonts w:hint="eastAsia"/>
          <w:color w:val="000000" w:themeColor="text1"/>
          <w:sz w:val="30"/>
          <w:szCs w:val="30"/>
          <w:highlight w:val="none"/>
          <w:lang w:val="en-US" w:eastAsia="zh-CN"/>
          <w14:textFill>
            <w14:solidFill>
              <w14:schemeClr w14:val="tx1"/>
            </w14:solidFill>
          </w14:textFill>
        </w:rPr>
      </w:pPr>
    </w:p>
    <w:sectPr>
      <w:pgSz w:w="11906" w:h="16838"/>
      <w:pgMar w:top="2098" w:right="1474" w:bottom="1984" w:left="1587" w:header="851" w:footer="992" w:gutter="0"/>
      <w:pgNumType w:fmt="numberInDash"/>
      <w:cols w:space="0" w:num="1"/>
      <w:rtlGutter w:val="0"/>
      <w:docGrid w:type="lines" w:linePitch="43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34"/>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leftChars="0"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ind w:left="0" w:leftChars="0"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2"/>
                      <w:ind w:left="0" w:leftChars="0"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8">
    <w:p>
      <w:pPr>
        <w:spacing w:line="240" w:lineRule="auto"/>
        <w:ind w:firstLine="640"/>
      </w:pPr>
      <w:r>
        <w:separator/>
      </w:r>
    </w:p>
  </w:footnote>
  <w:footnote w:type="continuationSeparator" w:id="69">
    <w:p>
      <w:pPr>
        <w:spacing w:line="240" w:lineRule="auto"/>
        <w:ind w:firstLine="640"/>
      </w:pPr>
      <w:r>
        <w:continuationSeparator/>
      </w:r>
    </w:p>
  </w:footnote>
  <w:footnote w:id="0">
    <w:p>
      <w:pPr>
        <w:pStyle w:val="15"/>
        <w:snapToGrid w:val="0"/>
        <w:spacing w:line="400" w:lineRule="atLeast"/>
        <w:rPr>
          <w:rFonts w:hint="eastAsia" w:ascii="方正仿宋_GBK" w:hAnsi="方正仿宋_GBK" w:eastAsia="方正仿宋_GBK" w:cs="方正仿宋_GBK"/>
          <w:lang w:eastAsia="zh-CN"/>
        </w:rPr>
      </w:pPr>
      <w:r>
        <w:rPr>
          <w:rStyle w:val="24"/>
          <w:rFonts w:hint="eastAsia" w:eastAsia="宋体" w:cs="Times New Roman"/>
        </w:rPr>
        <w:footnoteRef/>
      </w:r>
      <w:r>
        <w:rPr>
          <w:rStyle w:val="24"/>
          <w:rFonts w:hint="eastAsia" w:eastAsia="宋体" w:cs="Times New Roman"/>
        </w:rPr>
        <w:t xml:space="preserve"> </w:t>
      </w:r>
      <w:r>
        <w:rPr>
          <w:rFonts w:hint="eastAsia" w:ascii="方正仿宋_GBK" w:hAnsi="方正仿宋_GBK" w:eastAsia="方正仿宋_GBK" w:cs="方正仿宋_GBK"/>
        </w:rPr>
        <w:t>“1310”具体部署</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“1”是锚定“走在前列”总目标</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“3”是激活改革、开放、创新“三大动力”</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“10”是奋力实现“十大新突破”</w:t>
      </w:r>
      <w:r>
        <w:rPr>
          <w:rFonts w:hint="eastAsia" w:ascii="方正仿宋_GBK" w:hAnsi="方正仿宋_GBK" w:eastAsia="方正仿宋_GBK" w:cs="方正仿宋_GBK"/>
          <w:lang w:eastAsia="zh-CN"/>
        </w:rPr>
        <w:t>。</w:t>
      </w:r>
    </w:p>
  </w:footnote>
  <w:footnote w:id="1">
    <w:p>
      <w:pPr>
        <w:pStyle w:val="15"/>
        <w:snapToGrid w:val="0"/>
        <w:spacing w:line="400" w:lineRule="atLeast"/>
        <w:rPr>
          <w:rFonts w:hint="eastAsia" w:ascii="方正仿宋_GBK" w:hAnsi="方正仿宋_GBK" w:eastAsia="方正仿宋_GBK" w:cs="方正仿宋_GBK"/>
          <w:lang w:eastAsia="zh-CN"/>
        </w:rPr>
      </w:pPr>
      <w:r>
        <w:rPr>
          <w:rStyle w:val="24"/>
          <w:rFonts w:hint="eastAsia" w:eastAsia="宋体" w:cs="Times New Roman"/>
        </w:rPr>
        <w:footnoteRef/>
      </w:r>
      <w:r>
        <w:rPr>
          <w:rStyle w:val="24"/>
          <w:rFonts w:hint="eastAsia" w:eastAsia="宋体" w:cs="Times New Roman"/>
        </w:rPr>
        <w:t xml:space="preserve"> </w:t>
      </w:r>
      <w:r>
        <w:rPr>
          <w:rFonts w:hint="eastAsia" w:ascii="方正仿宋_GBK" w:hAnsi="方正仿宋_GBK" w:eastAsia="方正仿宋_GBK" w:cs="方正仿宋_GBK"/>
        </w:rPr>
        <w:t>市委“十大行动方案”</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即</w:t>
      </w:r>
      <w:r>
        <w:rPr>
          <w:rFonts w:hint="eastAsia" w:ascii="方正仿宋_GBK" w:hAnsi="方正仿宋_GBK" w:eastAsia="方正仿宋_GBK" w:cs="方正仿宋_GBK"/>
        </w:rPr>
        <w:t>推动清远高质量发展“十大行动方案”</w:t>
      </w:r>
      <w:r>
        <w:rPr>
          <w:rFonts w:hint="eastAsia" w:ascii="方正仿宋_GBK" w:hAnsi="方正仿宋_GBK" w:eastAsia="方正仿宋_GBK" w:cs="方正仿宋_GBK"/>
          <w:lang w:eastAsia="zh-CN"/>
        </w:rPr>
        <w:t>，是清远市委对标省委“1+1+9” 部署，于2020 年底推出的统领全市高质量发展的总抓手、总施工图。</w:t>
      </w:r>
    </w:p>
  </w:footnote>
  <w:footnote w:id="2">
    <w:p>
      <w:pPr>
        <w:pStyle w:val="15"/>
        <w:snapToGrid w:val="0"/>
        <w:rPr>
          <w:rFonts w:hint="eastAsia" w:eastAsia="方正仿宋_GBK"/>
          <w:lang w:eastAsia="zh-CN"/>
        </w:rPr>
      </w:pPr>
      <w:r>
        <w:rPr>
          <w:rStyle w:val="24"/>
        </w:rPr>
        <w:footnoteRef/>
      </w:r>
      <w:r>
        <w:t xml:space="preserve"> </w:t>
      </w:r>
      <w:r>
        <w:rPr>
          <w:rFonts w:hint="eastAsia"/>
        </w:rPr>
        <w:t>“四个清新”</w:t>
      </w:r>
      <w:r>
        <w:rPr>
          <w:rFonts w:hint="eastAsia"/>
          <w:lang w:eastAsia="zh-CN"/>
        </w:rPr>
        <w:t>：</w:t>
      </w:r>
      <w:r>
        <w:rPr>
          <w:rFonts w:hint="eastAsia"/>
        </w:rPr>
        <w:t>生态清新、活力清新、品质清新、幸福清新</w:t>
      </w:r>
      <w:r>
        <w:rPr>
          <w:rFonts w:hint="eastAsia"/>
          <w:lang w:eastAsia="zh-CN"/>
        </w:rPr>
        <w:t>。</w:t>
      </w:r>
    </w:p>
  </w:footnote>
  <w:footnote w:id="3">
    <w:p>
      <w:pPr>
        <w:pStyle w:val="15"/>
        <w:snapToGrid w:val="0"/>
      </w:pPr>
      <w:r>
        <w:rPr>
          <w:rStyle w:val="24"/>
        </w:rPr>
        <w:footnoteRef/>
      </w:r>
      <w:r>
        <w:t xml:space="preserve"> </w:t>
      </w:r>
      <w:r>
        <w:rPr>
          <w:rFonts w:hint="eastAsia"/>
          <w:color w:val="000000" w:themeColor="text1"/>
          <w:highlight w:val="none"/>
          <w:lang w:val="en-US" w:eastAsia="zh-CN"/>
          <w14:textFill>
            <w14:solidFill>
              <w14:schemeClr w14:val="tx1"/>
            </w14:solidFill>
          </w14:textFill>
        </w:rPr>
        <w:t>“三块地”：承包地、宅基地、集体经营性建设用地。</w:t>
      </w:r>
    </w:p>
  </w:footnote>
  <w:footnote w:id="4">
    <w:p>
      <w:pPr>
        <w:pStyle w:val="15"/>
        <w:snapToGrid w:val="0"/>
        <w:spacing w:line="240" w:lineRule="auto"/>
        <w:rPr>
          <w:rFonts w:hint="eastAsia" w:eastAsia="仿宋_GB2312"/>
          <w:lang w:eastAsia="zh-CN"/>
        </w:rPr>
      </w:pPr>
      <w:r>
        <w:rPr>
          <w:rStyle w:val="24"/>
        </w:rPr>
        <w:footnoteRef/>
      </w:r>
      <w:r>
        <w:t xml:space="preserve"> </w:t>
      </w:r>
      <w:r>
        <w:rPr>
          <w:rFonts w:hint="eastAsia"/>
          <w:lang w:eastAsia="zh-CN"/>
        </w:rPr>
        <w:t>“</w:t>
      </w:r>
      <w:r>
        <w:rPr>
          <w:rFonts w:hint="eastAsia"/>
        </w:rPr>
        <w:t>三项工程</w:t>
      </w:r>
      <w:r>
        <w:rPr>
          <w:rFonts w:hint="eastAsia"/>
          <w:lang w:eastAsia="zh-CN"/>
        </w:rPr>
        <w:t>”</w:t>
      </w:r>
      <w:r>
        <w:rPr>
          <w:rFonts w:hint="eastAsia"/>
        </w:rPr>
        <w:t>：</w:t>
      </w:r>
      <w:r>
        <w:rPr>
          <w:rFonts w:hint="eastAsia"/>
          <w:lang w:eastAsia="zh-CN"/>
        </w:rPr>
        <w:t>“</w:t>
      </w:r>
      <w:r>
        <w:rPr>
          <w:rFonts w:hint="eastAsia"/>
        </w:rPr>
        <w:t>粤菜师傅</w:t>
      </w:r>
      <w:r>
        <w:rPr>
          <w:rFonts w:hint="eastAsia"/>
          <w:lang w:eastAsia="zh-CN"/>
        </w:rPr>
        <w:t>”“</w:t>
      </w:r>
      <w:r>
        <w:rPr>
          <w:rFonts w:hint="eastAsia"/>
        </w:rPr>
        <w:t>广东技工</w:t>
      </w:r>
      <w:r>
        <w:rPr>
          <w:rFonts w:hint="eastAsia"/>
          <w:lang w:eastAsia="zh-CN"/>
        </w:rPr>
        <w:t>”</w:t>
      </w:r>
      <w:r>
        <w:rPr>
          <w:rFonts w:hint="eastAsia"/>
        </w:rPr>
        <w:t>和</w:t>
      </w:r>
      <w:r>
        <w:rPr>
          <w:rFonts w:hint="eastAsia"/>
          <w:lang w:eastAsia="zh-CN"/>
        </w:rPr>
        <w:t>“</w:t>
      </w:r>
      <w:r>
        <w:rPr>
          <w:rFonts w:hint="eastAsia"/>
        </w:rPr>
        <w:t>南粤家政</w:t>
      </w:r>
      <w:r>
        <w:rPr>
          <w:rFonts w:hint="eastAsia"/>
          <w:lang w:eastAsia="zh-CN"/>
        </w:rPr>
        <w:t>”。</w:t>
      </w:r>
    </w:p>
  </w:footnote>
  <w:footnote w:id="5">
    <w:p>
      <w:pPr>
        <w:pStyle w:val="15"/>
        <w:snapToGrid w:val="0"/>
        <w:spacing w:line="400" w:lineRule="exact"/>
        <w:rPr>
          <w:rFonts w:hint="eastAsia" w:eastAsia="方正仿宋_GBK"/>
          <w:lang w:eastAsia="zh-CN"/>
        </w:rPr>
      </w:pPr>
      <w:r>
        <w:rPr>
          <w:rStyle w:val="24"/>
        </w:rPr>
        <w:footnoteRef/>
      </w:r>
      <w:r>
        <w:t xml:space="preserve"> </w:t>
      </w:r>
      <w:r>
        <w:rPr>
          <w:rFonts w:hint="eastAsia"/>
          <w:b w:val="0"/>
          <w:bCs w:val="0"/>
          <w:color w:val="000000" w:themeColor="text1"/>
          <w:highlight w:val="none"/>
          <w:lang w:val="en-US" w:eastAsia="zh-CN"/>
          <w14:textFill>
            <w14:solidFill>
              <w14:schemeClr w14:val="tx1"/>
            </w14:solidFill>
          </w14:textFill>
        </w:rPr>
        <w:t>“一心三副三支点”：“</w:t>
      </w:r>
      <w:r>
        <w:rPr>
          <w:rFonts w:hint="eastAsia"/>
          <w:color w:val="000000" w:themeColor="text1"/>
          <w:highlight w:val="none"/>
          <w14:textFill>
            <w14:solidFill>
              <w14:schemeClr w14:val="tx1"/>
            </w14:solidFill>
          </w14:textFill>
        </w:rPr>
        <w:t>一心</w:t>
      </w:r>
      <w:r>
        <w:rPr>
          <w:rFonts w:hint="eastAsia"/>
          <w:b w:val="0"/>
          <w:bCs w:val="0"/>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‌指‌中心区‌，包括‌清城区、清新区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三副</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‌指‌副中心区域‌，包括‌英德市、佛冈县、连州市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三支点</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指‌生态支点地区‌，包括‌阳山县、连南瑶族自治县、连山壮族瑶族自治县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footnote>
  <w:footnote w:id="6">
    <w:p>
      <w:pPr>
        <w:pStyle w:val="15"/>
        <w:snapToGrid w:val="0"/>
        <w:spacing w:line="400" w:lineRule="exact"/>
        <w:rPr>
          <w:rFonts w:hint="eastAsia" w:eastAsia="方正仿宋_GBK"/>
          <w:lang w:eastAsia="zh-CN"/>
        </w:rPr>
      </w:pPr>
      <w:r>
        <w:rPr>
          <w:rStyle w:val="24"/>
        </w:rPr>
        <w:footnoteRef/>
      </w:r>
      <w:r>
        <w:t xml:space="preserve"> </w:t>
      </w:r>
      <w:r>
        <w:rPr>
          <w:rFonts w:hint="eastAsia"/>
          <w:lang w:eastAsia="zh-CN"/>
        </w:rPr>
        <w:t>“</w:t>
      </w:r>
      <w:r>
        <w:rPr>
          <w:rFonts w:hint="eastAsia"/>
          <w:lang w:val="en-US" w:eastAsia="zh-CN"/>
        </w:rPr>
        <w:t>一点两地</w:t>
      </w:r>
      <w:r>
        <w:rPr>
          <w:rFonts w:hint="eastAsia"/>
          <w:lang w:eastAsia="zh-CN"/>
        </w:rPr>
        <w:t>”：“一点”</w:t>
      </w:r>
      <w:r>
        <w:rPr>
          <w:rFonts w:hint="eastAsia"/>
          <w:lang w:val="en-US" w:eastAsia="zh-CN"/>
        </w:rPr>
        <w:t>为</w:t>
      </w:r>
      <w:r>
        <w:rPr>
          <w:rFonts w:hint="eastAsia"/>
          <w:lang w:eastAsia="zh-CN"/>
        </w:rPr>
        <w:t>新发展格局的战略支点，“两地”</w:t>
      </w:r>
      <w:r>
        <w:rPr>
          <w:rFonts w:hint="eastAsia"/>
          <w:lang w:val="en-US" w:eastAsia="zh-CN"/>
        </w:rPr>
        <w:t>为</w:t>
      </w:r>
      <w:r>
        <w:rPr>
          <w:rFonts w:hint="eastAsia"/>
          <w:lang w:eastAsia="zh-CN"/>
        </w:rPr>
        <w:t>高质量发展的示范地、中国式现代化的引领地。</w:t>
      </w:r>
    </w:p>
  </w:footnote>
  <w:footnote w:id="7">
    <w:p>
      <w:pPr>
        <w:pStyle w:val="15"/>
        <w:snapToGrid w:val="0"/>
        <w:spacing w:line="400" w:lineRule="exact"/>
        <w:rPr>
          <w:rFonts w:hint="eastAsia" w:eastAsia="仿宋_GB2312"/>
          <w:lang w:eastAsia="zh-CN"/>
        </w:rPr>
      </w:pPr>
      <w:r>
        <w:rPr>
          <w:rStyle w:val="24"/>
        </w:rPr>
        <w:footnoteRef/>
      </w:r>
      <w:r>
        <w:t xml:space="preserve"> </w:t>
      </w:r>
      <w:r>
        <w:rPr>
          <w:rFonts w:hint="eastAsia"/>
        </w:rPr>
        <w:t>园区</w:t>
      </w:r>
      <w:r>
        <w:rPr>
          <w:rFonts w:hint="eastAsia"/>
          <w:lang w:eastAsia="zh-CN"/>
        </w:rPr>
        <w:t>“</w:t>
      </w:r>
      <w:r>
        <w:rPr>
          <w:rFonts w:hint="eastAsia"/>
        </w:rPr>
        <w:t>六个一</w:t>
      </w:r>
      <w:r>
        <w:rPr>
          <w:rFonts w:hint="eastAsia"/>
          <w:lang w:eastAsia="zh-CN"/>
        </w:rPr>
        <w:t>”</w:t>
      </w:r>
      <w:r>
        <w:rPr>
          <w:rFonts w:hint="eastAsia"/>
        </w:rPr>
        <w:t>工程</w:t>
      </w:r>
      <w:r>
        <w:rPr>
          <w:rFonts w:hint="eastAsia"/>
          <w:lang w:eastAsia="zh-CN"/>
        </w:rPr>
        <w:t>：</w:t>
      </w:r>
      <w:r>
        <w:rPr>
          <w:rFonts w:hint="eastAsia"/>
        </w:rPr>
        <w:t>即一所中小学、一家医疗卫生机构、一个生活区、一个商业区、一片公共绿地以及开通一条到城区的公共交通线路</w:t>
      </w:r>
      <w:r>
        <w:rPr>
          <w:rFonts w:hint="eastAsia"/>
          <w:lang w:eastAsia="zh-CN"/>
        </w:rPr>
        <w:t>。</w:t>
      </w:r>
    </w:p>
  </w:footnote>
  <w:footnote w:id="8">
    <w:p>
      <w:pPr>
        <w:pStyle w:val="15"/>
        <w:snapToGrid w:val="0"/>
        <w:spacing w:line="400" w:lineRule="exact"/>
        <w:rPr>
          <w:rFonts w:hint="eastAsia" w:eastAsia="方正仿宋_GBK"/>
          <w:lang w:eastAsia="zh-CN"/>
        </w:rPr>
      </w:pPr>
      <w:r>
        <w:rPr>
          <w:rStyle w:val="24"/>
        </w:rPr>
        <w:footnoteRef/>
      </w:r>
      <w:r>
        <w:t xml:space="preserve"> </w:t>
      </w:r>
      <w:r>
        <w:rPr>
          <w:rFonts w:hint="eastAsia"/>
        </w:rPr>
        <w:t>“1+N”技术转移服务支撑体系</w:t>
      </w:r>
      <w:r>
        <w:rPr>
          <w:rFonts w:hint="eastAsia"/>
          <w:lang w:eastAsia="zh-CN"/>
        </w:rPr>
        <w:t>：</w:t>
      </w:r>
      <w:r>
        <w:rPr>
          <w:rFonts w:hint="eastAsia"/>
        </w:rPr>
        <w:t>以 1 个市级综合服务平台为核心，联动 N 个专业化、垂直化、区域化的技术转移分支机构与服务站点，构建覆盖全市、贯通产学研、服务全链条的科技成果转化网络</w:t>
      </w:r>
      <w:r>
        <w:rPr>
          <w:rFonts w:hint="eastAsia"/>
          <w:lang w:eastAsia="zh-CN"/>
        </w:rPr>
        <w:t>。</w:t>
      </w:r>
    </w:p>
  </w:footnote>
  <w:footnote w:id="9">
    <w:p>
      <w:pPr>
        <w:pStyle w:val="15"/>
        <w:snapToGrid w:val="0"/>
        <w:spacing w:line="400" w:lineRule="atLeast"/>
        <w:rPr>
          <w:rFonts w:hint="eastAsia" w:eastAsia="仿宋_GB2312"/>
          <w:lang w:eastAsia="zh-CN"/>
        </w:rPr>
      </w:pPr>
      <w:r>
        <w:rPr>
          <w:rStyle w:val="24"/>
        </w:rPr>
        <w:footnoteRef/>
      </w:r>
      <w:r>
        <w:t xml:space="preserve"> </w:t>
      </w:r>
      <w:r>
        <w:rPr>
          <w:rFonts w:hint="eastAsia"/>
          <w:lang w:val="en-US" w:eastAsia="zh-CN"/>
        </w:rPr>
        <w:t>市</w:t>
      </w:r>
      <w:r>
        <w:rPr>
          <w:rFonts w:hint="eastAsia"/>
        </w:rPr>
        <w:t>工业产业</w:t>
      </w:r>
      <w:r>
        <w:rPr>
          <w:rFonts w:hint="eastAsia"/>
          <w:lang w:eastAsia="zh-CN"/>
        </w:rPr>
        <w:t>“</w:t>
      </w:r>
      <w:r>
        <w:rPr>
          <w:rFonts w:hint="eastAsia"/>
        </w:rPr>
        <w:t>百千计划”</w:t>
      </w:r>
      <w:r>
        <w:rPr>
          <w:rFonts w:hint="eastAsia"/>
          <w:lang w:eastAsia="zh-CN"/>
        </w:rPr>
        <w:t>：</w:t>
      </w:r>
      <w:r>
        <w:rPr>
          <w:rFonts w:hint="eastAsia"/>
        </w:rPr>
        <w:t>聚焦铜材加工、电子电路、铝材加工、稀有金属、农副食品、改性材料、制鞋及纺织服装、汽车零部件、电动车、智能家居十大细分领域产业，推动龙头骨干企业跃升百亿级规模，培育重点产业实现千亿级倍增</w:t>
      </w:r>
      <w:r>
        <w:rPr>
          <w:rFonts w:hint="eastAsia"/>
          <w:lang w:eastAsia="zh-CN"/>
        </w:rPr>
        <w:t>。</w:t>
      </w:r>
    </w:p>
  </w:footnote>
  <w:footnote w:id="10">
    <w:p>
      <w:pPr>
        <w:pStyle w:val="15"/>
        <w:snapToGrid w:val="0"/>
        <w:spacing w:line="400" w:lineRule="atLeast"/>
        <w:rPr>
          <w:rFonts w:hint="eastAsia" w:eastAsia="方正仿宋_GBK"/>
          <w:lang w:eastAsia="zh-CN"/>
        </w:rPr>
      </w:pPr>
      <w:r>
        <w:rPr>
          <w:rStyle w:val="24"/>
        </w:rPr>
        <w:footnoteRef/>
      </w:r>
      <w:r>
        <w:t xml:space="preserve"> </w:t>
      </w:r>
      <w:r>
        <w:rPr>
          <w:rFonts w:hint="eastAsia"/>
        </w:rPr>
        <w:t>“双百行动”</w:t>
      </w:r>
      <w:r>
        <w:rPr>
          <w:rFonts w:hint="eastAsia"/>
          <w:lang w:eastAsia="zh-CN"/>
        </w:rPr>
        <w:t>：</w:t>
      </w:r>
      <w:r>
        <w:rPr>
          <w:rFonts w:hint="eastAsia"/>
        </w:rPr>
        <w:t>百校联百县助力“百县千镇万村高质量发展工程”行动</w:t>
      </w:r>
      <w:r>
        <w:rPr>
          <w:rFonts w:hint="eastAsia"/>
          <w:lang w:eastAsia="zh-CN"/>
        </w:rPr>
        <w:t>。</w:t>
      </w:r>
    </w:p>
  </w:footnote>
  <w:footnote w:id="11">
    <w:p>
      <w:pPr>
        <w:pStyle w:val="15"/>
        <w:snapToGrid w:val="0"/>
        <w:spacing w:line="400" w:lineRule="exact"/>
        <w:rPr>
          <w:rFonts w:hint="eastAsia" w:eastAsia="方正仿宋_GBK"/>
          <w:lang w:eastAsia="zh-CN"/>
        </w:rPr>
      </w:pPr>
      <w:r>
        <w:rPr>
          <w:rStyle w:val="24"/>
        </w:rPr>
        <w:footnoteRef/>
      </w:r>
      <w:r>
        <w:rPr>
          <w:rFonts w:hint="eastAsia"/>
        </w:rPr>
        <w:t>“1+8+N”人才服务体系</w:t>
      </w:r>
      <w:r>
        <w:rPr>
          <w:rFonts w:hint="eastAsia"/>
          <w:lang w:eastAsia="zh-CN"/>
        </w:rPr>
        <w:t>：是覆盖区—镇—基层的三级人才服务平台架构，</w:t>
      </w:r>
      <w:r>
        <w:rPr>
          <w:rFonts w:hint="eastAsia"/>
          <w:lang w:val="en-US" w:eastAsia="zh-CN"/>
        </w:rPr>
        <w:t>具体</w:t>
      </w:r>
      <w:r>
        <w:rPr>
          <w:rFonts w:hint="eastAsia"/>
          <w:lang w:eastAsia="zh-CN"/>
        </w:rPr>
        <w:t>是1个区级总站+8个镇级分站+N个行业/产业/村级服务基地。</w:t>
      </w:r>
    </w:p>
  </w:footnote>
  <w:footnote w:id="12">
    <w:p>
      <w:pPr>
        <w:pStyle w:val="15"/>
        <w:snapToGrid w:val="0"/>
        <w:spacing w:line="400" w:lineRule="exact"/>
        <w:rPr>
          <w:rFonts w:hint="default" w:eastAsia="方正仿宋_GBK"/>
          <w:lang w:val="en-US" w:eastAsia="zh-CN"/>
        </w:rPr>
      </w:pPr>
      <w:r>
        <w:rPr>
          <w:rStyle w:val="24"/>
        </w:rPr>
        <w:footnoteRef/>
      </w:r>
      <w:r>
        <w:t xml:space="preserve"> </w:t>
      </w:r>
      <w:r>
        <w:rPr>
          <w:rFonts w:hint="eastAsia"/>
          <w:lang w:eastAsia="zh-CN"/>
        </w:rPr>
        <w:t>“</w:t>
      </w:r>
      <w:r>
        <w:rPr>
          <w:rFonts w:hint="eastAsia"/>
          <w:lang w:val="en-US" w:eastAsia="zh-CN"/>
        </w:rPr>
        <w:t>三新</w:t>
      </w:r>
      <w:r>
        <w:rPr>
          <w:rFonts w:hint="eastAsia"/>
          <w:lang w:eastAsia="zh-CN"/>
        </w:rPr>
        <w:t>”</w:t>
      </w:r>
      <w:r>
        <w:rPr>
          <w:rFonts w:hint="eastAsia"/>
          <w:lang w:val="en-US" w:eastAsia="zh-CN"/>
        </w:rPr>
        <w:t>项目：</w:t>
      </w:r>
      <w:r>
        <w:rPr>
          <w:rFonts w:hint="eastAsia"/>
          <w:highlight w:val="none"/>
          <w:lang w:eastAsia="zh-CN"/>
        </w:rPr>
        <w:t>新开工、新投产、新储备项目。</w:t>
      </w:r>
    </w:p>
  </w:footnote>
  <w:footnote w:id="13">
    <w:p>
      <w:pPr>
        <w:pStyle w:val="15"/>
        <w:snapToGrid w:val="0"/>
        <w:spacing w:line="400" w:lineRule="exact"/>
        <w:rPr>
          <w:rFonts w:hint="eastAsia" w:eastAsia="方正仿宋_GBK"/>
          <w:lang w:eastAsia="zh-CN"/>
        </w:rPr>
      </w:pPr>
      <w:r>
        <w:rPr>
          <w:rStyle w:val="24"/>
        </w:rPr>
        <w:footnoteRef/>
      </w:r>
      <w:r>
        <w:t xml:space="preserve"> </w:t>
      </w:r>
      <w:r>
        <w:rPr>
          <w:rFonts w:hint="eastAsia"/>
        </w:rPr>
        <w:t>“五统一、一开放”</w:t>
      </w:r>
      <w:r>
        <w:rPr>
          <w:rFonts w:hint="eastAsia"/>
          <w:lang w:eastAsia="zh-CN"/>
        </w:rPr>
        <w:t>：</w:t>
      </w:r>
      <w:r>
        <w:rPr>
          <w:rFonts w:hint="eastAsia"/>
        </w:rPr>
        <w:t>“五统一</w:t>
      </w:r>
      <w:r>
        <w:rPr>
          <w:rFonts w:hint="eastAsia"/>
          <w:lang w:eastAsia="zh-CN"/>
        </w:rPr>
        <w:t>”</w:t>
      </w:r>
      <w:r>
        <w:rPr>
          <w:rFonts w:hint="eastAsia"/>
          <w:lang w:val="en-US" w:eastAsia="zh-CN"/>
        </w:rPr>
        <w:t>是指</w:t>
      </w:r>
      <w:r>
        <w:rPr>
          <w:rFonts w:hint="eastAsia"/>
          <w:lang w:eastAsia="zh-CN"/>
        </w:rPr>
        <w:t>统一市场基础制度、</w:t>
      </w:r>
      <w:r>
        <w:rPr>
          <w:rFonts w:hint="eastAsia"/>
        </w:rPr>
        <w:t>统一市场基础设施</w:t>
      </w:r>
      <w:r>
        <w:rPr>
          <w:rFonts w:hint="eastAsia"/>
          <w:lang w:eastAsia="zh-CN"/>
        </w:rPr>
        <w:t>、</w:t>
      </w:r>
      <w:r>
        <w:rPr>
          <w:rFonts w:hint="eastAsia"/>
        </w:rPr>
        <w:t>统一政府行为尺度</w:t>
      </w:r>
      <w:r>
        <w:rPr>
          <w:rFonts w:hint="eastAsia"/>
          <w:lang w:eastAsia="zh-CN"/>
        </w:rPr>
        <w:t>、</w:t>
      </w:r>
      <w:r>
        <w:rPr>
          <w:rFonts w:hint="eastAsia"/>
        </w:rPr>
        <w:t>统一市场监管执法</w:t>
      </w:r>
      <w:r>
        <w:rPr>
          <w:rFonts w:hint="eastAsia"/>
          <w:lang w:eastAsia="zh-CN"/>
        </w:rPr>
        <w:t>、</w:t>
      </w:r>
      <w:r>
        <w:rPr>
          <w:rFonts w:hint="eastAsia"/>
        </w:rPr>
        <w:t>统一要素资源市场</w:t>
      </w:r>
      <w:r>
        <w:rPr>
          <w:rFonts w:hint="eastAsia"/>
          <w:lang w:eastAsia="zh-CN"/>
        </w:rPr>
        <w:t>，“</w:t>
      </w:r>
      <w:r>
        <w:rPr>
          <w:rFonts w:hint="eastAsia"/>
        </w:rPr>
        <w:t>一开放</w:t>
      </w:r>
      <w:r>
        <w:rPr>
          <w:rFonts w:hint="eastAsia"/>
          <w:lang w:eastAsia="zh-CN"/>
        </w:rPr>
        <w:t>”</w:t>
      </w:r>
      <w:r>
        <w:rPr>
          <w:rFonts w:hint="eastAsia"/>
          <w:lang w:val="en-US" w:eastAsia="zh-CN"/>
        </w:rPr>
        <w:t>为</w:t>
      </w:r>
      <w:r>
        <w:rPr>
          <w:rFonts w:hint="eastAsia"/>
        </w:rPr>
        <w:t>持续扩大对内对外开放</w:t>
      </w:r>
      <w:r>
        <w:rPr>
          <w:rFonts w:hint="eastAsia"/>
          <w:lang w:eastAsia="zh-CN"/>
        </w:rPr>
        <w:t>。</w:t>
      </w:r>
    </w:p>
  </w:footnote>
  <w:footnote w:id="14">
    <w:p>
      <w:pPr>
        <w:pStyle w:val="15"/>
        <w:snapToGrid w:val="0"/>
        <w:spacing w:line="400" w:lineRule="exact"/>
        <w:rPr>
          <w:rFonts w:hint="eastAsia" w:eastAsia="方正仿宋_GBK"/>
          <w:lang w:eastAsia="zh-CN"/>
        </w:rPr>
      </w:pPr>
      <w:r>
        <w:rPr>
          <w:rStyle w:val="24"/>
        </w:rPr>
        <w:footnoteRef/>
      </w:r>
      <w:r>
        <w:t xml:space="preserve"> </w:t>
      </w:r>
      <w:r>
        <w:rPr>
          <w:rFonts w:hint="eastAsia"/>
        </w:rPr>
        <w:t>“三个集中”</w:t>
      </w:r>
      <w:r>
        <w:rPr>
          <w:rFonts w:hint="eastAsia"/>
          <w:lang w:eastAsia="zh-CN"/>
        </w:rPr>
        <w:t>：</w:t>
      </w:r>
      <w:r>
        <w:rPr>
          <w:rFonts w:hint="eastAsia"/>
        </w:rPr>
        <w:t>推动国有资本向关系国家安全、国民经济命脉的重要行业和关键领域集中，向关系国计民生的公共服务、应急能力、公益性领域等集中，向前瞻性战略性新兴产业集中</w:t>
      </w:r>
      <w:r>
        <w:rPr>
          <w:rFonts w:hint="eastAsia"/>
          <w:lang w:eastAsia="zh-CN"/>
        </w:rPr>
        <w:t>。</w:t>
      </w:r>
    </w:p>
  </w:footnote>
  <w:footnote w:id="15">
    <w:p>
      <w:pPr>
        <w:pStyle w:val="15"/>
        <w:snapToGrid w:val="0"/>
        <w:spacing w:line="400" w:lineRule="exact"/>
        <w:rPr>
          <w:rFonts w:hint="default"/>
          <w:lang w:val="en-US"/>
        </w:rPr>
      </w:pPr>
      <w:r>
        <w:rPr>
          <w:rStyle w:val="24"/>
        </w:rPr>
        <w:footnoteRef/>
      </w:r>
      <w:r>
        <w:t xml:space="preserve"> </w:t>
      </w:r>
      <w:r>
        <w:rPr>
          <w:rFonts w:hint="eastAsia"/>
          <w:color w:val="000000" w:themeColor="text1"/>
          <w:highlight w:val="none"/>
          <w:lang w:val="en-US" w:eastAsia="zh-CN"/>
          <w14:textFill>
            <w14:solidFill>
              <w14:schemeClr w14:val="tx1"/>
            </w14:solidFill>
          </w14:textFill>
        </w:rPr>
        <w:t>“四上企业”：是指上规模、上限额、上资质、上统计企业。</w:t>
      </w:r>
    </w:p>
  </w:footnote>
  <w:footnote w:id="16">
    <w:p>
      <w:pPr>
        <w:pStyle w:val="15"/>
        <w:snapToGrid w:val="0"/>
        <w:spacing w:line="400" w:lineRule="exact"/>
        <w:rPr>
          <w:rFonts w:hint="eastAsia" w:eastAsia="方正仿宋_GBK"/>
          <w:lang w:eastAsia="zh-CN"/>
        </w:rPr>
      </w:pPr>
      <w:r>
        <w:rPr>
          <w:rStyle w:val="24"/>
        </w:rPr>
        <w:footnoteRef/>
      </w:r>
      <w:r>
        <w:t xml:space="preserve"> </w:t>
      </w:r>
      <w:r>
        <w:rPr>
          <w:rFonts w:hint="eastAsia"/>
          <w:color w:val="000000" w:themeColor="text1"/>
          <w:highlight w:val="none"/>
          <w:lang w:val="en-US" w:eastAsia="zh-CN"/>
          <w14:textFill>
            <w14:solidFill>
              <w14:schemeClr w14:val="tx1"/>
            </w14:solidFill>
          </w14:textFill>
        </w:rPr>
        <w:t>“三同五化”：</w:t>
      </w:r>
      <w:r>
        <w:rPr>
          <w:rFonts w:hint="eastAsia"/>
          <w:color w:val="000000" w:themeColor="text1"/>
          <w:highlight w:val="none"/>
          <w14:textFill>
            <w14:solidFill>
              <w14:schemeClr w14:val="tx1"/>
            </w14:solidFill>
          </w14:textFill>
        </w:rPr>
        <w:t>城乡供水同标准、同质量、同服务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规模化发展、标准化建设、一体化管理、专业化运作、智慧化服务</w:t>
      </w:r>
      <w:r>
        <w:rPr>
          <w:rFonts w:hint="eastAsia"/>
          <w:color w:val="000000" w:themeColor="text1"/>
          <w:highlight w:val="none"/>
          <w:lang w:eastAsia="zh-CN"/>
          <w14:textFill>
            <w14:solidFill>
              <w14:schemeClr w14:val="tx1"/>
            </w14:solidFill>
          </w14:textFill>
        </w:rPr>
        <w:t>。</w:t>
      </w:r>
    </w:p>
  </w:footnote>
  <w:footnote w:id="17">
    <w:p>
      <w:pPr>
        <w:pStyle w:val="15"/>
        <w:snapToGrid w:val="0"/>
        <w:rPr>
          <w:rFonts w:hint="eastAsia" w:eastAsia="方正仿宋_GBK"/>
          <w:lang w:eastAsia="zh-CN"/>
        </w:rPr>
      </w:pPr>
      <w:r>
        <w:rPr>
          <w:rStyle w:val="24"/>
        </w:rPr>
        <w:footnoteRef/>
      </w:r>
      <w:r>
        <w:t xml:space="preserve"> </w:t>
      </w:r>
      <w:r>
        <w:rPr>
          <w:rFonts w:hint="eastAsia"/>
        </w:rPr>
        <w:t>乡镇“三所学校”</w:t>
      </w:r>
      <w:r>
        <w:rPr>
          <w:rFonts w:hint="eastAsia"/>
          <w:lang w:eastAsia="zh-CN"/>
        </w:rPr>
        <w:t>：</w:t>
      </w:r>
      <w:r>
        <w:rPr>
          <w:rFonts w:hint="eastAsia"/>
        </w:rPr>
        <w:t>乡镇中心幼儿园、乡镇中心小学、公办寄宿制初中</w:t>
      </w:r>
      <w:r>
        <w:rPr>
          <w:rFonts w:hint="eastAsia"/>
          <w:lang w:eastAsia="zh-CN"/>
        </w:rPr>
        <w:t>。</w:t>
      </w:r>
    </w:p>
  </w:footnote>
  <w:footnote w:id="18">
    <w:p>
      <w:pPr>
        <w:pStyle w:val="15"/>
        <w:snapToGrid w:val="0"/>
        <w:ind w:firstLine="0" w:firstLineChars="0"/>
        <w:rPr>
          <w:rFonts w:hint="eastAsia" w:eastAsia="方正仿宋_GBK"/>
          <w:lang w:eastAsia="zh-CN"/>
        </w:rPr>
      </w:pPr>
      <w:r>
        <w:rPr>
          <w:rStyle w:val="24"/>
        </w:rPr>
        <w:footnoteRef/>
      </w:r>
      <w:r>
        <w:t xml:space="preserve"> </w:t>
      </w:r>
      <w:r>
        <w:rPr>
          <w:rFonts w:hint="eastAsia"/>
        </w:rPr>
        <w:t>“双高”建设</w:t>
      </w:r>
      <w:r>
        <w:rPr>
          <w:rFonts w:hint="eastAsia"/>
          <w:lang w:eastAsia="zh-CN"/>
        </w:rPr>
        <w:t>：</w:t>
      </w:r>
      <w:r>
        <w:rPr>
          <w:rFonts w:hint="eastAsia"/>
          <w:lang w:val="en-US" w:eastAsia="zh-CN"/>
        </w:rPr>
        <w:t>是指</w:t>
      </w:r>
      <w:r>
        <w:rPr>
          <w:rFonts w:hint="eastAsia"/>
          <w:lang w:eastAsia="zh-CN"/>
        </w:rPr>
        <w:t>高水平高职学校、高水平专业群</w:t>
      </w:r>
      <w:r>
        <w:rPr>
          <w:rFonts w:hint="eastAsia"/>
          <w:lang w:val="en-US" w:eastAsia="zh-CN"/>
        </w:rPr>
        <w:t>建设</w:t>
      </w:r>
      <w:r>
        <w:rPr>
          <w:rFonts w:hint="eastAsia"/>
          <w:lang w:eastAsia="zh-CN"/>
        </w:rPr>
        <w:t>。</w:t>
      </w:r>
    </w:p>
  </w:footnote>
  <w:footnote w:id="19">
    <w:p>
      <w:pPr>
        <w:pStyle w:val="15"/>
        <w:snapToGrid w:val="0"/>
        <w:spacing w:line="400" w:lineRule="atLeast"/>
        <w:rPr>
          <w:rFonts w:hint="default" w:eastAsia="仿宋_GB2312"/>
          <w:lang w:val="en-US" w:eastAsia="zh-CN"/>
        </w:rPr>
      </w:pPr>
      <w:r>
        <w:rPr>
          <w:rStyle w:val="24"/>
        </w:rPr>
        <w:footnoteRef/>
      </w:r>
      <w:r>
        <w:t xml:space="preserve"> </w:t>
      </w:r>
      <w:r>
        <w:rPr>
          <w:rFonts w:hint="eastAsia"/>
        </w:rPr>
        <w:t>四维四阶</w:t>
      </w:r>
      <w:r>
        <w:rPr>
          <w:rFonts w:hint="eastAsia"/>
          <w:lang w:eastAsia="zh-CN"/>
        </w:rPr>
        <w:t>”</w:t>
      </w:r>
      <w:r>
        <w:rPr>
          <w:rFonts w:hint="eastAsia"/>
        </w:rPr>
        <w:t>培训体系</w:t>
      </w:r>
      <w:r>
        <w:rPr>
          <w:rFonts w:hint="eastAsia"/>
          <w:lang w:eastAsia="zh-CN"/>
        </w:rPr>
        <w:t>：</w:t>
      </w:r>
      <w:r>
        <w:rPr>
          <w:rFonts w:hint="eastAsia"/>
        </w:rPr>
        <w:t>从中小学教育管理干部培训、专任教师培训、班主任培训、教研员培训四个维度，按新手、新秀、骨干、名家四个阶段开展培训的</w:t>
      </w:r>
      <w:r>
        <w:rPr>
          <w:rFonts w:hint="eastAsia"/>
          <w:lang w:val="en-US" w:eastAsia="zh-CN"/>
        </w:rPr>
        <w:t>培训体系。</w:t>
      </w:r>
    </w:p>
  </w:footnote>
  <w:footnote w:id="20">
    <w:p>
      <w:pPr>
        <w:pStyle w:val="15"/>
        <w:snapToGrid w:val="0"/>
        <w:spacing w:line="400" w:lineRule="atLeast"/>
      </w:pPr>
      <w:r>
        <w:rPr>
          <w:rStyle w:val="24"/>
        </w:rPr>
        <w:footnoteRef/>
      </w:r>
      <w:r>
        <w:t xml:space="preserve"> </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四有</w:t>
      </w:r>
      <w:r>
        <w:rPr>
          <w:rFonts w:hint="eastAsia"/>
          <w:color w:val="000000" w:themeColor="text1"/>
          <w:highlight w:val="none"/>
          <w:lang w:val="en-US" w:eastAsia="zh-CN"/>
          <w14:textFill>
            <w14:solidFill>
              <w14:schemeClr w14:val="tx1"/>
            </w14:solidFill>
          </w14:textFill>
        </w:rPr>
        <w:t>”：有理想信念、有道德情操、有扎实学识、有仁爱之心。</w:t>
      </w:r>
    </w:p>
  </w:footnote>
  <w:footnote w:id="21">
    <w:p>
      <w:pPr>
        <w:pStyle w:val="15"/>
        <w:snapToGrid w:val="0"/>
        <w:spacing w:line="400" w:lineRule="atLeast"/>
      </w:pPr>
      <w:r>
        <w:rPr>
          <w:rStyle w:val="24"/>
        </w:rPr>
        <w:footnoteRef/>
      </w:r>
      <w:r>
        <w:t xml:space="preserve"> </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六统一</w:t>
      </w:r>
      <w:r>
        <w:rPr>
          <w:rFonts w:hint="eastAsia"/>
          <w:color w:val="000000" w:themeColor="text1"/>
          <w:highlight w:val="none"/>
          <w:lang w:val="en-US" w:eastAsia="zh-CN"/>
          <w14:textFill>
            <w14:solidFill>
              <w14:schemeClr w14:val="tx1"/>
            </w14:solidFill>
          </w14:textFill>
        </w:rPr>
        <w:t>”：统一组织管理、统一人事管理、统一财务管理、统一业务管理、统一药品耗材管理、统一信息管理。</w:t>
      </w:r>
    </w:p>
  </w:footnote>
  <w:footnote w:id="22">
    <w:p>
      <w:pPr>
        <w:pStyle w:val="15"/>
        <w:snapToGrid w:val="0"/>
        <w:spacing w:line="400" w:lineRule="atLeast"/>
        <w:ind w:firstLine="360" w:firstLineChars="200"/>
        <w:rPr>
          <w:rFonts w:hint="default" w:eastAsia="方正仿宋_GBK"/>
          <w:lang w:val="en-US" w:eastAsia="zh-CN"/>
        </w:rPr>
      </w:pPr>
      <w:r>
        <w:rPr>
          <w:rStyle w:val="24"/>
        </w:rPr>
        <w:footnoteRef/>
      </w:r>
      <w:r>
        <w:t xml:space="preserve"> </w:t>
      </w:r>
      <w:r>
        <w:rPr>
          <w:rFonts w:hint="eastAsia"/>
          <w:color w:val="000000" w:themeColor="text1"/>
          <w:highlight w:val="none"/>
          <w:lang w:val="en-US" w:eastAsia="zh-CN"/>
          <w14:textFill>
            <w14:solidFill>
              <w14:schemeClr w14:val="tx1"/>
            </w14:solidFill>
          </w14:textFill>
        </w:rPr>
        <w:t>“两专科一中心”：“两专科”指</w:t>
      </w:r>
      <w:r>
        <w:rPr>
          <w:rFonts w:hint="eastAsia"/>
          <w:color w:val="000000" w:themeColor="text1"/>
          <w:highlight w:val="none"/>
          <w14:textFill>
            <w14:solidFill>
              <w14:schemeClr w14:val="tx1"/>
            </w14:solidFill>
          </w14:textFill>
        </w:rPr>
        <w:t>中医痛症特色专科</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中医性早熟特色专科</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一中心</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为中医适宜技术推广中心。</w:t>
      </w:r>
    </w:p>
  </w:footnote>
  <w:footnote w:id="23">
    <w:p>
      <w:pPr>
        <w:pStyle w:val="15"/>
        <w:snapToGrid w:val="0"/>
        <w:spacing w:line="400" w:lineRule="exact"/>
        <w:rPr>
          <w:rFonts w:hint="eastAsia" w:eastAsia="方正仿宋_GBK"/>
          <w:lang w:eastAsia="zh-CN"/>
        </w:rPr>
      </w:pPr>
      <w:r>
        <w:rPr>
          <w:rStyle w:val="24"/>
        </w:rPr>
        <w:footnoteRef/>
      </w:r>
      <w:r>
        <w:t xml:space="preserve"> </w:t>
      </w:r>
      <w:r>
        <w:rPr>
          <w:rFonts w:hint="eastAsia"/>
        </w:rPr>
        <w:t>“1+8+N”的养老服务站点</w:t>
      </w:r>
      <w:r>
        <w:rPr>
          <w:rFonts w:hint="eastAsia"/>
          <w:lang w:eastAsia="zh-CN"/>
        </w:rPr>
        <w:t>：1个区级综合养老服务中心、8个镇级综合养老服务中心、N个村（社区）级居家养老服务站</w:t>
      </w:r>
      <w:r>
        <w:rPr>
          <w:rFonts w:hint="eastAsia"/>
          <w:lang w:val="en-US" w:eastAsia="zh-CN"/>
        </w:rPr>
        <w:t>或</w:t>
      </w:r>
      <w:r>
        <w:rPr>
          <w:rFonts w:hint="eastAsia"/>
          <w:lang w:eastAsia="zh-CN"/>
        </w:rPr>
        <w:t>小区养老服务点。</w:t>
      </w:r>
    </w:p>
  </w:footnote>
  <w:footnote w:id="24">
    <w:p>
      <w:pPr>
        <w:pStyle w:val="15"/>
        <w:snapToGrid w:val="0"/>
        <w:spacing w:line="400" w:lineRule="exact"/>
        <w:ind w:firstLine="0" w:firstLineChars="0"/>
      </w:pPr>
      <w:r>
        <w:rPr>
          <w:rStyle w:val="24"/>
        </w:rPr>
        <w:footnoteRef/>
      </w:r>
      <w:r>
        <w:t xml:space="preserve"> </w:t>
      </w:r>
      <w:r>
        <w:rPr>
          <w:rFonts w:hint="eastAsia"/>
        </w:rPr>
        <w:t>绿美清新生态建设</w:t>
      </w:r>
      <w:r>
        <w:rPr>
          <w:rFonts w:hint="eastAsia"/>
          <w:lang w:eastAsia="zh-CN"/>
        </w:rPr>
        <w:t>“</w:t>
      </w:r>
      <w:r>
        <w:rPr>
          <w:rFonts w:hint="eastAsia"/>
        </w:rPr>
        <w:t>七大行动</w:t>
      </w:r>
      <w:r>
        <w:rPr>
          <w:rFonts w:hint="eastAsia"/>
          <w:lang w:eastAsia="zh-CN"/>
        </w:rPr>
        <w:t>”：</w:t>
      </w:r>
      <w:r>
        <w:rPr>
          <w:rFonts w:hint="eastAsia"/>
        </w:rPr>
        <w:t>实施森林质量精准提升行动</w:t>
      </w:r>
      <w:r>
        <w:rPr>
          <w:rFonts w:hint="eastAsia"/>
          <w:lang w:eastAsia="zh-CN"/>
        </w:rPr>
        <w:t>、</w:t>
      </w:r>
      <w:r>
        <w:rPr>
          <w:rFonts w:hint="eastAsia"/>
        </w:rPr>
        <w:t>实施城乡一体绿美提升行动</w:t>
      </w:r>
      <w:r>
        <w:rPr>
          <w:rFonts w:hint="eastAsia"/>
          <w:lang w:eastAsia="zh-CN"/>
        </w:rPr>
        <w:t>、</w:t>
      </w:r>
      <w:r>
        <w:rPr>
          <w:rFonts w:hint="eastAsia"/>
        </w:rPr>
        <w:t>实施绿美保护地提升行动</w:t>
      </w:r>
      <w:r>
        <w:rPr>
          <w:rFonts w:hint="eastAsia"/>
          <w:lang w:eastAsia="zh-CN"/>
        </w:rPr>
        <w:t>、</w:t>
      </w:r>
      <w:r>
        <w:rPr>
          <w:rFonts w:hint="eastAsia"/>
        </w:rPr>
        <w:t>实施绿色通道品质提升行动</w:t>
      </w:r>
      <w:r>
        <w:rPr>
          <w:rFonts w:hint="eastAsia"/>
          <w:lang w:eastAsia="zh-CN"/>
        </w:rPr>
        <w:t>、</w:t>
      </w:r>
      <w:r>
        <w:rPr>
          <w:rFonts w:hint="eastAsia"/>
        </w:rPr>
        <w:t>实施全民爱绿植绿护绿行动</w:t>
      </w:r>
      <w:r>
        <w:rPr>
          <w:rFonts w:hint="eastAsia"/>
          <w:lang w:eastAsia="zh-CN"/>
        </w:rPr>
        <w:t>、</w:t>
      </w:r>
      <w:r>
        <w:rPr>
          <w:rFonts w:hint="eastAsia"/>
        </w:rPr>
        <w:t>实施古树名木保护提升行动</w:t>
      </w:r>
      <w:r>
        <w:rPr>
          <w:rFonts w:hint="eastAsia"/>
          <w:lang w:eastAsia="zh-CN"/>
        </w:rPr>
        <w:t>、</w:t>
      </w:r>
      <w:r>
        <w:rPr>
          <w:rFonts w:hint="eastAsia"/>
        </w:rPr>
        <w:t>实施国家储备林项目建设行动。</w:t>
      </w:r>
    </w:p>
  </w:footnote>
  <w:footnote w:id="25">
    <w:p>
      <w:pPr>
        <w:pStyle w:val="15"/>
        <w:snapToGrid w:val="0"/>
        <w:rPr>
          <w:rFonts w:hint="eastAsia" w:eastAsia="方正仿宋_GBK"/>
          <w:lang w:eastAsia="zh-CN"/>
        </w:rPr>
      </w:pPr>
      <w:r>
        <w:rPr>
          <w:rStyle w:val="24"/>
        </w:rPr>
        <w:footnoteRef/>
      </w:r>
      <w:r>
        <w:t xml:space="preserve"> </w:t>
      </w:r>
      <w:r>
        <w:rPr>
          <w:rFonts w:hint="eastAsia"/>
        </w:rPr>
        <w:t>“两网融合”</w:t>
      </w:r>
      <w:r>
        <w:rPr>
          <w:rFonts w:hint="eastAsia"/>
          <w:lang w:eastAsia="zh-CN"/>
        </w:rPr>
        <w:t>：</w:t>
      </w:r>
      <w:r>
        <w:rPr>
          <w:rFonts w:hint="eastAsia"/>
        </w:rPr>
        <w:t>“两网</w:t>
      </w:r>
      <w:r>
        <w:rPr>
          <w:rFonts w:hint="eastAsia"/>
          <w:lang w:eastAsia="zh-CN"/>
        </w:rPr>
        <w:t>”</w:t>
      </w:r>
      <w:r>
        <w:rPr>
          <w:rFonts w:hint="eastAsia"/>
          <w:lang w:val="en-US" w:eastAsia="zh-CN"/>
        </w:rPr>
        <w:t>是指</w:t>
      </w:r>
      <w:r>
        <w:rPr>
          <w:rFonts w:hint="eastAsia"/>
          <w:lang w:eastAsia="zh-CN"/>
        </w:rPr>
        <w:t>生活垃圾分类收运网络与再生资源回收网络。</w:t>
      </w:r>
    </w:p>
  </w:footnote>
  <w:footnote w:id="26">
    <w:p>
      <w:pPr>
        <w:pStyle w:val="15"/>
        <w:snapToGrid w:val="0"/>
        <w:spacing w:line="400" w:lineRule="exact"/>
        <w:rPr>
          <w:rFonts w:hint="default"/>
          <w:lang w:val="en-US"/>
        </w:rPr>
      </w:pPr>
      <w:r>
        <w:rPr>
          <w:rStyle w:val="24"/>
        </w:rPr>
        <w:footnoteRef/>
      </w:r>
      <w:r>
        <w:t xml:space="preserve">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三区三</w:t>
      </w:r>
      <w:r>
        <w:rPr>
          <w:rFonts w:hint="eastAsia"/>
          <w:color w:val="000000" w:themeColor="text1"/>
          <w:highlight w:val="none"/>
          <w:lang w:val="en-US" w:eastAsia="zh-CN"/>
          <w14:textFill>
            <w14:solidFill>
              <w14:schemeClr w14:val="tx1"/>
            </w14:solidFill>
          </w14:textFill>
        </w:rPr>
        <w:t>线”：“三区”为生态空间、农业空间、城镇空间三类功能空间，“三线”为生态保护红线、永久基本农田保护红线、城镇开发边界三条刚性控制线。</w:t>
      </w:r>
    </w:p>
  </w:footnote>
  <w:footnote w:id="27">
    <w:p>
      <w:pPr>
        <w:pStyle w:val="15"/>
        <w:snapToGrid w:val="0"/>
      </w:pPr>
      <w:r>
        <w:rPr>
          <w:rStyle w:val="24"/>
        </w:rPr>
        <w:footnoteRef/>
      </w:r>
      <w:r>
        <w:t xml:space="preserve"> </w:t>
      </w:r>
      <w:r>
        <w:rPr>
          <w:rFonts w:hint="eastAsia"/>
          <w:color w:val="000000" w:themeColor="text1"/>
          <w:highlight w:val="none"/>
          <w:lang w:val="en-US" w:eastAsia="zh-CN"/>
          <w14:textFill>
            <w14:solidFill>
              <w14:schemeClr w14:val="tx1"/>
            </w14:solidFill>
          </w14:textFill>
        </w:rPr>
        <w:t>“三权”：指所有权、承包权、经营权。</w:t>
      </w:r>
    </w:p>
  </w:footnote>
  <w:footnote w:id="28">
    <w:p>
      <w:pPr>
        <w:pStyle w:val="15"/>
        <w:snapToGrid w:val="0"/>
        <w:rPr>
          <w:rFonts w:hint="eastAsia" w:eastAsia="方正仿宋_GBK"/>
          <w:lang w:eastAsia="zh-CN"/>
        </w:rPr>
      </w:pPr>
      <w:r>
        <w:rPr>
          <w:rStyle w:val="24"/>
        </w:rPr>
        <w:footnoteRef/>
      </w:r>
      <w:r>
        <w:t xml:space="preserve"> </w:t>
      </w:r>
      <w:r>
        <w:rPr>
          <w:rFonts w:hint="eastAsia"/>
        </w:rPr>
        <w:t>“两社三中心”</w:t>
      </w:r>
      <w:r>
        <w:rPr>
          <w:rFonts w:hint="eastAsia"/>
          <w:lang w:eastAsia="zh-CN"/>
        </w:rPr>
        <w:t>：</w:t>
      </w:r>
      <w:r>
        <w:rPr>
          <w:rFonts w:hint="eastAsia"/>
        </w:rPr>
        <w:t>指聚焦提升社气、社品，建设社区服务中心、邻里中心、活动中心，打造现代活力社区</w:t>
      </w:r>
      <w:r>
        <w:rPr>
          <w:rFonts w:hint="eastAsia"/>
          <w:lang w:eastAsia="zh-CN"/>
        </w:rPr>
        <w:t>。</w:t>
      </w:r>
    </w:p>
  </w:footnote>
  <w:footnote w:id="29">
    <w:p>
      <w:pPr>
        <w:pStyle w:val="15"/>
        <w:snapToGrid w:val="0"/>
        <w:spacing w:line="400" w:lineRule="exact"/>
      </w:pPr>
      <w:r>
        <w:rPr>
          <w:rStyle w:val="24"/>
        </w:rPr>
        <w:footnoteRef/>
      </w:r>
      <w:r>
        <w:t xml:space="preserve"> </w:t>
      </w:r>
      <w:r>
        <w:rPr>
          <w:rFonts w:hint="eastAsia"/>
          <w:color w:val="000000" w:themeColor="text1"/>
          <w:highlight w:val="none"/>
          <w:lang w:val="en-US" w:eastAsia="zh-CN"/>
          <w14:textFill>
            <w14:solidFill>
              <w14:schemeClr w14:val="tx1"/>
            </w14:solidFill>
          </w14:textFill>
        </w:rPr>
        <w:t>“四个最严”：是食品药品安全监管的核心要求，具体指最严谨的标准、最严格的监管、最严厉的处罚、最严肃的问责。</w:t>
      </w:r>
    </w:p>
  </w:footnote>
  <w:footnote w:id="30">
    <w:p>
      <w:pPr>
        <w:pStyle w:val="15"/>
        <w:snapToGrid w:val="0"/>
        <w:spacing w:line="400" w:lineRule="exact"/>
        <w:ind w:firstLine="360" w:firstLineChars="200"/>
        <w:rPr>
          <w:rFonts w:hint="eastAsia" w:eastAsia="方正仿宋_GBK"/>
          <w:lang w:eastAsia="zh-CN"/>
        </w:rPr>
      </w:pPr>
      <w:r>
        <w:rPr>
          <w:rStyle w:val="24"/>
        </w:rPr>
        <w:footnoteRef/>
      </w:r>
      <w:r>
        <w:t xml:space="preserve"> </w:t>
      </w:r>
      <w:r>
        <w:rPr>
          <w:rFonts w:hint="eastAsia"/>
          <w:color w:val="000000" w:themeColor="text1"/>
          <w:highlight w:val="none"/>
          <w:lang w:val="en-US" w:eastAsia="zh-CN"/>
          <w14:textFill>
            <w14:solidFill>
              <w14:schemeClr w14:val="tx1"/>
            </w14:solidFill>
          </w14:textFill>
        </w:rPr>
        <w:t>“四个意识”：</w:t>
      </w:r>
      <w:r>
        <w:rPr>
          <w:rFonts w:hint="eastAsia"/>
          <w:color w:val="000000" w:themeColor="text1"/>
          <w:highlight w:val="none"/>
          <w14:textFill>
            <w14:solidFill>
              <w14:schemeClr w14:val="tx1"/>
            </w14:solidFill>
          </w14:textFill>
        </w:rPr>
        <w:t>政治意识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大局意识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核心意识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看齐意识</w:t>
      </w:r>
      <w:r>
        <w:rPr>
          <w:rFonts w:hint="eastAsia"/>
          <w:color w:val="000000" w:themeColor="text1"/>
          <w:highlight w:val="none"/>
          <w:lang w:eastAsia="zh-CN"/>
          <w14:textFill>
            <w14:solidFill>
              <w14:schemeClr w14:val="tx1"/>
            </w14:solidFill>
          </w14:textFill>
        </w:rPr>
        <w:t>。</w:t>
      </w:r>
    </w:p>
  </w:footnote>
  <w:footnote w:id="31">
    <w:p>
      <w:pPr>
        <w:pStyle w:val="15"/>
        <w:snapToGrid w:val="0"/>
        <w:spacing w:line="400" w:lineRule="exact"/>
        <w:rPr>
          <w:rFonts w:hint="eastAsia" w:eastAsia="方正仿宋_GBK"/>
          <w:lang w:eastAsia="zh-CN"/>
        </w:rPr>
      </w:pPr>
      <w:r>
        <w:rPr>
          <w:rStyle w:val="24"/>
        </w:rPr>
        <w:footnoteRef/>
      </w:r>
      <w:r>
        <w:t xml:space="preserve"> </w:t>
      </w:r>
      <w:r>
        <w:rPr>
          <w:rFonts w:hint="eastAsia"/>
          <w:color w:val="000000" w:themeColor="text1"/>
          <w:highlight w:val="none"/>
          <w:lang w:val="en-US" w:eastAsia="zh-CN"/>
          <w14:textFill>
            <w14:solidFill>
              <w14:schemeClr w14:val="tx1"/>
            </w14:solidFill>
          </w14:textFill>
        </w:rPr>
        <w:t>“四个自信”：</w:t>
      </w:r>
      <w:r>
        <w:rPr>
          <w:rFonts w:hint="eastAsia"/>
          <w:color w:val="000000" w:themeColor="text1"/>
          <w:highlight w:val="none"/>
          <w14:textFill>
            <w14:solidFill>
              <w14:schemeClr w14:val="tx1"/>
            </w14:solidFill>
          </w14:textFill>
        </w:rPr>
        <w:t>中国特色社会主义道路自信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理论自信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制度自信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文化自信</w:t>
      </w:r>
      <w:r>
        <w:rPr>
          <w:rFonts w:hint="eastAsia"/>
          <w:color w:val="000000" w:themeColor="text1"/>
          <w:highlight w:val="none"/>
          <w:lang w:eastAsia="zh-CN"/>
          <w14:textFill>
            <w14:solidFill>
              <w14:schemeClr w14:val="tx1"/>
            </w14:solidFill>
          </w14:textFill>
        </w:rPr>
        <w:t>。</w:t>
      </w:r>
    </w:p>
  </w:footnote>
  <w:footnote w:id="32">
    <w:p>
      <w:pPr>
        <w:pStyle w:val="15"/>
        <w:snapToGrid w:val="0"/>
        <w:spacing w:line="400" w:lineRule="exact"/>
        <w:rPr>
          <w:rFonts w:hint="eastAsia" w:eastAsia="方正仿宋_GBK"/>
          <w:lang w:eastAsia="zh-CN"/>
        </w:rPr>
      </w:pPr>
      <w:r>
        <w:rPr>
          <w:rStyle w:val="24"/>
        </w:rPr>
        <w:footnoteRef/>
      </w:r>
      <w:r>
        <w:t xml:space="preserve"> </w:t>
      </w:r>
      <w:r>
        <w:rPr>
          <w:rFonts w:hint="eastAsia"/>
          <w:color w:val="000000" w:themeColor="text1"/>
          <w:highlight w:val="none"/>
          <w:lang w:val="en-US" w:eastAsia="zh-CN"/>
          <w14:textFill>
            <w14:solidFill>
              <w14:schemeClr w14:val="tx1"/>
            </w14:solidFill>
          </w14:textFill>
        </w:rPr>
        <w:t>“两个维护”：</w:t>
      </w:r>
      <w:r>
        <w:rPr>
          <w:rFonts w:hint="eastAsia"/>
          <w:color w:val="000000" w:themeColor="text1"/>
          <w:highlight w:val="none"/>
          <w14:textFill>
            <w14:solidFill>
              <w14:schemeClr w14:val="tx1"/>
            </w14:solidFill>
          </w14:textFill>
        </w:rPr>
        <w:t>坚决维护习近平总书记党中央的核心、全党的核心地位</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坚决维护党中央权威和集中统一领导</w:t>
      </w:r>
      <w:r>
        <w:rPr>
          <w:rFonts w:hint="eastAsia"/>
          <w:color w:val="000000" w:themeColor="text1"/>
          <w:highlight w:val="none"/>
          <w:lang w:eastAsia="zh-CN"/>
          <w14:textFill>
            <w14:solidFill>
              <w14:schemeClr w14:val="tx1"/>
            </w14:solidFill>
          </w14:textFill>
        </w:rPr>
        <w:t>。</w:t>
      </w:r>
    </w:p>
  </w:footnote>
  <w:footnote w:id="33">
    <w:p>
      <w:pPr>
        <w:pStyle w:val="15"/>
        <w:snapToGrid w:val="0"/>
        <w:spacing w:line="400" w:lineRule="exact"/>
        <w:rPr>
          <w:rFonts w:hint="eastAsia" w:eastAsia="方正仿宋_GBK"/>
          <w:lang w:eastAsia="zh-CN"/>
        </w:rPr>
      </w:pPr>
      <w:r>
        <w:rPr>
          <w:rStyle w:val="24"/>
        </w:rPr>
        <w:footnoteRef/>
      </w:r>
      <w:r>
        <w:t xml:space="preserve"> </w:t>
      </w:r>
      <w:r>
        <w:rPr>
          <w:rFonts w:hint="eastAsia"/>
          <w:lang w:eastAsia="zh-CN"/>
        </w:rPr>
        <w:t>“</w:t>
      </w:r>
      <w:r>
        <w:rPr>
          <w:rFonts w:hint="eastAsia"/>
          <w:lang w:val="en-US" w:eastAsia="zh-CN"/>
        </w:rPr>
        <w:t>四风</w:t>
      </w:r>
      <w:r>
        <w:rPr>
          <w:rFonts w:hint="eastAsia"/>
          <w:lang w:eastAsia="zh-CN"/>
        </w:rPr>
        <w:t>”：指形式主义、官僚主义、享乐主义、奢靡之风。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78BBF1"/>
    <w:multiLevelType w:val="singleLevel"/>
    <w:tmpl w:val="9678BBF1"/>
    <w:lvl w:ilvl="0" w:tentative="0">
      <w:start w:val="2"/>
      <w:numFmt w:val="chineseCounting"/>
      <w:suff w:val="space"/>
      <w:lvlText w:val="第%1节"/>
      <w:lvlJc w:val="left"/>
      <w:rPr>
        <w:rFonts w:hint="eastAsia"/>
      </w:rPr>
    </w:lvl>
  </w:abstractNum>
  <w:abstractNum w:abstractNumId="1">
    <w:nsid w:val="C3CDB2D5"/>
    <w:multiLevelType w:val="singleLevel"/>
    <w:tmpl w:val="C3CDB2D5"/>
    <w:lvl w:ilvl="0" w:tentative="0">
      <w:start w:val="1"/>
      <w:numFmt w:val="chineseCounting"/>
      <w:suff w:val="space"/>
      <w:lvlText w:val="第%1章"/>
      <w:lvlJc w:val="left"/>
      <w:rPr>
        <w:rFonts w:hint="eastAsia"/>
      </w:rPr>
    </w:lvl>
  </w:abstractNum>
  <w:abstractNum w:abstractNumId="2">
    <w:nsid w:val="D58D5F00"/>
    <w:multiLevelType w:val="singleLevel"/>
    <w:tmpl w:val="D58D5F00"/>
    <w:lvl w:ilvl="0" w:tentative="0">
      <w:start w:val="2"/>
      <w:numFmt w:val="chineseCounting"/>
      <w:suff w:val="space"/>
      <w:lvlText w:val="第%1节"/>
      <w:lvlJc w:val="left"/>
      <w:rPr>
        <w:rFonts w:hint="eastAsia"/>
      </w:rPr>
    </w:lvl>
  </w:abstractNum>
  <w:abstractNum w:abstractNumId="3">
    <w:nsid w:val="02B4EB2E"/>
    <w:multiLevelType w:val="singleLevel"/>
    <w:tmpl w:val="02B4EB2E"/>
    <w:lvl w:ilvl="0" w:tentative="0">
      <w:start w:val="5"/>
      <w:numFmt w:val="chineseCounting"/>
      <w:suff w:val="space"/>
      <w:lvlText w:val="第%1章"/>
      <w:lvlJc w:val="left"/>
      <w:rPr>
        <w:rFonts w:hint="eastAsia"/>
      </w:rPr>
    </w:lvl>
  </w:abstractNum>
  <w:abstractNum w:abstractNumId="4">
    <w:nsid w:val="0AB8AB6D"/>
    <w:multiLevelType w:val="singleLevel"/>
    <w:tmpl w:val="0AB8AB6D"/>
    <w:lvl w:ilvl="0" w:tentative="0">
      <w:start w:val="1"/>
      <w:numFmt w:val="chineseCounting"/>
      <w:suff w:val="space"/>
      <w:lvlText w:val="第%1节"/>
      <w:lvlJc w:val="left"/>
      <w:rPr>
        <w:rFonts w:hint="eastAsia"/>
      </w:rPr>
    </w:lvl>
  </w:abstractNum>
  <w:abstractNum w:abstractNumId="5">
    <w:nsid w:val="46730F13"/>
    <w:multiLevelType w:val="singleLevel"/>
    <w:tmpl w:val="46730F13"/>
    <w:lvl w:ilvl="0" w:tentative="0">
      <w:start w:val="2"/>
      <w:numFmt w:val="chineseCounting"/>
      <w:suff w:val="space"/>
      <w:lvlText w:val="第%1节"/>
      <w:lvlJc w:val="left"/>
      <w:rPr>
        <w:rFonts w:hint="eastAsia"/>
      </w:rPr>
    </w:lvl>
  </w:abstractNum>
  <w:abstractNum w:abstractNumId="6">
    <w:nsid w:val="4A2D46FB"/>
    <w:multiLevelType w:val="singleLevel"/>
    <w:tmpl w:val="4A2D46FB"/>
    <w:lvl w:ilvl="0" w:tentative="0">
      <w:start w:val="3"/>
      <w:numFmt w:val="chineseCounting"/>
      <w:suff w:val="space"/>
      <w:lvlText w:val="第%1节"/>
      <w:lvlJc w:val="left"/>
      <w:rPr>
        <w:rFonts w:hint="eastAsia"/>
      </w:rPr>
    </w:lvl>
  </w:abstractNum>
  <w:num w:numId="1">
    <w:abstractNumId w:val="1"/>
  </w:num>
  <w:num w:numId="2">
    <w:abstractNumId w:val="0"/>
  </w:num>
  <w:num w:numId="3">
    <w:abstractNumId w:val="3"/>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58"/>
  <w:drawingGridVerticalSpacing w:val="220"/>
  <w:displayHorizontalDrawingGridEvery w:val="2"/>
  <w:displayVerticalDrawingGridEvery w:val="2"/>
  <w:noPunctuationKerning w:val="1"/>
  <w:characterSpacingControl w:val="compressPunctuation"/>
  <w:footnotePr>
    <w:footnote w:id="68"/>
    <w:footnote w:id="6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7C08F7"/>
    <w:rsid w:val="007D488B"/>
    <w:rsid w:val="00807CC5"/>
    <w:rsid w:val="009856DA"/>
    <w:rsid w:val="00A641FB"/>
    <w:rsid w:val="00CC1987"/>
    <w:rsid w:val="00D348AD"/>
    <w:rsid w:val="00E46AD2"/>
    <w:rsid w:val="00F51023"/>
    <w:rsid w:val="010158D6"/>
    <w:rsid w:val="010351AA"/>
    <w:rsid w:val="0129399A"/>
    <w:rsid w:val="013712F7"/>
    <w:rsid w:val="013B2B96"/>
    <w:rsid w:val="016211EB"/>
    <w:rsid w:val="016C3A45"/>
    <w:rsid w:val="01730582"/>
    <w:rsid w:val="018502B5"/>
    <w:rsid w:val="019B3634"/>
    <w:rsid w:val="01B02C2F"/>
    <w:rsid w:val="01C31D7B"/>
    <w:rsid w:val="01F64DFE"/>
    <w:rsid w:val="02225B04"/>
    <w:rsid w:val="022300D7"/>
    <w:rsid w:val="0227136C"/>
    <w:rsid w:val="023D46EC"/>
    <w:rsid w:val="025819A9"/>
    <w:rsid w:val="02711537"/>
    <w:rsid w:val="027F1486"/>
    <w:rsid w:val="02922A4D"/>
    <w:rsid w:val="02AC1AF0"/>
    <w:rsid w:val="02D63692"/>
    <w:rsid w:val="02F05C02"/>
    <w:rsid w:val="037B196F"/>
    <w:rsid w:val="037E58D8"/>
    <w:rsid w:val="03DE0CC7"/>
    <w:rsid w:val="03F139E8"/>
    <w:rsid w:val="03F91E91"/>
    <w:rsid w:val="03FD2384"/>
    <w:rsid w:val="04066FA8"/>
    <w:rsid w:val="04166B3C"/>
    <w:rsid w:val="04611CCA"/>
    <w:rsid w:val="04767612"/>
    <w:rsid w:val="04847877"/>
    <w:rsid w:val="048605CC"/>
    <w:rsid w:val="049006D3"/>
    <w:rsid w:val="049D3B67"/>
    <w:rsid w:val="04A942BA"/>
    <w:rsid w:val="04FC43EA"/>
    <w:rsid w:val="04FE303A"/>
    <w:rsid w:val="050140F6"/>
    <w:rsid w:val="0530678A"/>
    <w:rsid w:val="0539563E"/>
    <w:rsid w:val="05445D91"/>
    <w:rsid w:val="056070CC"/>
    <w:rsid w:val="05685F23"/>
    <w:rsid w:val="058D7738"/>
    <w:rsid w:val="05943D22"/>
    <w:rsid w:val="059D7083"/>
    <w:rsid w:val="05E03D0C"/>
    <w:rsid w:val="05FA06DD"/>
    <w:rsid w:val="05FB28F4"/>
    <w:rsid w:val="05FD48BE"/>
    <w:rsid w:val="061678B1"/>
    <w:rsid w:val="06441289"/>
    <w:rsid w:val="067B76F6"/>
    <w:rsid w:val="068E3949"/>
    <w:rsid w:val="07124399"/>
    <w:rsid w:val="072365A6"/>
    <w:rsid w:val="07247C28"/>
    <w:rsid w:val="072639A0"/>
    <w:rsid w:val="074134A7"/>
    <w:rsid w:val="0757130E"/>
    <w:rsid w:val="0764573B"/>
    <w:rsid w:val="07660241"/>
    <w:rsid w:val="07941EA7"/>
    <w:rsid w:val="07944DAE"/>
    <w:rsid w:val="07B13BB2"/>
    <w:rsid w:val="07C5758F"/>
    <w:rsid w:val="07E07FF3"/>
    <w:rsid w:val="08066991"/>
    <w:rsid w:val="08147C9D"/>
    <w:rsid w:val="083375A0"/>
    <w:rsid w:val="088C5D8F"/>
    <w:rsid w:val="08E25E9D"/>
    <w:rsid w:val="08F22189"/>
    <w:rsid w:val="09113C28"/>
    <w:rsid w:val="091772F6"/>
    <w:rsid w:val="091A5787"/>
    <w:rsid w:val="091F0FEF"/>
    <w:rsid w:val="092E2FE0"/>
    <w:rsid w:val="094B5940"/>
    <w:rsid w:val="097F55EA"/>
    <w:rsid w:val="098B3F8E"/>
    <w:rsid w:val="09A01FB0"/>
    <w:rsid w:val="09B278C7"/>
    <w:rsid w:val="09F01A7D"/>
    <w:rsid w:val="0A381C03"/>
    <w:rsid w:val="0A382368"/>
    <w:rsid w:val="0A4F76B2"/>
    <w:rsid w:val="0A690B2B"/>
    <w:rsid w:val="0A762E91"/>
    <w:rsid w:val="0A850E88"/>
    <w:rsid w:val="0AC6268B"/>
    <w:rsid w:val="0AC767C3"/>
    <w:rsid w:val="0AD81455"/>
    <w:rsid w:val="0AFA13CC"/>
    <w:rsid w:val="0AFA6840"/>
    <w:rsid w:val="0B007A5B"/>
    <w:rsid w:val="0B30303F"/>
    <w:rsid w:val="0B756CA4"/>
    <w:rsid w:val="0B831CF6"/>
    <w:rsid w:val="0B932CBA"/>
    <w:rsid w:val="0BCD4B2D"/>
    <w:rsid w:val="0BEB21FF"/>
    <w:rsid w:val="0BEB6F66"/>
    <w:rsid w:val="0C1856E4"/>
    <w:rsid w:val="0C1A10B3"/>
    <w:rsid w:val="0C281F69"/>
    <w:rsid w:val="0C3C3C66"/>
    <w:rsid w:val="0C492D8E"/>
    <w:rsid w:val="0CDB2626"/>
    <w:rsid w:val="0D0A07EC"/>
    <w:rsid w:val="0D0E001F"/>
    <w:rsid w:val="0D112366"/>
    <w:rsid w:val="0D2F5B49"/>
    <w:rsid w:val="0D42677B"/>
    <w:rsid w:val="0D6E42F3"/>
    <w:rsid w:val="0D9773A6"/>
    <w:rsid w:val="0D9E710E"/>
    <w:rsid w:val="0DC7755F"/>
    <w:rsid w:val="0DD05DB5"/>
    <w:rsid w:val="0DDA1988"/>
    <w:rsid w:val="0DDF2139"/>
    <w:rsid w:val="0DF0237B"/>
    <w:rsid w:val="0DF90060"/>
    <w:rsid w:val="0E1F543C"/>
    <w:rsid w:val="0E5C239D"/>
    <w:rsid w:val="0E6059EA"/>
    <w:rsid w:val="0E7C5BBA"/>
    <w:rsid w:val="0EBB3A12"/>
    <w:rsid w:val="0EC56247"/>
    <w:rsid w:val="0EE4486D"/>
    <w:rsid w:val="0EE505E5"/>
    <w:rsid w:val="0F0147A0"/>
    <w:rsid w:val="0F183287"/>
    <w:rsid w:val="0F1F5A50"/>
    <w:rsid w:val="0F6D7FA8"/>
    <w:rsid w:val="0F7200CA"/>
    <w:rsid w:val="0F730BD4"/>
    <w:rsid w:val="0FD03043"/>
    <w:rsid w:val="0FF26B15"/>
    <w:rsid w:val="101A2510"/>
    <w:rsid w:val="101F1965"/>
    <w:rsid w:val="10463305"/>
    <w:rsid w:val="105E1BD3"/>
    <w:rsid w:val="1097590F"/>
    <w:rsid w:val="109A4B32"/>
    <w:rsid w:val="10A73DA4"/>
    <w:rsid w:val="10E5667A"/>
    <w:rsid w:val="10E943BC"/>
    <w:rsid w:val="10EA17D0"/>
    <w:rsid w:val="10EE1F98"/>
    <w:rsid w:val="113E5D8A"/>
    <w:rsid w:val="116F380F"/>
    <w:rsid w:val="119A65DC"/>
    <w:rsid w:val="11A556A2"/>
    <w:rsid w:val="11AB78C4"/>
    <w:rsid w:val="11BA3ADF"/>
    <w:rsid w:val="11D72467"/>
    <w:rsid w:val="11DB2CE1"/>
    <w:rsid w:val="12103BCB"/>
    <w:rsid w:val="123E2253"/>
    <w:rsid w:val="123E374A"/>
    <w:rsid w:val="12490852"/>
    <w:rsid w:val="125E4936"/>
    <w:rsid w:val="12641821"/>
    <w:rsid w:val="12942106"/>
    <w:rsid w:val="12A549E0"/>
    <w:rsid w:val="12A762DD"/>
    <w:rsid w:val="12A771A7"/>
    <w:rsid w:val="12AB405C"/>
    <w:rsid w:val="12BB58E4"/>
    <w:rsid w:val="12BE6DCC"/>
    <w:rsid w:val="12CD62EF"/>
    <w:rsid w:val="12F2507E"/>
    <w:rsid w:val="12FE5353"/>
    <w:rsid w:val="131953C6"/>
    <w:rsid w:val="134A6C68"/>
    <w:rsid w:val="136C3083"/>
    <w:rsid w:val="138C2C9D"/>
    <w:rsid w:val="13D053C0"/>
    <w:rsid w:val="14832432"/>
    <w:rsid w:val="14B9796C"/>
    <w:rsid w:val="14C43CA3"/>
    <w:rsid w:val="14CF4074"/>
    <w:rsid w:val="14DC1B42"/>
    <w:rsid w:val="14DC6C9D"/>
    <w:rsid w:val="14F831F4"/>
    <w:rsid w:val="150572EB"/>
    <w:rsid w:val="152B4878"/>
    <w:rsid w:val="153840DA"/>
    <w:rsid w:val="155D7127"/>
    <w:rsid w:val="15AA22D5"/>
    <w:rsid w:val="15BE34FB"/>
    <w:rsid w:val="15F1161D"/>
    <w:rsid w:val="15FC32F3"/>
    <w:rsid w:val="15FD2AA2"/>
    <w:rsid w:val="16116963"/>
    <w:rsid w:val="162B5273"/>
    <w:rsid w:val="165A0428"/>
    <w:rsid w:val="166E657F"/>
    <w:rsid w:val="1675224E"/>
    <w:rsid w:val="16C37A40"/>
    <w:rsid w:val="170A508C"/>
    <w:rsid w:val="1716227E"/>
    <w:rsid w:val="172A3039"/>
    <w:rsid w:val="173518E4"/>
    <w:rsid w:val="17B812E8"/>
    <w:rsid w:val="180335A4"/>
    <w:rsid w:val="180970F2"/>
    <w:rsid w:val="1840102A"/>
    <w:rsid w:val="187D2982"/>
    <w:rsid w:val="18CB25F9"/>
    <w:rsid w:val="19037FEB"/>
    <w:rsid w:val="19094ED0"/>
    <w:rsid w:val="1912647A"/>
    <w:rsid w:val="1938516E"/>
    <w:rsid w:val="1949053F"/>
    <w:rsid w:val="1988673C"/>
    <w:rsid w:val="19A215B9"/>
    <w:rsid w:val="19AE24A7"/>
    <w:rsid w:val="19AE3232"/>
    <w:rsid w:val="19B2756E"/>
    <w:rsid w:val="19B80596"/>
    <w:rsid w:val="19BC0ADE"/>
    <w:rsid w:val="19BD63E6"/>
    <w:rsid w:val="19C37774"/>
    <w:rsid w:val="19CD084B"/>
    <w:rsid w:val="19DC2377"/>
    <w:rsid w:val="19E73463"/>
    <w:rsid w:val="19F3005A"/>
    <w:rsid w:val="19FC5635"/>
    <w:rsid w:val="1A087B8F"/>
    <w:rsid w:val="1A172451"/>
    <w:rsid w:val="1A225770"/>
    <w:rsid w:val="1A676352"/>
    <w:rsid w:val="1A6C5716"/>
    <w:rsid w:val="1AA00561"/>
    <w:rsid w:val="1AA66E7A"/>
    <w:rsid w:val="1AB468F7"/>
    <w:rsid w:val="1ADA0EEB"/>
    <w:rsid w:val="1AFA5418"/>
    <w:rsid w:val="1B0818E3"/>
    <w:rsid w:val="1B140288"/>
    <w:rsid w:val="1B58691F"/>
    <w:rsid w:val="1B78109B"/>
    <w:rsid w:val="1B7C08F7"/>
    <w:rsid w:val="1B950C9D"/>
    <w:rsid w:val="1B9D6FEE"/>
    <w:rsid w:val="1BA216CC"/>
    <w:rsid w:val="1BA974EF"/>
    <w:rsid w:val="1BAF1D5E"/>
    <w:rsid w:val="1C03142F"/>
    <w:rsid w:val="1C361CB5"/>
    <w:rsid w:val="1C5241B6"/>
    <w:rsid w:val="1C601C35"/>
    <w:rsid w:val="1C6C2CF5"/>
    <w:rsid w:val="1C763CD4"/>
    <w:rsid w:val="1C7C43BA"/>
    <w:rsid w:val="1C821221"/>
    <w:rsid w:val="1C8A6328"/>
    <w:rsid w:val="1C9A0C60"/>
    <w:rsid w:val="1CA67605"/>
    <w:rsid w:val="1CD203FA"/>
    <w:rsid w:val="1CF06AD2"/>
    <w:rsid w:val="1D001020"/>
    <w:rsid w:val="1D190631"/>
    <w:rsid w:val="1D491D3F"/>
    <w:rsid w:val="1D4D182F"/>
    <w:rsid w:val="1D660B43"/>
    <w:rsid w:val="1D6D7456"/>
    <w:rsid w:val="1D927B8A"/>
    <w:rsid w:val="1DC92C25"/>
    <w:rsid w:val="1DF20628"/>
    <w:rsid w:val="1E6E4153"/>
    <w:rsid w:val="1E8A0861"/>
    <w:rsid w:val="1EE50723"/>
    <w:rsid w:val="1EF1268E"/>
    <w:rsid w:val="1EFA3C38"/>
    <w:rsid w:val="1F3A4035"/>
    <w:rsid w:val="1F612F71"/>
    <w:rsid w:val="1F7C289F"/>
    <w:rsid w:val="1F971C0F"/>
    <w:rsid w:val="1FAD4807"/>
    <w:rsid w:val="1FAF67D1"/>
    <w:rsid w:val="1FC3227C"/>
    <w:rsid w:val="202B38D9"/>
    <w:rsid w:val="20382634"/>
    <w:rsid w:val="20523600"/>
    <w:rsid w:val="20656879"/>
    <w:rsid w:val="206C6470"/>
    <w:rsid w:val="208C55E2"/>
    <w:rsid w:val="20BD6CCC"/>
    <w:rsid w:val="20D86C97"/>
    <w:rsid w:val="20F3093F"/>
    <w:rsid w:val="2120725A"/>
    <w:rsid w:val="213D7E0C"/>
    <w:rsid w:val="218A3568"/>
    <w:rsid w:val="218E156C"/>
    <w:rsid w:val="21CF315A"/>
    <w:rsid w:val="21FC3824"/>
    <w:rsid w:val="2203376D"/>
    <w:rsid w:val="220646A2"/>
    <w:rsid w:val="22092524"/>
    <w:rsid w:val="22196184"/>
    <w:rsid w:val="222E6773"/>
    <w:rsid w:val="22326B0B"/>
    <w:rsid w:val="22386CFF"/>
    <w:rsid w:val="225673D8"/>
    <w:rsid w:val="227A0EF4"/>
    <w:rsid w:val="22B83BEE"/>
    <w:rsid w:val="22D7265F"/>
    <w:rsid w:val="22DA1FEF"/>
    <w:rsid w:val="22E20C6B"/>
    <w:rsid w:val="230176D2"/>
    <w:rsid w:val="2314222E"/>
    <w:rsid w:val="232474D6"/>
    <w:rsid w:val="23250B58"/>
    <w:rsid w:val="234C2589"/>
    <w:rsid w:val="2351754B"/>
    <w:rsid w:val="23652F67"/>
    <w:rsid w:val="23757D31"/>
    <w:rsid w:val="2377268A"/>
    <w:rsid w:val="238364F0"/>
    <w:rsid w:val="23B75C54"/>
    <w:rsid w:val="23DA54E1"/>
    <w:rsid w:val="23E32EED"/>
    <w:rsid w:val="24183DE7"/>
    <w:rsid w:val="243146EB"/>
    <w:rsid w:val="245C4A4D"/>
    <w:rsid w:val="24C26FA6"/>
    <w:rsid w:val="24C525F3"/>
    <w:rsid w:val="24EA02AB"/>
    <w:rsid w:val="24FF2FC1"/>
    <w:rsid w:val="2502451A"/>
    <w:rsid w:val="2504136D"/>
    <w:rsid w:val="252724A9"/>
    <w:rsid w:val="25276E09"/>
    <w:rsid w:val="25401C79"/>
    <w:rsid w:val="255676EF"/>
    <w:rsid w:val="255F47F5"/>
    <w:rsid w:val="256A520F"/>
    <w:rsid w:val="256E78ED"/>
    <w:rsid w:val="256F44D5"/>
    <w:rsid w:val="25897AC4"/>
    <w:rsid w:val="25A869D6"/>
    <w:rsid w:val="25D777DA"/>
    <w:rsid w:val="25D86356"/>
    <w:rsid w:val="25EC39DF"/>
    <w:rsid w:val="25EF3DCB"/>
    <w:rsid w:val="26086C3B"/>
    <w:rsid w:val="261D1FBA"/>
    <w:rsid w:val="261E645E"/>
    <w:rsid w:val="26284429"/>
    <w:rsid w:val="262A2D38"/>
    <w:rsid w:val="26466E58"/>
    <w:rsid w:val="26704220"/>
    <w:rsid w:val="26802C75"/>
    <w:rsid w:val="268A5399"/>
    <w:rsid w:val="26906C30"/>
    <w:rsid w:val="27231852"/>
    <w:rsid w:val="272B0593"/>
    <w:rsid w:val="277420AE"/>
    <w:rsid w:val="279F4BA6"/>
    <w:rsid w:val="27B801ED"/>
    <w:rsid w:val="28074CD0"/>
    <w:rsid w:val="281A4A03"/>
    <w:rsid w:val="2865661D"/>
    <w:rsid w:val="28AB185F"/>
    <w:rsid w:val="28B766F6"/>
    <w:rsid w:val="28BD0024"/>
    <w:rsid w:val="28DC3861"/>
    <w:rsid w:val="290B03A4"/>
    <w:rsid w:val="29181DA8"/>
    <w:rsid w:val="292F2A9F"/>
    <w:rsid w:val="295959FF"/>
    <w:rsid w:val="29622D86"/>
    <w:rsid w:val="297665B1"/>
    <w:rsid w:val="29A462E1"/>
    <w:rsid w:val="29C953ED"/>
    <w:rsid w:val="29D477B9"/>
    <w:rsid w:val="29E908C7"/>
    <w:rsid w:val="2A1A17A3"/>
    <w:rsid w:val="2A1F5B43"/>
    <w:rsid w:val="2A2353C8"/>
    <w:rsid w:val="2A482069"/>
    <w:rsid w:val="2A4C2E6E"/>
    <w:rsid w:val="2A720B27"/>
    <w:rsid w:val="2A822F99"/>
    <w:rsid w:val="2AC12920"/>
    <w:rsid w:val="2AD52E64"/>
    <w:rsid w:val="2AF210B7"/>
    <w:rsid w:val="2B054B77"/>
    <w:rsid w:val="2B0A5203"/>
    <w:rsid w:val="2B195446"/>
    <w:rsid w:val="2B326508"/>
    <w:rsid w:val="2B382B7C"/>
    <w:rsid w:val="2B3C1135"/>
    <w:rsid w:val="2B583AE6"/>
    <w:rsid w:val="2BA80578"/>
    <w:rsid w:val="2BB86A0D"/>
    <w:rsid w:val="2C163E61"/>
    <w:rsid w:val="2C761602"/>
    <w:rsid w:val="2C8D2853"/>
    <w:rsid w:val="2CA248AA"/>
    <w:rsid w:val="2D001CDF"/>
    <w:rsid w:val="2D406CBA"/>
    <w:rsid w:val="2D92328E"/>
    <w:rsid w:val="2DA63E5D"/>
    <w:rsid w:val="2DCF003E"/>
    <w:rsid w:val="2DD13353"/>
    <w:rsid w:val="2DF177F6"/>
    <w:rsid w:val="2DF92ABE"/>
    <w:rsid w:val="2DF950BB"/>
    <w:rsid w:val="2E1275C8"/>
    <w:rsid w:val="2E5A0250"/>
    <w:rsid w:val="2E734E6D"/>
    <w:rsid w:val="2E933762"/>
    <w:rsid w:val="2EBF6305"/>
    <w:rsid w:val="2ED16A89"/>
    <w:rsid w:val="2F1E7104"/>
    <w:rsid w:val="2F285C58"/>
    <w:rsid w:val="2F4862FA"/>
    <w:rsid w:val="2F4B078A"/>
    <w:rsid w:val="2F6A001E"/>
    <w:rsid w:val="2FD62CC0"/>
    <w:rsid w:val="2FE85B4E"/>
    <w:rsid w:val="2FEF8583"/>
    <w:rsid w:val="2FFD3B38"/>
    <w:rsid w:val="30004E27"/>
    <w:rsid w:val="305C687C"/>
    <w:rsid w:val="3072568A"/>
    <w:rsid w:val="30896BCA"/>
    <w:rsid w:val="30986E0D"/>
    <w:rsid w:val="30B17ECF"/>
    <w:rsid w:val="30B359F5"/>
    <w:rsid w:val="30B44C6C"/>
    <w:rsid w:val="31550709"/>
    <w:rsid w:val="318178A1"/>
    <w:rsid w:val="319A0963"/>
    <w:rsid w:val="31AB3D5E"/>
    <w:rsid w:val="31D420C7"/>
    <w:rsid w:val="321C4287"/>
    <w:rsid w:val="32402C9D"/>
    <w:rsid w:val="327F2033"/>
    <w:rsid w:val="32E47AED"/>
    <w:rsid w:val="32E97DF4"/>
    <w:rsid w:val="32F5188D"/>
    <w:rsid w:val="332D7CE1"/>
    <w:rsid w:val="333252F7"/>
    <w:rsid w:val="338D6635"/>
    <w:rsid w:val="339461B2"/>
    <w:rsid w:val="33992634"/>
    <w:rsid w:val="339E722D"/>
    <w:rsid w:val="33AE65B4"/>
    <w:rsid w:val="344835C0"/>
    <w:rsid w:val="345614B9"/>
    <w:rsid w:val="345B262C"/>
    <w:rsid w:val="349873DC"/>
    <w:rsid w:val="34BF705E"/>
    <w:rsid w:val="34D523DE"/>
    <w:rsid w:val="34E72111"/>
    <w:rsid w:val="354E5004"/>
    <w:rsid w:val="359A31C2"/>
    <w:rsid w:val="35C31AC1"/>
    <w:rsid w:val="35E14DB3"/>
    <w:rsid w:val="36017203"/>
    <w:rsid w:val="360A60B7"/>
    <w:rsid w:val="361A4768"/>
    <w:rsid w:val="361E1B63"/>
    <w:rsid w:val="362806D4"/>
    <w:rsid w:val="363D7F9D"/>
    <w:rsid w:val="363E0457"/>
    <w:rsid w:val="363F1909"/>
    <w:rsid w:val="3651512A"/>
    <w:rsid w:val="36770EDD"/>
    <w:rsid w:val="37117919"/>
    <w:rsid w:val="371D1E1A"/>
    <w:rsid w:val="3738387B"/>
    <w:rsid w:val="37464078"/>
    <w:rsid w:val="375752FB"/>
    <w:rsid w:val="37585548"/>
    <w:rsid w:val="37873738"/>
    <w:rsid w:val="37895702"/>
    <w:rsid w:val="379E6938"/>
    <w:rsid w:val="37B07132"/>
    <w:rsid w:val="37DC640F"/>
    <w:rsid w:val="380F20AB"/>
    <w:rsid w:val="385158B8"/>
    <w:rsid w:val="38E84FBD"/>
    <w:rsid w:val="38F815D3"/>
    <w:rsid w:val="391D4354"/>
    <w:rsid w:val="39225C79"/>
    <w:rsid w:val="39253208"/>
    <w:rsid w:val="398443D3"/>
    <w:rsid w:val="39C24EFB"/>
    <w:rsid w:val="39E81C55"/>
    <w:rsid w:val="3A092B2A"/>
    <w:rsid w:val="3A664D43"/>
    <w:rsid w:val="3A704957"/>
    <w:rsid w:val="3A811F62"/>
    <w:rsid w:val="3A9E29DD"/>
    <w:rsid w:val="3ACE216B"/>
    <w:rsid w:val="3B0C5BAE"/>
    <w:rsid w:val="3B134F55"/>
    <w:rsid w:val="3B2A62FA"/>
    <w:rsid w:val="3B485EE0"/>
    <w:rsid w:val="3B6C511E"/>
    <w:rsid w:val="3B6F440E"/>
    <w:rsid w:val="3BB80364"/>
    <w:rsid w:val="3BBA0580"/>
    <w:rsid w:val="3BE42626"/>
    <w:rsid w:val="3C067E6D"/>
    <w:rsid w:val="3C177D40"/>
    <w:rsid w:val="3C406CD7"/>
    <w:rsid w:val="3C4F475C"/>
    <w:rsid w:val="3C5B2F97"/>
    <w:rsid w:val="3C7052B5"/>
    <w:rsid w:val="3C722C08"/>
    <w:rsid w:val="3CA134EE"/>
    <w:rsid w:val="3D344362"/>
    <w:rsid w:val="3D4A5933"/>
    <w:rsid w:val="3D580050"/>
    <w:rsid w:val="3D6D517E"/>
    <w:rsid w:val="3D8C5F4C"/>
    <w:rsid w:val="3DD671C7"/>
    <w:rsid w:val="3DE93535"/>
    <w:rsid w:val="3DE96EFA"/>
    <w:rsid w:val="3E18333B"/>
    <w:rsid w:val="3E6D7B2B"/>
    <w:rsid w:val="3E7CB677"/>
    <w:rsid w:val="3E8D5AD7"/>
    <w:rsid w:val="3E9F35FB"/>
    <w:rsid w:val="3F4FB10E"/>
    <w:rsid w:val="3F7B0026"/>
    <w:rsid w:val="3FC75019"/>
    <w:rsid w:val="3FF936BE"/>
    <w:rsid w:val="40826D65"/>
    <w:rsid w:val="40933FB6"/>
    <w:rsid w:val="40EA5463"/>
    <w:rsid w:val="41004C87"/>
    <w:rsid w:val="412C3F38"/>
    <w:rsid w:val="416845DA"/>
    <w:rsid w:val="4174388F"/>
    <w:rsid w:val="41F568C1"/>
    <w:rsid w:val="420A743F"/>
    <w:rsid w:val="42254279"/>
    <w:rsid w:val="42366486"/>
    <w:rsid w:val="429116E7"/>
    <w:rsid w:val="42A25018"/>
    <w:rsid w:val="42A47894"/>
    <w:rsid w:val="42DE1E74"/>
    <w:rsid w:val="42DF33D4"/>
    <w:rsid w:val="42E934F8"/>
    <w:rsid w:val="43086074"/>
    <w:rsid w:val="432252FC"/>
    <w:rsid w:val="4323351E"/>
    <w:rsid w:val="4344430F"/>
    <w:rsid w:val="434B5F61"/>
    <w:rsid w:val="434B6E03"/>
    <w:rsid w:val="43B132FF"/>
    <w:rsid w:val="44254E3E"/>
    <w:rsid w:val="443F1622"/>
    <w:rsid w:val="4442648B"/>
    <w:rsid w:val="44A869E7"/>
    <w:rsid w:val="44CC646F"/>
    <w:rsid w:val="44D91E94"/>
    <w:rsid w:val="4521341D"/>
    <w:rsid w:val="45390767"/>
    <w:rsid w:val="45427EEF"/>
    <w:rsid w:val="456B4699"/>
    <w:rsid w:val="457B2B2E"/>
    <w:rsid w:val="45CF2E79"/>
    <w:rsid w:val="45F9155A"/>
    <w:rsid w:val="4600364E"/>
    <w:rsid w:val="46195EA3"/>
    <w:rsid w:val="46250CEB"/>
    <w:rsid w:val="46263727"/>
    <w:rsid w:val="465C457C"/>
    <w:rsid w:val="4674757D"/>
    <w:rsid w:val="46AE2250"/>
    <w:rsid w:val="46D52711"/>
    <w:rsid w:val="47490C0E"/>
    <w:rsid w:val="4755115C"/>
    <w:rsid w:val="477B5067"/>
    <w:rsid w:val="479559FD"/>
    <w:rsid w:val="479B1704"/>
    <w:rsid w:val="47BF1CAC"/>
    <w:rsid w:val="4812529F"/>
    <w:rsid w:val="483911BA"/>
    <w:rsid w:val="486F624E"/>
    <w:rsid w:val="487D4E0F"/>
    <w:rsid w:val="48E1714C"/>
    <w:rsid w:val="48E21116"/>
    <w:rsid w:val="48EC789E"/>
    <w:rsid w:val="49037AC5"/>
    <w:rsid w:val="49211C3E"/>
    <w:rsid w:val="4929464F"/>
    <w:rsid w:val="4936052D"/>
    <w:rsid w:val="495279EA"/>
    <w:rsid w:val="49693B09"/>
    <w:rsid w:val="496D6C31"/>
    <w:rsid w:val="49706721"/>
    <w:rsid w:val="49865F45"/>
    <w:rsid w:val="498B50FB"/>
    <w:rsid w:val="49DBA373"/>
    <w:rsid w:val="49EB220F"/>
    <w:rsid w:val="49F619EE"/>
    <w:rsid w:val="4A176B9D"/>
    <w:rsid w:val="4A627CA6"/>
    <w:rsid w:val="4A9668D0"/>
    <w:rsid w:val="4A990440"/>
    <w:rsid w:val="4AA22146"/>
    <w:rsid w:val="4AFA44F5"/>
    <w:rsid w:val="4AFE62D5"/>
    <w:rsid w:val="4B6E4EE3"/>
    <w:rsid w:val="4BF0515F"/>
    <w:rsid w:val="4BFE296F"/>
    <w:rsid w:val="4CC50B32"/>
    <w:rsid w:val="4CDF7E46"/>
    <w:rsid w:val="4D1A70D0"/>
    <w:rsid w:val="4D3233F4"/>
    <w:rsid w:val="4D3857A8"/>
    <w:rsid w:val="4D4B6C12"/>
    <w:rsid w:val="4D9F3131"/>
    <w:rsid w:val="4DA90454"/>
    <w:rsid w:val="4DAE7818"/>
    <w:rsid w:val="4E3221F7"/>
    <w:rsid w:val="4E557C94"/>
    <w:rsid w:val="4E610A5C"/>
    <w:rsid w:val="4E7C16C5"/>
    <w:rsid w:val="4E8C1402"/>
    <w:rsid w:val="4EA22B6A"/>
    <w:rsid w:val="4EB26E94"/>
    <w:rsid w:val="4ED01129"/>
    <w:rsid w:val="4ED35788"/>
    <w:rsid w:val="4F041DA9"/>
    <w:rsid w:val="4F0A0EA7"/>
    <w:rsid w:val="4F2064F4"/>
    <w:rsid w:val="4F6E3703"/>
    <w:rsid w:val="4F9B1C64"/>
    <w:rsid w:val="4FA43D12"/>
    <w:rsid w:val="4FB0014A"/>
    <w:rsid w:val="4FDC54E3"/>
    <w:rsid w:val="4FDD0749"/>
    <w:rsid w:val="4FFE3F80"/>
    <w:rsid w:val="5003209D"/>
    <w:rsid w:val="50442F41"/>
    <w:rsid w:val="5096168B"/>
    <w:rsid w:val="50B05655"/>
    <w:rsid w:val="50C20F8E"/>
    <w:rsid w:val="50E81293"/>
    <w:rsid w:val="512C73D2"/>
    <w:rsid w:val="51340035"/>
    <w:rsid w:val="51532BB1"/>
    <w:rsid w:val="5162467D"/>
    <w:rsid w:val="51FE78F8"/>
    <w:rsid w:val="522A577D"/>
    <w:rsid w:val="52397FF8"/>
    <w:rsid w:val="524B7D2C"/>
    <w:rsid w:val="5290573F"/>
    <w:rsid w:val="52AE419A"/>
    <w:rsid w:val="531A1D19"/>
    <w:rsid w:val="53876B42"/>
    <w:rsid w:val="5394300C"/>
    <w:rsid w:val="53C47D96"/>
    <w:rsid w:val="53CE651E"/>
    <w:rsid w:val="53DA4EC3"/>
    <w:rsid w:val="542F3B25"/>
    <w:rsid w:val="54640C31"/>
    <w:rsid w:val="54770964"/>
    <w:rsid w:val="549C486F"/>
    <w:rsid w:val="54CF07A0"/>
    <w:rsid w:val="54CF13D6"/>
    <w:rsid w:val="54E16725"/>
    <w:rsid w:val="54E83610"/>
    <w:rsid w:val="54F93A6F"/>
    <w:rsid w:val="55104E28"/>
    <w:rsid w:val="55161382"/>
    <w:rsid w:val="55334B8F"/>
    <w:rsid w:val="554A487A"/>
    <w:rsid w:val="554C3B9F"/>
    <w:rsid w:val="554E48DA"/>
    <w:rsid w:val="55570796"/>
    <w:rsid w:val="555869E7"/>
    <w:rsid w:val="555B64D8"/>
    <w:rsid w:val="55773707"/>
    <w:rsid w:val="55847F94"/>
    <w:rsid w:val="55C7105B"/>
    <w:rsid w:val="55D41DE6"/>
    <w:rsid w:val="56570A4D"/>
    <w:rsid w:val="56682C5A"/>
    <w:rsid w:val="56C9121F"/>
    <w:rsid w:val="56F95FA8"/>
    <w:rsid w:val="572A7F10"/>
    <w:rsid w:val="5735337C"/>
    <w:rsid w:val="573963A5"/>
    <w:rsid w:val="57463215"/>
    <w:rsid w:val="577F7E8A"/>
    <w:rsid w:val="57827D4C"/>
    <w:rsid w:val="57893C64"/>
    <w:rsid w:val="57914433"/>
    <w:rsid w:val="579E7336"/>
    <w:rsid w:val="57CA099D"/>
    <w:rsid w:val="57E12881"/>
    <w:rsid w:val="58136BF6"/>
    <w:rsid w:val="583C439E"/>
    <w:rsid w:val="584345CB"/>
    <w:rsid w:val="58CE7120"/>
    <w:rsid w:val="590B3D71"/>
    <w:rsid w:val="591A26E0"/>
    <w:rsid w:val="59796F2C"/>
    <w:rsid w:val="59870CBE"/>
    <w:rsid w:val="598F04FE"/>
    <w:rsid w:val="59AB240C"/>
    <w:rsid w:val="59E7307A"/>
    <w:rsid w:val="5A056A12"/>
    <w:rsid w:val="5A160C1F"/>
    <w:rsid w:val="5A5163E1"/>
    <w:rsid w:val="5A6269F6"/>
    <w:rsid w:val="5A9764BF"/>
    <w:rsid w:val="5AA91A93"/>
    <w:rsid w:val="5B2F718F"/>
    <w:rsid w:val="5B373C33"/>
    <w:rsid w:val="5B3C46B5"/>
    <w:rsid w:val="5B4A6DD2"/>
    <w:rsid w:val="5B6038B9"/>
    <w:rsid w:val="5B890697"/>
    <w:rsid w:val="5BA54009"/>
    <w:rsid w:val="5BC22E0D"/>
    <w:rsid w:val="5BE80399"/>
    <w:rsid w:val="5C0276AD"/>
    <w:rsid w:val="5C0308B1"/>
    <w:rsid w:val="5C1B076F"/>
    <w:rsid w:val="5C236B24"/>
    <w:rsid w:val="5C3C41E3"/>
    <w:rsid w:val="5C4750C0"/>
    <w:rsid w:val="5C6739B4"/>
    <w:rsid w:val="5C6823CD"/>
    <w:rsid w:val="5C7A36E7"/>
    <w:rsid w:val="5CBC1B3E"/>
    <w:rsid w:val="5CEBD562"/>
    <w:rsid w:val="5CFD1AAD"/>
    <w:rsid w:val="5D1217CA"/>
    <w:rsid w:val="5D333896"/>
    <w:rsid w:val="5D900CE9"/>
    <w:rsid w:val="5D927755"/>
    <w:rsid w:val="5DA91F90"/>
    <w:rsid w:val="5DBE4ED2"/>
    <w:rsid w:val="5DC15346"/>
    <w:rsid w:val="5E2D4789"/>
    <w:rsid w:val="5E396060"/>
    <w:rsid w:val="5E6737F7"/>
    <w:rsid w:val="5E8B1BDC"/>
    <w:rsid w:val="5E8D24F9"/>
    <w:rsid w:val="5EBFE189"/>
    <w:rsid w:val="5EEADD36"/>
    <w:rsid w:val="5F162946"/>
    <w:rsid w:val="5F435A75"/>
    <w:rsid w:val="5F492A07"/>
    <w:rsid w:val="5F8605F5"/>
    <w:rsid w:val="5FCC6C5E"/>
    <w:rsid w:val="5FD650D9"/>
    <w:rsid w:val="5FDD697F"/>
    <w:rsid w:val="601B0D3D"/>
    <w:rsid w:val="60DE4400"/>
    <w:rsid w:val="60DF620F"/>
    <w:rsid w:val="60DF7FBD"/>
    <w:rsid w:val="60E27299"/>
    <w:rsid w:val="60F03F78"/>
    <w:rsid w:val="610043FD"/>
    <w:rsid w:val="61256559"/>
    <w:rsid w:val="617273C5"/>
    <w:rsid w:val="61D163E7"/>
    <w:rsid w:val="62053A53"/>
    <w:rsid w:val="62402CDD"/>
    <w:rsid w:val="624C1682"/>
    <w:rsid w:val="625473BB"/>
    <w:rsid w:val="62634C1E"/>
    <w:rsid w:val="62B31701"/>
    <w:rsid w:val="62D15AFF"/>
    <w:rsid w:val="62E418BB"/>
    <w:rsid w:val="63120BE6"/>
    <w:rsid w:val="631D6B7A"/>
    <w:rsid w:val="63BA6FE3"/>
    <w:rsid w:val="64504D2E"/>
    <w:rsid w:val="645B2050"/>
    <w:rsid w:val="647B5838"/>
    <w:rsid w:val="647E5BE3"/>
    <w:rsid w:val="64A70DF2"/>
    <w:rsid w:val="64B51049"/>
    <w:rsid w:val="64C64FF0"/>
    <w:rsid w:val="655D3BA6"/>
    <w:rsid w:val="65663553"/>
    <w:rsid w:val="658729D1"/>
    <w:rsid w:val="65C11374"/>
    <w:rsid w:val="65C854C3"/>
    <w:rsid w:val="65D90381"/>
    <w:rsid w:val="66127F09"/>
    <w:rsid w:val="661B018A"/>
    <w:rsid w:val="665066E0"/>
    <w:rsid w:val="667411A7"/>
    <w:rsid w:val="66743FD4"/>
    <w:rsid w:val="66AD6467"/>
    <w:rsid w:val="66FB3FFB"/>
    <w:rsid w:val="6728087A"/>
    <w:rsid w:val="67335249"/>
    <w:rsid w:val="6739034F"/>
    <w:rsid w:val="676B07FC"/>
    <w:rsid w:val="677376B1"/>
    <w:rsid w:val="677D408C"/>
    <w:rsid w:val="6796514D"/>
    <w:rsid w:val="67BD44DB"/>
    <w:rsid w:val="67BD6B7E"/>
    <w:rsid w:val="67C63C85"/>
    <w:rsid w:val="67EE6D37"/>
    <w:rsid w:val="67F24A7A"/>
    <w:rsid w:val="67FC76A6"/>
    <w:rsid w:val="68060525"/>
    <w:rsid w:val="6841330B"/>
    <w:rsid w:val="68473429"/>
    <w:rsid w:val="68660FC4"/>
    <w:rsid w:val="68692B45"/>
    <w:rsid w:val="68860A0A"/>
    <w:rsid w:val="68882CE8"/>
    <w:rsid w:val="688E20AC"/>
    <w:rsid w:val="68A57C30"/>
    <w:rsid w:val="68D0643D"/>
    <w:rsid w:val="68F0088D"/>
    <w:rsid w:val="69062F70"/>
    <w:rsid w:val="691B32E2"/>
    <w:rsid w:val="692844CB"/>
    <w:rsid w:val="69747710"/>
    <w:rsid w:val="6975143C"/>
    <w:rsid w:val="697B0A9F"/>
    <w:rsid w:val="699609C5"/>
    <w:rsid w:val="69B103D3"/>
    <w:rsid w:val="6A1231B1"/>
    <w:rsid w:val="6A49294B"/>
    <w:rsid w:val="6A7C062B"/>
    <w:rsid w:val="6A957E59"/>
    <w:rsid w:val="6AA47B81"/>
    <w:rsid w:val="6AB57FE0"/>
    <w:rsid w:val="6AC33F7B"/>
    <w:rsid w:val="6AC65D4A"/>
    <w:rsid w:val="6AD07C91"/>
    <w:rsid w:val="6B2D53CC"/>
    <w:rsid w:val="6B3B04E6"/>
    <w:rsid w:val="6B480E55"/>
    <w:rsid w:val="6B564ACA"/>
    <w:rsid w:val="6B594C38"/>
    <w:rsid w:val="6BBA3B00"/>
    <w:rsid w:val="6BC04E8F"/>
    <w:rsid w:val="6BC97E1D"/>
    <w:rsid w:val="6BCF49EC"/>
    <w:rsid w:val="6BD21440"/>
    <w:rsid w:val="6BD44496"/>
    <w:rsid w:val="6BF07522"/>
    <w:rsid w:val="6BF6440D"/>
    <w:rsid w:val="6BFD39ED"/>
    <w:rsid w:val="6C705F6D"/>
    <w:rsid w:val="6CB27C7E"/>
    <w:rsid w:val="6CD35AE6"/>
    <w:rsid w:val="6CDC1854"/>
    <w:rsid w:val="6CE76387"/>
    <w:rsid w:val="6D0D50EA"/>
    <w:rsid w:val="6D3858E4"/>
    <w:rsid w:val="6D4C79DE"/>
    <w:rsid w:val="6D560EAF"/>
    <w:rsid w:val="6DAA0E17"/>
    <w:rsid w:val="6DF33E19"/>
    <w:rsid w:val="6E0A3A02"/>
    <w:rsid w:val="6E2442D0"/>
    <w:rsid w:val="6E477D71"/>
    <w:rsid w:val="6E600263"/>
    <w:rsid w:val="6E697118"/>
    <w:rsid w:val="6E6B10E2"/>
    <w:rsid w:val="6E837BA8"/>
    <w:rsid w:val="6E8E6B7E"/>
    <w:rsid w:val="6E922B12"/>
    <w:rsid w:val="6E932ED4"/>
    <w:rsid w:val="6EB645F9"/>
    <w:rsid w:val="6ECA28F1"/>
    <w:rsid w:val="6EE029F3"/>
    <w:rsid w:val="6EFFFA92"/>
    <w:rsid w:val="6F190B3E"/>
    <w:rsid w:val="6F355093"/>
    <w:rsid w:val="6F4656AB"/>
    <w:rsid w:val="6F6D70DC"/>
    <w:rsid w:val="6FEF55E4"/>
    <w:rsid w:val="70076AF5"/>
    <w:rsid w:val="70585696"/>
    <w:rsid w:val="708F6BDE"/>
    <w:rsid w:val="70AE7531"/>
    <w:rsid w:val="70B56644"/>
    <w:rsid w:val="71063344"/>
    <w:rsid w:val="713C6D66"/>
    <w:rsid w:val="71526853"/>
    <w:rsid w:val="71970163"/>
    <w:rsid w:val="71C34D91"/>
    <w:rsid w:val="71D62036"/>
    <w:rsid w:val="7210336D"/>
    <w:rsid w:val="721E4997"/>
    <w:rsid w:val="722D66AE"/>
    <w:rsid w:val="723B3782"/>
    <w:rsid w:val="7256696C"/>
    <w:rsid w:val="7258197D"/>
    <w:rsid w:val="72B1108D"/>
    <w:rsid w:val="72F0342C"/>
    <w:rsid w:val="73035041"/>
    <w:rsid w:val="731C6E4F"/>
    <w:rsid w:val="732849D1"/>
    <w:rsid w:val="735578DC"/>
    <w:rsid w:val="736D1458"/>
    <w:rsid w:val="73A6496A"/>
    <w:rsid w:val="73BE02D8"/>
    <w:rsid w:val="73D70FC8"/>
    <w:rsid w:val="73DE484F"/>
    <w:rsid w:val="741144D9"/>
    <w:rsid w:val="74281823"/>
    <w:rsid w:val="742F2BB2"/>
    <w:rsid w:val="74566390"/>
    <w:rsid w:val="74827DD2"/>
    <w:rsid w:val="74A92964"/>
    <w:rsid w:val="74C257D4"/>
    <w:rsid w:val="74CC21AE"/>
    <w:rsid w:val="74D03DBC"/>
    <w:rsid w:val="752F1C88"/>
    <w:rsid w:val="75341B00"/>
    <w:rsid w:val="7598777F"/>
    <w:rsid w:val="759E3B4B"/>
    <w:rsid w:val="75C25C2C"/>
    <w:rsid w:val="75C630A2"/>
    <w:rsid w:val="75FDACDE"/>
    <w:rsid w:val="7622503A"/>
    <w:rsid w:val="76516E0F"/>
    <w:rsid w:val="766331F3"/>
    <w:rsid w:val="766F3739"/>
    <w:rsid w:val="76984A3E"/>
    <w:rsid w:val="76B90A82"/>
    <w:rsid w:val="76C53359"/>
    <w:rsid w:val="76CF41D8"/>
    <w:rsid w:val="76DB2B7D"/>
    <w:rsid w:val="76E61C4D"/>
    <w:rsid w:val="76E85219"/>
    <w:rsid w:val="76F14A7A"/>
    <w:rsid w:val="76FA3300"/>
    <w:rsid w:val="76FB4FCD"/>
    <w:rsid w:val="76FBCB3C"/>
    <w:rsid w:val="77237F6A"/>
    <w:rsid w:val="77316C41"/>
    <w:rsid w:val="774A7E3D"/>
    <w:rsid w:val="775F730A"/>
    <w:rsid w:val="776B0B7C"/>
    <w:rsid w:val="777234E1"/>
    <w:rsid w:val="779F356A"/>
    <w:rsid w:val="77B75398"/>
    <w:rsid w:val="77C35AEB"/>
    <w:rsid w:val="77CB2BF1"/>
    <w:rsid w:val="77CC7C29"/>
    <w:rsid w:val="77EF49D7"/>
    <w:rsid w:val="77FB433D"/>
    <w:rsid w:val="78115565"/>
    <w:rsid w:val="781C68DB"/>
    <w:rsid w:val="7820118F"/>
    <w:rsid w:val="78216CB5"/>
    <w:rsid w:val="782232B2"/>
    <w:rsid w:val="783C589D"/>
    <w:rsid w:val="784B5AE0"/>
    <w:rsid w:val="785D0119"/>
    <w:rsid w:val="787D10E3"/>
    <w:rsid w:val="78AE679B"/>
    <w:rsid w:val="78E001A9"/>
    <w:rsid w:val="78E82C89"/>
    <w:rsid w:val="78EF183C"/>
    <w:rsid w:val="79097DAE"/>
    <w:rsid w:val="790B6327"/>
    <w:rsid w:val="791E3BDE"/>
    <w:rsid w:val="792C5912"/>
    <w:rsid w:val="792D169B"/>
    <w:rsid w:val="79325D16"/>
    <w:rsid w:val="79425135"/>
    <w:rsid w:val="79442C5B"/>
    <w:rsid w:val="79547E71"/>
    <w:rsid w:val="795C7A56"/>
    <w:rsid w:val="79725A1A"/>
    <w:rsid w:val="798B088A"/>
    <w:rsid w:val="79A82152"/>
    <w:rsid w:val="79C913B2"/>
    <w:rsid w:val="79DE4E5E"/>
    <w:rsid w:val="79F53F55"/>
    <w:rsid w:val="7A0D4717"/>
    <w:rsid w:val="7A2D7B93"/>
    <w:rsid w:val="7A5522A6"/>
    <w:rsid w:val="7A8E53C2"/>
    <w:rsid w:val="7ABF83B9"/>
    <w:rsid w:val="7ACF29F8"/>
    <w:rsid w:val="7AD63D87"/>
    <w:rsid w:val="7AD718AD"/>
    <w:rsid w:val="7AE70843"/>
    <w:rsid w:val="7AF7054B"/>
    <w:rsid w:val="7B1072F5"/>
    <w:rsid w:val="7B354232"/>
    <w:rsid w:val="7B3D458E"/>
    <w:rsid w:val="7B4319C9"/>
    <w:rsid w:val="7B8C2698"/>
    <w:rsid w:val="7BA17B37"/>
    <w:rsid w:val="7BBF2B84"/>
    <w:rsid w:val="7BC32CA3"/>
    <w:rsid w:val="7BEE3352"/>
    <w:rsid w:val="7BFDEB8A"/>
    <w:rsid w:val="7C7A4BE6"/>
    <w:rsid w:val="7C864568"/>
    <w:rsid w:val="7D11554A"/>
    <w:rsid w:val="7D1961AD"/>
    <w:rsid w:val="7D4E22FA"/>
    <w:rsid w:val="7D5B4A17"/>
    <w:rsid w:val="7D6A6A08"/>
    <w:rsid w:val="7D7324E9"/>
    <w:rsid w:val="7D770E76"/>
    <w:rsid w:val="7D7C7019"/>
    <w:rsid w:val="7D9359A6"/>
    <w:rsid w:val="7DA95783"/>
    <w:rsid w:val="7DB859C6"/>
    <w:rsid w:val="7DBD2FDC"/>
    <w:rsid w:val="7DC4384F"/>
    <w:rsid w:val="7DF40153"/>
    <w:rsid w:val="7DFF7F8A"/>
    <w:rsid w:val="7E024676"/>
    <w:rsid w:val="7E256583"/>
    <w:rsid w:val="7E3A63DB"/>
    <w:rsid w:val="7E3C2153"/>
    <w:rsid w:val="7E4153EE"/>
    <w:rsid w:val="7E7E09BD"/>
    <w:rsid w:val="7E8E6727"/>
    <w:rsid w:val="7E911D89"/>
    <w:rsid w:val="7EA45F4A"/>
    <w:rsid w:val="7EC64112"/>
    <w:rsid w:val="7ECF500B"/>
    <w:rsid w:val="7EEFF1B9"/>
    <w:rsid w:val="7F0B7D77"/>
    <w:rsid w:val="7F372851"/>
    <w:rsid w:val="7F453289"/>
    <w:rsid w:val="7F482940"/>
    <w:rsid w:val="7F4F99DC"/>
    <w:rsid w:val="7F8B421F"/>
    <w:rsid w:val="7FBFED68"/>
    <w:rsid w:val="7FCB7F71"/>
    <w:rsid w:val="7FD60385"/>
    <w:rsid w:val="7FDF3CCD"/>
    <w:rsid w:val="7FDFBC8F"/>
    <w:rsid w:val="7FF627D5"/>
    <w:rsid w:val="7FFF614C"/>
    <w:rsid w:val="7FFF8D8C"/>
    <w:rsid w:val="7FFFA534"/>
    <w:rsid w:val="97B3B6FF"/>
    <w:rsid w:val="99AFF192"/>
    <w:rsid w:val="9EF742D5"/>
    <w:rsid w:val="AFF2E37E"/>
    <w:rsid w:val="B4BF47BC"/>
    <w:rsid w:val="BBD5D073"/>
    <w:rsid w:val="BBDCA4F9"/>
    <w:rsid w:val="BBEFAFE1"/>
    <w:rsid w:val="BCFF04D7"/>
    <w:rsid w:val="BDFD0BE6"/>
    <w:rsid w:val="BF45E4E0"/>
    <w:rsid w:val="BFDF67F9"/>
    <w:rsid w:val="C7B2BE51"/>
    <w:rsid w:val="CB5DFAF2"/>
    <w:rsid w:val="CF75CE17"/>
    <w:rsid w:val="CF7FB4A8"/>
    <w:rsid w:val="D7FAF258"/>
    <w:rsid w:val="DBFBAD1E"/>
    <w:rsid w:val="DDCFD177"/>
    <w:rsid w:val="E48FA6DA"/>
    <w:rsid w:val="EF7FC655"/>
    <w:rsid w:val="EFE584C5"/>
    <w:rsid w:val="EFFF5316"/>
    <w:rsid w:val="F5B34714"/>
    <w:rsid w:val="F75FCEFF"/>
    <w:rsid w:val="F7BBC39B"/>
    <w:rsid w:val="F7FB140B"/>
    <w:rsid w:val="F9DE2BE1"/>
    <w:rsid w:val="F9E3E0D4"/>
    <w:rsid w:val="F9FE93F7"/>
    <w:rsid w:val="FACF894A"/>
    <w:rsid w:val="FBB63A24"/>
    <w:rsid w:val="FBFFADBC"/>
    <w:rsid w:val="FDFFCABB"/>
    <w:rsid w:val="FE1BB4ED"/>
    <w:rsid w:val="FEE3AB52"/>
    <w:rsid w:val="FEFF7274"/>
    <w:rsid w:val="FF6F8BD0"/>
    <w:rsid w:val="FF7D4DC0"/>
    <w:rsid w:val="FF7F79F0"/>
    <w:rsid w:val="FFAF1C7A"/>
    <w:rsid w:val="FFAFC880"/>
    <w:rsid w:val="FFDDD997"/>
    <w:rsid w:val="FFFA8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方正仿宋_GBK" w:cstheme="minorBidi"/>
      <w:kern w:val="2"/>
      <w:sz w:val="32"/>
      <w:szCs w:val="24"/>
      <w:lang w:val="en-US" w:eastAsia="zh-CN" w:bidi="ar-SA"/>
    </w:rPr>
  </w:style>
  <w:style w:type="paragraph" w:styleId="3">
    <w:name w:val="heading 1"/>
    <w:basedOn w:val="1"/>
    <w:next w:val="1"/>
    <w:qFormat/>
    <w:uiPriority w:val="0"/>
    <w:pPr>
      <w:keepNext/>
      <w:keepLines/>
      <w:spacing w:beforeAutospacing="0" w:afterAutospacing="0" w:line="560" w:lineRule="exact"/>
      <w:ind w:firstLine="0" w:firstLineChars="0"/>
      <w:jc w:val="center"/>
      <w:outlineLvl w:val="0"/>
    </w:pPr>
    <w:rPr>
      <w:rFonts w:eastAsia="方正公文小标宋"/>
      <w:kern w:val="44"/>
    </w:rPr>
  </w:style>
  <w:style w:type="paragraph" w:styleId="4">
    <w:name w:val="heading 2"/>
    <w:basedOn w:val="1"/>
    <w:next w:val="1"/>
    <w:unhideWhenUsed/>
    <w:qFormat/>
    <w:uiPriority w:val="0"/>
    <w:pPr>
      <w:keepNext/>
      <w:keepLines/>
      <w:spacing w:before="0" w:beforeLines="0" w:beforeAutospacing="0" w:after="0" w:afterLines="0" w:afterAutospacing="0" w:line="640" w:lineRule="exact"/>
      <w:ind w:firstLine="0" w:firstLineChars="0"/>
      <w:jc w:val="center"/>
      <w:outlineLvl w:val="1"/>
    </w:pPr>
    <w:rPr>
      <w:rFonts w:ascii="Times New Roman" w:hAnsi="Times New Roman" w:eastAsia="黑体"/>
    </w:rPr>
  </w:style>
  <w:style w:type="paragraph" w:styleId="5">
    <w:name w:val="heading 3"/>
    <w:basedOn w:val="1"/>
    <w:next w:val="1"/>
    <w:unhideWhenUsed/>
    <w:qFormat/>
    <w:uiPriority w:val="0"/>
    <w:pPr>
      <w:keepNext/>
      <w:keepLines/>
      <w:spacing w:beforeAutospacing="0" w:afterAutospacing="0" w:line="640" w:lineRule="exact"/>
      <w:ind w:firstLine="560" w:firstLineChars="200"/>
      <w:jc w:val="left"/>
      <w:outlineLvl w:val="2"/>
    </w:pPr>
    <w:rPr>
      <w:b/>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宋体"/>
    </w:rPr>
  </w:style>
  <w:style w:type="paragraph" w:styleId="6">
    <w:name w:val="Normal Indent"/>
    <w:basedOn w:val="1"/>
    <w:next w:val="1"/>
    <w:qFormat/>
    <w:uiPriority w:val="0"/>
    <w:pPr>
      <w:widowControl w:val="0"/>
      <w:ind w:firstLine="200" w:firstLineChars="200"/>
      <w:jc w:val="both"/>
    </w:pPr>
    <w:rPr>
      <w:rFonts w:ascii="Calibri" w:hAnsi="Calibri" w:eastAsia="仿宋_GB2312" w:cs="Times New Roman"/>
      <w:snapToGrid w:val="0"/>
      <w:kern w:val="21"/>
      <w:sz w:val="32"/>
      <w:szCs w:val="32"/>
      <w:lang w:val="en-US" w:eastAsia="zh-CN" w:bidi="ar-SA"/>
    </w:rPr>
  </w:style>
  <w:style w:type="paragraph" w:styleId="7">
    <w:name w:val="annotation text"/>
    <w:basedOn w:val="1"/>
    <w:qFormat/>
    <w:uiPriority w:val="0"/>
    <w:pPr>
      <w:jc w:val="left"/>
    </w:pPr>
  </w:style>
  <w:style w:type="paragraph" w:styleId="8">
    <w:name w:val="Body Text"/>
    <w:basedOn w:val="1"/>
    <w:next w:val="9"/>
    <w:qFormat/>
    <w:uiPriority w:val="0"/>
    <w:rPr>
      <w:rFonts w:ascii="宋体" w:hAnsi="宋体" w:eastAsia="宋体"/>
      <w:sz w:val="18"/>
    </w:rPr>
  </w:style>
  <w:style w:type="paragraph" w:styleId="9">
    <w:name w:val="toc 5"/>
    <w:basedOn w:val="1"/>
    <w:next w:val="1"/>
    <w:unhideWhenUsed/>
    <w:qFormat/>
    <w:uiPriority w:val="39"/>
    <w:pPr>
      <w:ind w:left="1680"/>
    </w:pPr>
    <w:rPr>
      <w:rFonts w:ascii="Times New Roman" w:hAnsi="Times New Roman" w:eastAsia="宋体" w:cs="Times New Roman"/>
      <w:sz w:val="30"/>
      <w:szCs w:val="24"/>
    </w:rPr>
  </w:style>
  <w:style w:type="paragraph" w:styleId="10">
    <w:name w:val="Body Text Indent"/>
    <w:basedOn w:val="1"/>
    <w:next w:val="6"/>
    <w:unhideWhenUsed/>
    <w:qFormat/>
    <w:uiPriority w:val="99"/>
    <w:pPr>
      <w:spacing w:after="120"/>
      <w:ind w:left="420" w:leftChars="200"/>
    </w:pPr>
  </w:style>
  <w:style w:type="paragraph" w:styleId="11">
    <w:name w:val="Body Text Indent 2"/>
    <w:basedOn w:val="1"/>
    <w:next w:val="8"/>
    <w:unhideWhenUsed/>
    <w:qFormat/>
    <w:uiPriority w:val="99"/>
    <w:pPr>
      <w:ind w:firstLine="630"/>
    </w:pPr>
    <w:rPr>
      <w:rFonts w:eastAsia="宋体" w:cs="Times New Roman"/>
      <w:b/>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pPr>
      <w:ind w:firstLine="320" w:firstLineChars="100"/>
    </w:pPr>
    <w:rPr>
      <w:rFonts w:ascii="Times New Roman" w:hAnsi="Times New Roman" w:eastAsia="黑体"/>
    </w:rPr>
  </w:style>
  <w:style w:type="paragraph" w:styleId="15">
    <w:name w:val="footnote text"/>
    <w:basedOn w:val="1"/>
    <w:qFormat/>
    <w:uiPriority w:val="0"/>
    <w:pPr>
      <w:snapToGrid w:val="0"/>
      <w:jc w:val="left"/>
    </w:pPr>
    <w:rPr>
      <w:sz w:val="18"/>
    </w:rPr>
  </w:style>
  <w:style w:type="paragraph" w:styleId="16">
    <w:name w:val="toc 2"/>
    <w:basedOn w:val="1"/>
    <w:next w:val="1"/>
    <w:link w:val="32"/>
    <w:qFormat/>
    <w:uiPriority w:val="0"/>
    <w:pPr>
      <w:ind w:left="420" w:leftChars="200" w:firstLine="0" w:firstLineChars="0"/>
    </w:pPr>
    <w:rPr>
      <w:rFonts w:ascii="Times New Roman" w:hAnsi="Times New Roman"/>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8"/>
    <w:qFormat/>
    <w:uiPriority w:val="0"/>
    <w:pPr>
      <w:spacing w:line="240" w:lineRule="auto"/>
      <w:ind w:firstLine="420" w:firstLineChars="100"/>
    </w:pPr>
    <w:rPr>
      <w:color w:val="auto"/>
      <w:spacing w:val="0"/>
      <w:kern w:val="2"/>
      <w:position w:val="0"/>
      <w:sz w:val="21"/>
      <w:szCs w:val="24"/>
    </w:rPr>
  </w:style>
  <w:style w:type="paragraph" w:styleId="19">
    <w:name w:val="Body Text First Indent 2"/>
    <w:basedOn w:val="10"/>
    <w:next w:val="1"/>
    <w:qFormat/>
    <w:uiPriority w:val="0"/>
    <w:pPr>
      <w:spacing w:after="0"/>
      <w:ind w:firstLine="420" w:firstLineChars="200"/>
    </w:pPr>
    <w:rPr>
      <w:rFonts w:eastAsia="宋体" w:cs="Times New Roman"/>
      <w:szCs w:val="20"/>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footnote reference"/>
    <w:basedOn w:val="22"/>
    <w:qFormat/>
    <w:uiPriority w:val="0"/>
    <w:rPr>
      <w:vertAlign w:val="superscript"/>
    </w:rPr>
  </w:style>
  <w:style w:type="character" w:customStyle="1" w:styleId="25">
    <w:name w:val="NormalCharacter"/>
    <w:link w:val="26"/>
    <w:qFormat/>
    <w:uiPriority w:val="0"/>
  </w:style>
  <w:style w:type="paragraph" w:customStyle="1" w:styleId="26">
    <w:name w:val="UserStyle_4"/>
    <w:basedOn w:val="27"/>
    <w:link w:val="25"/>
    <w:qFormat/>
    <w:uiPriority w:val="0"/>
    <w:pPr>
      <w:widowControl/>
      <w:spacing w:after="160" w:afterLines="0" w:line="240" w:lineRule="exact"/>
      <w:jc w:val="left"/>
      <w:textAlignment w:val="baseline"/>
    </w:pPr>
  </w:style>
  <w:style w:type="paragraph" w:customStyle="1" w:styleId="27">
    <w:name w:val="UserStyle_5"/>
    <w:qFormat/>
    <w:uiPriority w:val="0"/>
    <w:pPr>
      <w:jc w:val="both"/>
      <w:textAlignment w:val="baseline"/>
    </w:pPr>
    <w:rPr>
      <w:rFonts w:ascii="Times New Roman" w:hAnsi="Times New Roman" w:eastAsia="宋体" w:cs="黑体"/>
      <w:kern w:val="2"/>
      <w:sz w:val="21"/>
      <w:szCs w:val="22"/>
      <w:lang w:val="en-US" w:eastAsia="zh-CN" w:bidi="ar-SA"/>
    </w:rPr>
  </w:style>
  <w:style w:type="paragraph" w:customStyle="1" w:styleId="28">
    <w:name w:val="_Style 5"/>
    <w:qFormat/>
    <w:uiPriority w:val="0"/>
    <w:pPr>
      <w:widowControl w:val="0"/>
      <w:ind w:firstLine="200" w:firstLineChars="200"/>
      <w:jc w:val="both"/>
    </w:pPr>
    <w:rPr>
      <w:rFonts w:ascii="Times New Roman" w:hAnsi="Times New Roman" w:eastAsia="宋体" w:cs="黑体"/>
      <w:kern w:val="2"/>
      <w:sz w:val="24"/>
      <w:szCs w:val="22"/>
      <w:lang w:val="en-US" w:eastAsia="zh-CN" w:bidi="ar-SA"/>
    </w:rPr>
  </w:style>
  <w:style w:type="paragraph" w:customStyle="1" w:styleId="29">
    <w:name w:val="专栏内容"/>
    <w:basedOn w:val="8"/>
    <w:next w:val="1"/>
    <w:qFormat/>
    <w:uiPriority w:val="0"/>
    <w:pPr>
      <w:widowControl/>
      <w:spacing w:line="380" w:lineRule="exact"/>
      <w:ind w:firstLine="640" w:firstLineChars="200"/>
      <w:jc w:val="both"/>
      <w:textAlignment w:val="center"/>
    </w:pPr>
    <w:rPr>
      <w:rFonts w:hint="eastAsia" w:ascii="Times New Roman" w:hAnsi="Times New Roman" w:eastAsia="方正仿宋_GBK" w:cs="仿宋"/>
      <w:color w:val="000000"/>
      <w:kern w:val="0"/>
      <w:sz w:val="28"/>
      <w:szCs w:val="21"/>
      <w:u w:val="none"/>
      <w:lang w:bidi="ar"/>
    </w:rPr>
  </w:style>
  <w:style w:type="paragraph" w:customStyle="1" w:styleId="30">
    <w:name w:val="图表标题"/>
    <w:qFormat/>
    <w:uiPriority w:val="0"/>
    <w:pPr>
      <w:ind w:leftChars="0"/>
      <w:jc w:val="center"/>
    </w:pPr>
    <w:rPr>
      <w:rFonts w:ascii="Times New Roman" w:hAnsi="Times New Roman" w:eastAsia="楷体" w:cs="Times New Roman"/>
      <w:sz w:val="28"/>
      <w:szCs w:val="20"/>
    </w:rPr>
  </w:style>
  <w:style w:type="paragraph" w:customStyle="1" w:styleId="31">
    <w:name w:val="专栏标题"/>
    <w:basedOn w:val="1"/>
    <w:next w:val="1"/>
    <w:qFormat/>
    <w:uiPriority w:val="0"/>
    <w:pPr>
      <w:spacing w:line="560" w:lineRule="exact"/>
      <w:ind w:firstLine="0" w:firstLineChars="0"/>
      <w:jc w:val="center"/>
    </w:pPr>
    <w:rPr>
      <w:rFonts w:hint="default" w:eastAsia="黑体"/>
      <w:color w:val="auto"/>
      <w:sz w:val="30"/>
    </w:rPr>
  </w:style>
  <w:style w:type="character" w:customStyle="1" w:styleId="32">
    <w:name w:val="目录 2 Char"/>
    <w:link w:val="16"/>
    <w:qFormat/>
    <w:uiPriority w:val="0"/>
    <w:rPr>
      <w:rFonts w:ascii="Times New Roman" w:hAnsi="Times New Roman" w:eastAsia="仿宋_GB2312"/>
    </w:rPr>
  </w:style>
  <w:style w:type="paragraph" w:customStyle="1" w:styleId="33">
    <w:name w:val="正文 New New New New New New New New"/>
    <w:qFormat/>
    <w:uiPriority w:val="0"/>
    <w:pPr>
      <w:widowControl w:val="0"/>
      <w:jc w:val="both"/>
    </w:pPr>
    <w:rPr>
      <w:rFonts w:ascii="Calibri" w:hAnsi="Calibri" w:eastAsia="宋体" w:cs="黑体"/>
      <w:kern w:val="2"/>
      <w:sz w:val="21"/>
      <w:szCs w:val="24"/>
      <w:lang w:val="en-US" w:eastAsia="zh-CN" w:bidi="ar-SA"/>
    </w:rPr>
  </w:style>
  <w:style w:type="table" w:customStyle="1" w:styleId="34">
    <w:name w:val="网格型2"/>
    <w:basedOn w:val="2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5">
    <w:name w:val="表格"/>
    <w:basedOn w:val="1"/>
    <w:qFormat/>
    <w:uiPriority w:val="0"/>
    <w:pPr>
      <w:spacing w:line="500" w:lineRule="exact"/>
      <w:ind w:firstLine="0" w:firstLineChars="0"/>
      <w:jc w:val="center"/>
    </w:pPr>
    <w:rPr>
      <w:rFonts w:ascii="Times New Roman" w:hAnsi="Times New Roman"/>
      <w:color w:val="333333"/>
      <w:sz w:val="28"/>
    </w:rPr>
  </w:style>
  <w:style w:type="paragraph" w:customStyle="1" w:styleId="36">
    <w:name w:val="Normal Indent1"/>
    <w:basedOn w:val="1"/>
    <w:qFormat/>
    <w:uiPriority w:val="0"/>
    <w:pPr>
      <w:ind w:firstLine="200" w:firstLineChars="200"/>
    </w:pPr>
    <w:rPr>
      <w:rFonts w:ascii="Times New Roman" w:hAnsi="Times New Roman"/>
    </w:rPr>
  </w:style>
  <w:style w:type="paragraph" w:customStyle="1" w:styleId="37">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7477</Words>
  <Characters>7870</Characters>
  <Lines>0</Lines>
  <Paragraphs>0</Paragraphs>
  <TotalTime>24</TotalTime>
  <ScaleCrop>false</ScaleCrop>
  <LinksUpToDate>false</LinksUpToDate>
  <CharactersWithSpaces>8053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2025-05-07T01:26:00Z</dcterms:created>
  <dc:creator>林衍豪</dc:creator>
  <cp:lastModifiedBy>bs03</cp:lastModifiedBy>
  <cp:lastPrinted>2026-04-24T00:28:00Z</cp:lastPrinted>
  <dcterms:modified xsi:type="dcterms:W3CDTF">2026-07-30T10:32:48Z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804A3DA4C02E6381E7604C6A14C819A2</vt:lpwstr>
  </property>
  <property fmtid="{D5CDD505-2E9C-101B-9397-08002B2CF9AE}" pid="4" name="KSOTemplateDocerSaveRecord">
    <vt:lpwstr>eyJoZGlkIjoiMDQ0ZjBkYTJkZmQxZjhhMWNlNTc4MDQ5NzU2YTI2ZjIiLCJ1c2VySWQiOiIyNzk1NjkyNTQifQ==</vt:lpwstr>
  </property>
</Properties>
</file>