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ind w:firstLine="0" w:firstLineChars="0"/>
        <w:rPr>
          <w:color w:val="auto"/>
          <w:sz w:val="28"/>
          <w:szCs w:val="28"/>
        </w:rPr>
      </w:pPr>
    </w:p>
    <w:p>
      <w:pPr>
        <w:tabs>
          <w:tab w:val="left" w:pos="3125"/>
        </w:tabs>
        <w:snapToGrid w:val="0"/>
        <w:ind w:firstLine="0" w:firstLineChars="0"/>
        <w:rPr>
          <w:rFonts w:hint="eastAsia" w:eastAsia="宋体"/>
          <w:i w:val="0"/>
          <w:iCs w:val="0"/>
          <w:color w:val="auto"/>
          <w:sz w:val="28"/>
          <w:szCs w:val="28"/>
          <w:lang w:eastAsia="zh-CN"/>
        </w:rPr>
      </w:pPr>
      <w:r>
        <w:rPr>
          <w:rFonts w:hint="eastAsia"/>
          <w:i w:val="0"/>
          <w:iCs w:val="0"/>
          <w:color w:val="auto"/>
          <w:sz w:val="28"/>
          <w:szCs w:val="28"/>
          <w:lang w:eastAsia="zh-CN"/>
        </w:rPr>
        <w:tab/>
      </w:r>
    </w:p>
    <w:p>
      <w:pPr>
        <w:tabs>
          <w:tab w:val="left" w:pos="7501"/>
        </w:tabs>
        <w:snapToGrid w:val="0"/>
        <w:ind w:firstLine="0" w:firstLineChars="0"/>
        <w:rPr>
          <w:i w:val="0"/>
          <w:iCs w:val="0"/>
          <w:color w:val="auto"/>
          <w:sz w:val="28"/>
          <w:szCs w:val="28"/>
        </w:rPr>
      </w:pPr>
      <w:r>
        <w:rPr>
          <w:i w:val="0"/>
          <w:iCs w:val="0"/>
          <w:color w:val="auto"/>
          <w:sz w:val="28"/>
          <w:szCs w:val="28"/>
        </w:rPr>
        <w:tab/>
      </w:r>
      <w:bookmarkStart w:id="198" w:name="_GoBack"/>
      <w:bookmarkEnd w:id="198"/>
    </w:p>
    <w:p>
      <w:pPr>
        <w:snapToGrid w:val="0"/>
        <w:ind w:firstLine="0" w:firstLineChars="0"/>
        <w:jc w:val="center"/>
        <w:rPr>
          <w:rFonts w:hint="eastAsia" w:ascii="黑体" w:hAnsi="黑体" w:eastAsia="黑体"/>
          <w:b/>
          <w:i w:val="0"/>
          <w:iCs w:val="0"/>
          <w:color w:val="auto"/>
          <w:sz w:val="44"/>
          <w:szCs w:val="44"/>
          <w:lang w:eastAsia="zh-CN"/>
        </w:rPr>
      </w:pPr>
      <w:r>
        <w:rPr>
          <w:rFonts w:hint="eastAsia" w:ascii="黑体" w:hAnsi="黑体" w:eastAsia="黑体"/>
          <w:b/>
          <w:i w:val="0"/>
          <w:iCs w:val="0"/>
          <w:color w:val="auto"/>
          <w:sz w:val="44"/>
          <w:szCs w:val="44"/>
          <w:lang w:eastAsia="zh-CN"/>
        </w:rPr>
        <w:t>清远市滨江河三坑滩饮用水水源保护区</w:t>
      </w:r>
    </w:p>
    <w:p>
      <w:pPr>
        <w:snapToGrid w:val="0"/>
        <w:ind w:firstLine="0" w:firstLineChars="0"/>
        <w:jc w:val="center"/>
        <w:rPr>
          <w:rFonts w:ascii="黑体" w:hAnsi="黑体" w:eastAsia="黑体"/>
          <w:b/>
          <w:i w:val="0"/>
          <w:iCs w:val="0"/>
          <w:color w:val="auto"/>
          <w:sz w:val="44"/>
          <w:szCs w:val="44"/>
        </w:rPr>
      </w:pPr>
      <w:r>
        <w:rPr>
          <w:rFonts w:hint="eastAsia" w:ascii="黑体" w:hAnsi="黑体" w:eastAsia="黑体"/>
          <w:b/>
          <w:i w:val="0"/>
          <w:iCs w:val="0"/>
          <w:color w:val="auto"/>
          <w:sz w:val="44"/>
          <w:szCs w:val="44"/>
          <w:lang w:eastAsia="zh-CN"/>
        </w:rPr>
        <w:t>突发生态环境事件</w:t>
      </w:r>
      <w:r>
        <w:rPr>
          <w:rFonts w:ascii="黑体" w:hAnsi="黑体" w:eastAsia="黑体"/>
          <w:b/>
          <w:i w:val="0"/>
          <w:iCs w:val="0"/>
          <w:color w:val="auto"/>
          <w:sz w:val="44"/>
          <w:szCs w:val="44"/>
        </w:rPr>
        <w:t>应急预案</w:t>
      </w:r>
    </w:p>
    <w:p>
      <w:pPr>
        <w:snapToGrid w:val="0"/>
        <w:ind w:firstLine="0" w:firstLineChars="0"/>
        <w:jc w:val="center"/>
        <w:rPr>
          <w:rFonts w:hint="eastAsia" w:ascii="黑体" w:hAnsi="黑体" w:eastAsia="黑体"/>
          <w:b/>
          <w:i w:val="0"/>
          <w:iCs w:val="0"/>
          <w:color w:val="auto"/>
          <w:sz w:val="44"/>
          <w:szCs w:val="44"/>
          <w:lang w:eastAsia="zh-CN"/>
        </w:rPr>
      </w:pPr>
      <w:r>
        <w:rPr>
          <w:rFonts w:hint="eastAsia" w:ascii="黑体" w:hAnsi="黑体" w:eastAsia="黑体"/>
          <w:b/>
          <w:i w:val="0"/>
          <w:iCs w:val="0"/>
          <w:color w:val="auto"/>
          <w:sz w:val="44"/>
          <w:szCs w:val="44"/>
          <w:lang w:eastAsia="zh-CN"/>
        </w:rPr>
        <w:t>（</w:t>
      </w:r>
      <w:r>
        <w:rPr>
          <w:rFonts w:hint="eastAsia" w:ascii="黑体" w:hAnsi="黑体" w:eastAsia="黑体"/>
          <w:b/>
          <w:i w:val="0"/>
          <w:iCs w:val="0"/>
          <w:color w:val="auto"/>
          <w:sz w:val="44"/>
          <w:szCs w:val="44"/>
          <w:lang w:val="en-US" w:eastAsia="zh-CN"/>
        </w:rPr>
        <w:t>2026年修订版</w:t>
      </w:r>
      <w:r>
        <w:rPr>
          <w:rFonts w:hint="eastAsia" w:ascii="黑体" w:hAnsi="黑体" w:eastAsia="黑体"/>
          <w:b/>
          <w:i w:val="0"/>
          <w:iCs w:val="0"/>
          <w:color w:val="auto"/>
          <w:sz w:val="44"/>
          <w:szCs w:val="44"/>
          <w:lang w:eastAsia="zh-CN"/>
        </w:rPr>
        <w:t>）</w:t>
      </w:r>
    </w:p>
    <w:p>
      <w:pPr>
        <w:tabs>
          <w:tab w:val="left" w:pos="3228"/>
        </w:tabs>
        <w:snapToGrid w:val="0"/>
        <w:spacing w:line="240" w:lineRule="auto"/>
        <w:ind w:firstLine="0" w:firstLineChars="0"/>
        <w:jc w:val="left"/>
        <w:rPr>
          <w:rFonts w:hint="eastAsia" w:ascii="黑体" w:hAnsi="黑体" w:eastAsia="黑体"/>
          <w:b/>
          <w:i w:val="0"/>
          <w:iCs w:val="0"/>
          <w:color w:val="auto"/>
          <w:sz w:val="44"/>
          <w:szCs w:val="44"/>
          <w:lang w:eastAsia="zh-CN"/>
        </w:rPr>
      </w:pPr>
      <w:r>
        <w:rPr>
          <w:rFonts w:hint="eastAsia" w:ascii="黑体" w:hAnsi="黑体" w:eastAsia="黑体"/>
          <w:b/>
          <w:i w:val="0"/>
          <w:iCs w:val="0"/>
          <w:color w:val="auto"/>
          <w:sz w:val="44"/>
          <w:szCs w:val="44"/>
          <w:lang w:eastAsia="zh-CN"/>
        </w:rPr>
        <w:tab/>
      </w:r>
    </w:p>
    <w:p>
      <w:pPr>
        <w:snapToGrid w:val="0"/>
        <w:spacing w:line="240" w:lineRule="auto"/>
        <w:ind w:firstLine="0" w:firstLineChars="0"/>
        <w:jc w:val="center"/>
        <w:rPr>
          <w:rFonts w:ascii="黑体" w:hAnsi="黑体" w:eastAsia="黑体"/>
          <w:b/>
          <w:i w:val="0"/>
          <w:iCs w:val="0"/>
          <w:color w:val="auto"/>
          <w:sz w:val="44"/>
          <w:szCs w:val="44"/>
        </w:rPr>
      </w:pPr>
    </w:p>
    <w:p>
      <w:pPr>
        <w:spacing w:line="480" w:lineRule="auto"/>
        <w:ind w:firstLine="0" w:firstLineChars="0"/>
        <w:jc w:val="center"/>
        <w:rPr>
          <w:b/>
          <w:i w:val="0"/>
          <w:iCs w:val="0"/>
          <w:color w:val="auto"/>
          <w:sz w:val="28"/>
          <w:szCs w:val="28"/>
        </w:rPr>
      </w:pPr>
    </w:p>
    <w:p>
      <w:pPr>
        <w:spacing w:line="480" w:lineRule="auto"/>
        <w:ind w:firstLine="0" w:firstLineChars="0"/>
        <w:jc w:val="center"/>
        <w:rPr>
          <w:b/>
          <w:i w:val="0"/>
          <w:iCs w:val="0"/>
          <w:color w:val="auto"/>
          <w:sz w:val="28"/>
          <w:szCs w:val="28"/>
        </w:rPr>
      </w:pPr>
    </w:p>
    <w:p>
      <w:pPr>
        <w:spacing w:line="480" w:lineRule="auto"/>
        <w:ind w:firstLine="0" w:firstLineChars="0"/>
        <w:jc w:val="center"/>
        <w:rPr>
          <w:b/>
          <w:i w:val="0"/>
          <w:iCs w:val="0"/>
          <w:color w:val="auto"/>
          <w:sz w:val="28"/>
          <w:szCs w:val="28"/>
        </w:rPr>
      </w:pPr>
    </w:p>
    <w:p>
      <w:pPr>
        <w:spacing w:line="480" w:lineRule="auto"/>
        <w:ind w:firstLine="0" w:firstLineChars="0"/>
        <w:jc w:val="center"/>
        <w:rPr>
          <w:b/>
          <w:i w:val="0"/>
          <w:iCs w:val="0"/>
          <w:color w:val="auto"/>
          <w:sz w:val="28"/>
          <w:szCs w:val="28"/>
        </w:rPr>
      </w:pPr>
    </w:p>
    <w:p>
      <w:pPr>
        <w:spacing w:line="480" w:lineRule="auto"/>
        <w:ind w:firstLine="0" w:firstLineChars="0"/>
        <w:jc w:val="center"/>
        <w:rPr>
          <w:b/>
          <w:i w:val="0"/>
          <w:iCs w:val="0"/>
          <w:color w:val="auto"/>
          <w:sz w:val="28"/>
          <w:szCs w:val="28"/>
        </w:rPr>
      </w:pPr>
    </w:p>
    <w:p>
      <w:pPr>
        <w:spacing w:line="480" w:lineRule="auto"/>
        <w:ind w:firstLine="0" w:firstLineChars="0"/>
        <w:jc w:val="center"/>
        <w:rPr>
          <w:b/>
          <w:i w:val="0"/>
          <w:iCs w:val="0"/>
          <w:color w:val="auto"/>
          <w:sz w:val="28"/>
          <w:szCs w:val="28"/>
        </w:rPr>
      </w:pPr>
    </w:p>
    <w:p>
      <w:pPr>
        <w:snapToGrid w:val="0"/>
        <w:ind w:left="0" w:leftChars="0" w:firstLine="0" w:firstLineChars="0"/>
        <w:rPr>
          <w:b/>
          <w:i w:val="0"/>
          <w:iCs w:val="0"/>
          <w:color w:val="auto"/>
          <w:sz w:val="36"/>
          <w:szCs w:val="36"/>
        </w:rPr>
      </w:pPr>
    </w:p>
    <w:p>
      <w:pPr>
        <w:snapToGrid w:val="0"/>
        <w:ind w:firstLine="1500" w:firstLineChars="500"/>
        <w:rPr>
          <w:rFonts w:hint="eastAsia" w:eastAsia="黑体"/>
          <w:bCs/>
          <w:i w:val="0"/>
          <w:iCs w:val="0"/>
          <w:color w:val="auto"/>
          <w:sz w:val="30"/>
          <w:szCs w:val="30"/>
        </w:rPr>
      </w:pPr>
    </w:p>
    <w:p>
      <w:pPr>
        <w:snapToGrid w:val="0"/>
        <w:ind w:firstLine="1500" w:firstLineChars="500"/>
        <w:rPr>
          <w:rFonts w:hint="eastAsia" w:eastAsia="黑体"/>
          <w:bCs/>
          <w:i w:val="0"/>
          <w:iCs w:val="0"/>
          <w:color w:val="auto"/>
          <w:sz w:val="30"/>
          <w:szCs w:val="30"/>
          <w:lang w:val="en-US" w:eastAsia="zh-CN"/>
        </w:rPr>
      </w:pPr>
    </w:p>
    <w:p>
      <w:pPr>
        <w:snapToGrid w:val="0"/>
        <w:ind w:firstLine="1500" w:firstLineChars="500"/>
        <w:rPr>
          <w:rFonts w:hint="default" w:eastAsia="黑体"/>
          <w:bCs/>
          <w:i w:val="0"/>
          <w:iCs w:val="0"/>
          <w:color w:val="auto"/>
          <w:sz w:val="30"/>
          <w:szCs w:val="30"/>
          <w:lang w:val="en-US" w:eastAsia="zh-CN"/>
        </w:rPr>
      </w:pPr>
      <w:r>
        <w:rPr>
          <w:rFonts w:hint="eastAsia" w:eastAsia="黑体"/>
          <w:bCs/>
          <w:i w:val="0"/>
          <w:iCs w:val="0"/>
          <w:color w:val="auto"/>
          <w:sz w:val="30"/>
          <w:szCs w:val="30"/>
          <w:lang w:val="en-US" w:eastAsia="zh-CN"/>
        </w:rPr>
        <w:t>版        本：第二版</w:t>
      </w:r>
    </w:p>
    <w:p>
      <w:pPr>
        <w:snapToGrid w:val="0"/>
        <w:ind w:firstLine="1500" w:firstLineChars="500"/>
        <w:rPr>
          <w:rFonts w:eastAsia="黑体"/>
          <w:bCs/>
          <w:i w:val="0"/>
          <w:iCs w:val="0"/>
          <w:color w:val="auto"/>
          <w:sz w:val="30"/>
          <w:szCs w:val="30"/>
        </w:rPr>
      </w:pPr>
      <w:r>
        <w:rPr>
          <w:rFonts w:hint="eastAsia" w:eastAsia="黑体"/>
          <w:bCs/>
          <w:i w:val="0"/>
          <w:iCs w:val="0"/>
          <w:color w:val="auto"/>
          <w:sz w:val="30"/>
          <w:szCs w:val="30"/>
          <w:lang w:val="en-US" w:eastAsia="zh-CN"/>
        </w:rPr>
        <w:t>修编</w:t>
      </w:r>
      <w:r>
        <w:rPr>
          <w:rFonts w:hint="eastAsia" w:eastAsia="黑体"/>
          <w:bCs/>
          <w:i w:val="0"/>
          <w:iCs w:val="0"/>
          <w:color w:val="auto"/>
          <w:sz w:val="30"/>
          <w:szCs w:val="30"/>
        </w:rPr>
        <w:t>日期：二〇二</w:t>
      </w:r>
      <w:r>
        <w:rPr>
          <w:rFonts w:hint="eastAsia" w:eastAsia="黑体"/>
          <w:bCs/>
          <w:i w:val="0"/>
          <w:iCs w:val="0"/>
          <w:color w:val="auto"/>
          <w:sz w:val="30"/>
          <w:szCs w:val="30"/>
          <w:lang w:val="en-US" w:eastAsia="zh-CN"/>
        </w:rPr>
        <w:t>六</w:t>
      </w:r>
      <w:r>
        <w:rPr>
          <w:rFonts w:hint="eastAsia" w:eastAsia="黑体"/>
          <w:bCs/>
          <w:i w:val="0"/>
          <w:iCs w:val="0"/>
          <w:color w:val="auto"/>
          <w:sz w:val="30"/>
          <w:szCs w:val="30"/>
        </w:rPr>
        <w:t>年</w:t>
      </w:r>
      <w:r>
        <w:rPr>
          <w:rFonts w:hint="eastAsia" w:eastAsia="黑体"/>
          <w:bCs/>
          <w:i w:val="0"/>
          <w:iCs w:val="0"/>
          <w:color w:val="auto"/>
          <w:sz w:val="30"/>
          <w:szCs w:val="30"/>
          <w:lang w:val="en-US" w:eastAsia="zh-CN"/>
        </w:rPr>
        <w:t>七</w:t>
      </w:r>
      <w:r>
        <w:rPr>
          <w:rFonts w:hint="eastAsia" w:eastAsia="黑体"/>
          <w:bCs/>
          <w:i w:val="0"/>
          <w:iCs w:val="0"/>
          <w:color w:val="auto"/>
          <w:sz w:val="30"/>
          <w:szCs w:val="30"/>
        </w:rPr>
        <w:t>月</w:t>
      </w:r>
    </w:p>
    <w:p>
      <w:pPr>
        <w:snapToGrid w:val="0"/>
        <w:ind w:firstLine="0" w:firstLineChars="0"/>
        <w:jc w:val="center"/>
        <w:rPr>
          <w:b/>
          <w:i w:val="0"/>
          <w:iCs w:val="0"/>
          <w:color w:val="auto"/>
          <w:sz w:val="28"/>
          <w:szCs w:val="28"/>
        </w:rPr>
        <w:sectPr>
          <w:footerReference r:id="rId8" w:type="first"/>
          <w:headerReference r:id="rId5" w:type="default"/>
          <w:footerReference r:id="rId6" w:type="default"/>
          <w:footerReference r:id="rId7" w:type="even"/>
          <w:type w:val="continuous"/>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425" w:num="1"/>
          <w:docGrid w:type="lines" w:linePitch="326" w:charSpace="0"/>
        </w:sectPr>
      </w:pPr>
    </w:p>
    <w:p>
      <w:pPr>
        <w:pStyle w:val="27"/>
        <w:keepNext w:val="0"/>
        <w:keepLines w:val="0"/>
        <w:pageBreakBefore w:val="0"/>
        <w:widowControl w:val="0"/>
        <w:tabs>
          <w:tab w:val="right" w:leader="dot" w:pos="8296"/>
        </w:tabs>
        <w:kinsoku/>
        <w:wordWrap/>
        <w:overflowPunct/>
        <w:topLinePunct w:val="0"/>
        <w:autoSpaceDE/>
        <w:autoSpaceDN/>
        <w:bidi w:val="0"/>
        <w:adjustRightInd/>
        <w:snapToGrid/>
        <w:spacing w:line="600" w:lineRule="exact"/>
        <w:ind w:firstLine="0" w:firstLineChars="0"/>
        <w:jc w:val="center"/>
        <w:textAlignment w:val="auto"/>
        <w:rPr>
          <w:rFonts w:ascii="Times New Roman" w:hAnsi="Times New Roman"/>
          <w:i w:val="0"/>
          <w:iCs w:val="0"/>
          <w:color w:val="auto"/>
          <w:sz w:val="28"/>
          <w:szCs w:val="28"/>
        </w:rPr>
      </w:pPr>
      <w:bookmarkStart w:id="0" w:name="_Toc19613753"/>
      <w:bookmarkStart w:id="1" w:name="_Toc20044351"/>
      <w:bookmarkStart w:id="2" w:name="_Toc23950411"/>
      <w:r>
        <w:rPr>
          <w:rFonts w:ascii="Times New Roman" w:hAnsi="Times New Roman"/>
          <w:i w:val="0"/>
          <w:iCs w:val="0"/>
          <w:color w:val="auto"/>
          <w:sz w:val="28"/>
          <w:szCs w:val="28"/>
        </w:rPr>
        <w:t>目 录</w:t>
      </w:r>
      <w:bookmarkEnd w:id="0"/>
      <w:bookmarkEnd w:id="1"/>
      <w:bookmarkEnd w:id="2"/>
    </w:p>
    <w:p>
      <w:pPr>
        <w:pStyle w:val="27"/>
        <w:tabs>
          <w:tab w:val="right" w:leader="dot" w:pos="8306"/>
        </w:tabs>
        <w:rPr>
          <w:i w:val="0"/>
          <w:iCs w:val="0"/>
        </w:rPr>
      </w:pPr>
      <w:r>
        <w:rPr>
          <w:rFonts w:ascii="Times New Roman" w:hAnsi="Times New Roman" w:eastAsiaTheme="majorEastAsia"/>
          <w:b w:val="0"/>
          <w:i w:val="0"/>
          <w:iCs w:val="0"/>
          <w:color w:val="auto"/>
          <w:sz w:val="21"/>
          <w:szCs w:val="21"/>
        </w:rPr>
        <w:fldChar w:fldCharType="begin"/>
      </w:r>
      <w:r>
        <w:rPr>
          <w:rFonts w:ascii="Times New Roman" w:hAnsi="Times New Roman" w:eastAsiaTheme="majorEastAsia"/>
          <w:b w:val="0"/>
          <w:i w:val="0"/>
          <w:iCs w:val="0"/>
          <w:color w:val="auto"/>
          <w:sz w:val="21"/>
          <w:szCs w:val="21"/>
        </w:rPr>
        <w:instrText xml:space="preserve"> TOC \o "1-3" \h \z \u </w:instrText>
      </w:r>
      <w:r>
        <w:rPr>
          <w:rFonts w:ascii="Times New Roman" w:hAnsi="Times New Roman" w:eastAsiaTheme="majorEastAsia"/>
          <w:b w:val="0"/>
          <w:i w:val="0"/>
          <w:iCs w:val="0"/>
          <w:color w:val="auto"/>
          <w:sz w:val="21"/>
          <w:szCs w:val="21"/>
        </w:rPr>
        <w:fldChar w:fldCharType="separate"/>
      </w:r>
      <w:r>
        <w:rPr>
          <w:rFonts w:ascii="Times New Roman" w:hAnsi="Times New Roman" w:eastAsiaTheme="majorEastAsia"/>
          <w:i w:val="0"/>
          <w:iCs w:val="0"/>
          <w:color w:val="auto"/>
          <w:szCs w:val="21"/>
        </w:rPr>
        <w:fldChar w:fldCharType="begin"/>
      </w:r>
      <w:r>
        <w:rPr>
          <w:rFonts w:ascii="Times New Roman" w:hAnsi="Times New Roman" w:eastAsiaTheme="majorEastAsia"/>
          <w:i w:val="0"/>
          <w:iCs w:val="0"/>
          <w:szCs w:val="21"/>
        </w:rPr>
        <w:instrText xml:space="preserve"> HYPERLINK \l _Toc31135 </w:instrText>
      </w:r>
      <w:r>
        <w:rPr>
          <w:rFonts w:ascii="Times New Roman" w:hAnsi="Times New Roman" w:eastAsiaTheme="majorEastAsia"/>
          <w:i w:val="0"/>
          <w:iCs w:val="0"/>
          <w:szCs w:val="21"/>
        </w:rPr>
        <w:fldChar w:fldCharType="separate"/>
      </w:r>
      <w:r>
        <w:rPr>
          <w:i w:val="0"/>
          <w:iCs w:val="0"/>
          <w:szCs w:val="32"/>
        </w:rPr>
        <w:t>1 总则</w:t>
      </w:r>
      <w:r>
        <w:rPr>
          <w:i w:val="0"/>
          <w:iCs w:val="0"/>
        </w:rPr>
        <w:tab/>
      </w:r>
      <w:r>
        <w:rPr>
          <w:i w:val="0"/>
          <w:iCs w:val="0"/>
        </w:rPr>
        <w:fldChar w:fldCharType="begin"/>
      </w:r>
      <w:r>
        <w:rPr>
          <w:i w:val="0"/>
          <w:iCs w:val="0"/>
        </w:rPr>
        <w:instrText xml:space="preserve"> PAGEREF _Toc31135 \h </w:instrText>
      </w:r>
      <w:r>
        <w:rPr>
          <w:i w:val="0"/>
          <w:iCs w:val="0"/>
        </w:rPr>
        <w:fldChar w:fldCharType="separate"/>
      </w:r>
      <w:r>
        <w:rPr>
          <w:i w:val="0"/>
          <w:iCs w:val="0"/>
        </w:rPr>
        <w:t>1</w:t>
      </w:r>
      <w:r>
        <w:rPr>
          <w:i w:val="0"/>
          <w:iCs w:val="0"/>
        </w:rPr>
        <w:fldChar w:fldCharType="end"/>
      </w:r>
      <w:r>
        <w:rPr>
          <w:rFonts w:ascii="Times New Roman" w:hAnsi="Times New Roman"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_Toc13897 </w:instrText>
      </w:r>
      <w:r>
        <w:rPr>
          <w:rFonts w:eastAsiaTheme="majorEastAsia"/>
          <w:i w:val="0"/>
          <w:iCs w:val="0"/>
          <w:szCs w:val="21"/>
        </w:rPr>
        <w:fldChar w:fldCharType="separate"/>
      </w:r>
      <w:r>
        <w:rPr>
          <w:i w:val="0"/>
          <w:iCs w:val="0"/>
          <w:szCs w:val="28"/>
        </w:rPr>
        <w:t>1.1 编制目的</w:t>
      </w:r>
      <w:r>
        <w:rPr>
          <w:i w:val="0"/>
          <w:iCs w:val="0"/>
        </w:rPr>
        <w:tab/>
      </w:r>
      <w:r>
        <w:rPr>
          <w:i w:val="0"/>
          <w:iCs w:val="0"/>
        </w:rPr>
        <w:fldChar w:fldCharType="begin"/>
      </w:r>
      <w:r>
        <w:rPr>
          <w:i w:val="0"/>
          <w:iCs w:val="0"/>
        </w:rPr>
        <w:instrText xml:space="preserve"> PAGEREF _Toc13897 \h </w:instrText>
      </w:r>
      <w:r>
        <w:rPr>
          <w:i w:val="0"/>
          <w:iCs w:val="0"/>
        </w:rPr>
        <w:fldChar w:fldCharType="separate"/>
      </w:r>
      <w:r>
        <w:rPr>
          <w:i w:val="0"/>
          <w:iCs w:val="0"/>
        </w:rPr>
        <w:t>1</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_Toc137 </w:instrText>
      </w:r>
      <w:r>
        <w:rPr>
          <w:rFonts w:eastAsiaTheme="majorEastAsia"/>
          <w:i w:val="0"/>
          <w:iCs w:val="0"/>
          <w:szCs w:val="21"/>
        </w:rPr>
        <w:fldChar w:fldCharType="separate"/>
      </w:r>
      <w:r>
        <w:rPr>
          <w:i w:val="0"/>
          <w:iCs w:val="0"/>
          <w:szCs w:val="28"/>
        </w:rPr>
        <w:t>1.2 编制依据</w:t>
      </w:r>
      <w:r>
        <w:rPr>
          <w:i w:val="0"/>
          <w:iCs w:val="0"/>
        </w:rPr>
        <w:tab/>
      </w:r>
      <w:r>
        <w:rPr>
          <w:i w:val="0"/>
          <w:iCs w:val="0"/>
        </w:rPr>
        <w:fldChar w:fldCharType="begin"/>
      </w:r>
      <w:r>
        <w:rPr>
          <w:i w:val="0"/>
          <w:iCs w:val="0"/>
        </w:rPr>
        <w:instrText xml:space="preserve"> PAGEREF _Toc137 \h </w:instrText>
      </w:r>
      <w:r>
        <w:rPr>
          <w:i w:val="0"/>
          <w:iCs w:val="0"/>
        </w:rPr>
        <w:fldChar w:fldCharType="separate"/>
      </w:r>
      <w:r>
        <w:rPr>
          <w:i w:val="0"/>
          <w:iCs w:val="0"/>
        </w:rPr>
        <w:t>1</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_Toc5114 </w:instrText>
      </w:r>
      <w:r>
        <w:rPr>
          <w:rFonts w:eastAsiaTheme="majorEastAsia"/>
          <w:i w:val="0"/>
          <w:iCs w:val="0"/>
          <w:szCs w:val="21"/>
        </w:rPr>
        <w:fldChar w:fldCharType="separate"/>
      </w:r>
      <w:r>
        <w:rPr>
          <w:i w:val="0"/>
          <w:iCs w:val="0"/>
          <w:szCs w:val="28"/>
        </w:rPr>
        <w:t xml:space="preserve">1.2.1 </w:t>
      </w:r>
      <w:r>
        <w:rPr>
          <w:rFonts w:hint="eastAsia"/>
          <w:i w:val="0"/>
          <w:iCs w:val="0"/>
          <w:szCs w:val="28"/>
          <w:lang w:eastAsia="zh-CN"/>
        </w:rPr>
        <w:t>法律法规</w:t>
      </w:r>
      <w:r>
        <w:rPr>
          <w:i w:val="0"/>
          <w:iCs w:val="0"/>
          <w:szCs w:val="28"/>
        </w:rPr>
        <w:t>和规章</w:t>
      </w:r>
      <w:r>
        <w:rPr>
          <w:i w:val="0"/>
          <w:iCs w:val="0"/>
        </w:rPr>
        <w:tab/>
      </w:r>
      <w:r>
        <w:rPr>
          <w:i w:val="0"/>
          <w:iCs w:val="0"/>
        </w:rPr>
        <w:fldChar w:fldCharType="begin"/>
      </w:r>
      <w:r>
        <w:rPr>
          <w:i w:val="0"/>
          <w:iCs w:val="0"/>
        </w:rPr>
        <w:instrText xml:space="preserve"> PAGEREF _Toc5114 \h </w:instrText>
      </w:r>
      <w:r>
        <w:rPr>
          <w:i w:val="0"/>
          <w:iCs w:val="0"/>
        </w:rPr>
        <w:fldChar w:fldCharType="separate"/>
      </w:r>
      <w:r>
        <w:rPr>
          <w:i w:val="0"/>
          <w:iCs w:val="0"/>
        </w:rPr>
        <w:t>1</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_Toc27208 </w:instrText>
      </w:r>
      <w:r>
        <w:rPr>
          <w:rFonts w:eastAsiaTheme="majorEastAsia"/>
          <w:i w:val="0"/>
          <w:iCs w:val="0"/>
          <w:szCs w:val="21"/>
        </w:rPr>
        <w:fldChar w:fldCharType="separate"/>
      </w:r>
      <w:r>
        <w:rPr>
          <w:i w:val="0"/>
          <w:iCs w:val="0"/>
          <w:szCs w:val="28"/>
        </w:rPr>
        <w:t>1.2.2 有关预案、标准规范和规范性文件</w:t>
      </w:r>
      <w:r>
        <w:rPr>
          <w:i w:val="0"/>
          <w:iCs w:val="0"/>
        </w:rPr>
        <w:tab/>
      </w:r>
      <w:r>
        <w:rPr>
          <w:i w:val="0"/>
          <w:iCs w:val="0"/>
        </w:rPr>
        <w:fldChar w:fldCharType="begin"/>
      </w:r>
      <w:r>
        <w:rPr>
          <w:i w:val="0"/>
          <w:iCs w:val="0"/>
        </w:rPr>
        <w:instrText xml:space="preserve"> PAGEREF _Toc27208 \h </w:instrText>
      </w:r>
      <w:r>
        <w:rPr>
          <w:i w:val="0"/>
          <w:iCs w:val="0"/>
        </w:rPr>
        <w:fldChar w:fldCharType="separate"/>
      </w:r>
      <w:r>
        <w:rPr>
          <w:i w:val="0"/>
          <w:iCs w:val="0"/>
        </w:rPr>
        <w:t>2</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_Toc16366 </w:instrText>
      </w:r>
      <w:r>
        <w:rPr>
          <w:rFonts w:eastAsiaTheme="majorEastAsia"/>
          <w:i w:val="0"/>
          <w:iCs w:val="0"/>
          <w:szCs w:val="21"/>
        </w:rPr>
        <w:fldChar w:fldCharType="separate"/>
      </w:r>
      <w:r>
        <w:rPr>
          <w:i w:val="0"/>
          <w:iCs w:val="0"/>
          <w:szCs w:val="28"/>
        </w:rPr>
        <w:t>1.2.</w:t>
      </w:r>
      <w:r>
        <w:rPr>
          <w:rFonts w:hint="eastAsia"/>
          <w:i w:val="0"/>
          <w:iCs w:val="0"/>
          <w:szCs w:val="28"/>
          <w:lang w:val="en-US" w:eastAsia="zh-CN"/>
        </w:rPr>
        <w:t>3</w:t>
      </w:r>
      <w:r>
        <w:rPr>
          <w:i w:val="0"/>
          <w:iCs w:val="0"/>
          <w:szCs w:val="28"/>
        </w:rPr>
        <w:t xml:space="preserve"> </w:t>
      </w:r>
      <w:r>
        <w:rPr>
          <w:rFonts w:hint="eastAsia"/>
          <w:i w:val="0"/>
          <w:iCs w:val="0"/>
          <w:szCs w:val="28"/>
          <w:lang w:val="en-US" w:eastAsia="zh-CN"/>
        </w:rPr>
        <w:t>其他资料</w:t>
      </w:r>
      <w:r>
        <w:rPr>
          <w:i w:val="0"/>
          <w:iCs w:val="0"/>
        </w:rPr>
        <w:tab/>
      </w:r>
      <w:r>
        <w:rPr>
          <w:i w:val="0"/>
          <w:iCs w:val="0"/>
        </w:rPr>
        <w:fldChar w:fldCharType="begin"/>
      </w:r>
      <w:r>
        <w:rPr>
          <w:i w:val="0"/>
          <w:iCs w:val="0"/>
        </w:rPr>
        <w:instrText xml:space="preserve"> PAGEREF _Toc16366 \h </w:instrText>
      </w:r>
      <w:r>
        <w:rPr>
          <w:i w:val="0"/>
          <w:iCs w:val="0"/>
        </w:rPr>
        <w:fldChar w:fldCharType="separate"/>
      </w:r>
      <w:r>
        <w:rPr>
          <w:i w:val="0"/>
          <w:iCs w:val="0"/>
        </w:rPr>
        <w:t>4</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_Toc22011 </w:instrText>
      </w:r>
      <w:r>
        <w:rPr>
          <w:rFonts w:eastAsiaTheme="majorEastAsia"/>
          <w:i w:val="0"/>
          <w:iCs w:val="0"/>
          <w:szCs w:val="21"/>
        </w:rPr>
        <w:fldChar w:fldCharType="separate"/>
      </w:r>
      <w:r>
        <w:rPr>
          <w:i w:val="0"/>
          <w:iCs w:val="0"/>
          <w:szCs w:val="28"/>
        </w:rPr>
        <w:t>1.3 适用范围</w:t>
      </w:r>
      <w:r>
        <w:rPr>
          <w:i w:val="0"/>
          <w:iCs w:val="0"/>
        </w:rPr>
        <w:tab/>
      </w:r>
      <w:r>
        <w:rPr>
          <w:i w:val="0"/>
          <w:iCs w:val="0"/>
        </w:rPr>
        <w:fldChar w:fldCharType="begin"/>
      </w:r>
      <w:r>
        <w:rPr>
          <w:i w:val="0"/>
          <w:iCs w:val="0"/>
        </w:rPr>
        <w:instrText xml:space="preserve"> PAGEREF _Toc22011 \h </w:instrText>
      </w:r>
      <w:r>
        <w:rPr>
          <w:i w:val="0"/>
          <w:iCs w:val="0"/>
        </w:rPr>
        <w:fldChar w:fldCharType="separate"/>
      </w:r>
      <w:r>
        <w:rPr>
          <w:i w:val="0"/>
          <w:iCs w:val="0"/>
        </w:rPr>
        <w:t>4</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_Toc11463 </w:instrText>
      </w:r>
      <w:r>
        <w:rPr>
          <w:rFonts w:eastAsiaTheme="majorEastAsia"/>
          <w:i w:val="0"/>
          <w:iCs w:val="0"/>
          <w:szCs w:val="21"/>
        </w:rPr>
        <w:fldChar w:fldCharType="separate"/>
      </w:r>
      <w:r>
        <w:rPr>
          <w:i w:val="0"/>
          <w:iCs w:val="0"/>
          <w:szCs w:val="28"/>
        </w:rPr>
        <w:t>1.4 事件分级</w:t>
      </w:r>
      <w:r>
        <w:rPr>
          <w:i w:val="0"/>
          <w:iCs w:val="0"/>
        </w:rPr>
        <w:tab/>
      </w:r>
      <w:r>
        <w:rPr>
          <w:i w:val="0"/>
          <w:iCs w:val="0"/>
        </w:rPr>
        <w:fldChar w:fldCharType="begin"/>
      </w:r>
      <w:r>
        <w:rPr>
          <w:i w:val="0"/>
          <w:iCs w:val="0"/>
        </w:rPr>
        <w:instrText xml:space="preserve"> PAGEREF _Toc11463 \h </w:instrText>
      </w:r>
      <w:r>
        <w:rPr>
          <w:i w:val="0"/>
          <w:iCs w:val="0"/>
        </w:rPr>
        <w:fldChar w:fldCharType="separate"/>
      </w:r>
      <w:r>
        <w:rPr>
          <w:i w:val="0"/>
          <w:iCs w:val="0"/>
        </w:rPr>
        <w:t>5</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_Toc951 </w:instrText>
      </w:r>
      <w:r>
        <w:rPr>
          <w:rFonts w:eastAsiaTheme="majorEastAsia"/>
          <w:i w:val="0"/>
          <w:iCs w:val="0"/>
          <w:szCs w:val="21"/>
        </w:rPr>
        <w:fldChar w:fldCharType="separate"/>
      </w:r>
      <w:r>
        <w:rPr>
          <w:i w:val="0"/>
          <w:iCs w:val="0"/>
          <w:szCs w:val="28"/>
        </w:rPr>
        <w:t>1.4.1 特别重大饮用水水源地</w:t>
      </w:r>
      <w:r>
        <w:rPr>
          <w:rFonts w:hint="eastAsia"/>
          <w:i w:val="0"/>
          <w:iCs w:val="0"/>
          <w:szCs w:val="28"/>
          <w:lang w:eastAsia="zh-CN"/>
        </w:rPr>
        <w:t>突发生态环境事件</w:t>
      </w:r>
      <w:r>
        <w:rPr>
          <w:i w:val="0"/>
          <w:iCs w:val="0"/>
          <w:szCs w:val="28"/>
        </w:rPr>
        <w:t>（I级）</w:t>
      </w:r>
      <w:r>
        <w:rPr>
          <w:i w:val="0"/>
          <w:iCs w:val="0"/>
        </w:rPr>
        <w:tab/>
      </w:r>
      <w:r>
        <w:rPr>
          <w:i w:val="0"/>
          <w:iCs w:val="0"/>
        </w:rPr>
        <w:fldChar w:fldCharType="begin"/>
      </w:r>
      <w:r>
        <w:rPr>
          <w:i w:val="0"/>
          <w:iCs w:val="0"/>
        </w:rPr>
        <w:instrText xml:space="preserve"> PAGEREF _Toc951 \h </w:instrText>
      </w:r>
      <w:r>
        <w:rPr>
          <w:i w:val="0"/>
          <w:iCs w:val="0"/>
        </w:rPr>
        <w:fldChar w:fldCharType="separate"/>
      </w:r>
      <w:r>
        <w:rPr>
          <w:i w:val="0"/>
          <w:iCs w:val="0"/>
        </w:rPr>
        <w:t>5</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_Toc14938 </w:instrText>
      </w:r>
      <w:r>
        <w:rPr>
          <w:rFonts w:eastAsiaTheme="majorEastAsia"/>
          <w:i w:val="0"/>
          <w:iCs w:val="0"/>
          <w:szCs w:val="21"/>
        </w:rPr>
        <w:fldChar w:fldCharType="separate"/>
      </w:r>
      <w:r>
        <w:rPr>
          <w:i w:val="0"/>
          <w:iCs w:val="0"/>
          <w:szCs w:val="28"/>
        </w:rPr>
        <w:t>1.4.2 重大饮用水水源地</w:t>
      </w:r>
      <w:r>
        <w:rPr>
          <w:rFonts w:hint="eastAsia"/>
          <w:i w:val="0"/>
          <w:iCs w:val="0"/>
          <w:szCs w:val="28"/>
          <w:lang w:eastAsia="zh-CN"/>
        </w:rPr>
        <w:t>突发生态环境事件</w:t>
      </w:r>
      <w:r>
        <w:rPr>
          <w:i w:val="0"/>
          <w:iCs w:val="0"/>
          <w:szCs w:val="28"/>
        </w:rPr>
        <w:t>（II级）</w:t>
      </w:r>
      <w:r>
        <w:rPr>
          <w:i w:val="0"/>
          <w:iCs w:val="0"/>
        </w:rPr>
        <w:tab/>
      </w:r>
      <w:r>
        <w:rPr>
          <w:i w:val="0"/>
          <w:iCs w:val="0"/>
        </w:rPr>
        <w:fldChar w:fldCharType="begin"/>
      </w:r>
      <w:r>
        <w:rPr>
          <w:i w:val="0"/>
          <w:iCs w:val="0"/>
        </w:rPr>
        <w:instrText xml:space="preserve"> PAGEREF _Toc14938 \h </w:instrText>
      </w:r>
      <w:r>
        <w:rPr>
          <w:i w:val="0"/>
          <w:iCs w:val="0"/>
        </w:rPr>
        <w:fldChar w:fldCharType="separate"/>
      </w:r>
      <w:r>
        <w:rPr>
          <w:i w:val="0"/>
          <w:iCs w:val="0"/>
        </w:rPr>
        <w:t>6</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_Toc15308 </w:instrText>
      </w:r>
      <w:r>
        <w:rPr>
          <w:rFonts w:eastAsiaTheme="majorEastAsia"/>
          <w:i w:val="0"/>
          <w:iCs w:val="0"/>
          <w:szCs w:val="21"/>
        </w:rPr>
        <w:fldChar w:fldCharType="separate"/>
      </w:r>
      <w:r>
        <w:rPr>
          <w:i w:val="0"/>
          <w:iCs w:val="0"/>
          <w:szCs w:val="28"/>
        </w:rPr>
        <w:t>1.4.3 较大饮用水水源地</w:t>
      </w:r>
      <w:r>
        <w:rPr>
          <w:rFonts w:hint="eastAsia"/>
          <w:i w:val="0"/>
          <w:iCs w:val="0"/>
          <w:szCs w:val="28"/>
          <w:lang w:eastAsia="zh-CN"/>
        </w:rPr>
        <w:t>突发生态环境事件</w:t>
      </w:r>
      <w:r>
        <w:rPr>
          <w:i w:val="0"/>
          <w:iCs w:val="0"/>
          <w:szCs w:val="28"/>
        </w:rPr>
        <w:t>（III级）</w:t>
      </w:r>
      <w:r>
        <w:rPr>
          <w:i w:val="0"/>
          <w:iCs w:val="0"/>
        </w:rPr>
        <w:tab/>
      </w:r>
      <w:r>
        <w:rPr>
          <w:i w:val="0"/>
          <w:iCs w:val="0"/>
        </w:rPr>
        <w:fldChar w:fldCharType="begin"/>
      </w:r>
      <w:r>
        <w:rPr>
          <w:i w:val="0"/>
          <w:iCs w:val="0"/>
        </w:rPr>
        <w:instrText xml:space="preserve"> PAGEREF _Toc15308 \h </w:instrText>
      </w:r>
      <w:r>
        <w:rPr>
          <w:i w:val="0"/>
          <w:iCs w:val="0"/>
        </w:rPr>
        <w:fldChar w:fldCharType="separate"/>
      </w:r>
      <w:r>
        <w:rPr>
          <w:i w:val="0"/>
          <w:iCs w:val="0"/>
        </w:rPr>
        <w:t>6</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_Toc87 </w:instrText>
      </w:r>
      <w:r>
        <w:rPr>
          <w:rFonts w:eastAsiaTheme="majorEastAsia"/>
          <w:i w:val="0"/>
          <w:iCs w:val="0"/>
          <w:szCs w:val="21"/>
        </w:rPr>
        <w:fldChar w:fldCharType="separate"/>
      </w:r>
      <w:r>
        <w:rPr>
          <w:i w:val="0"/>
          <w:iCs w:val="0"/>
          <w:szCs w:val="28"/>
        </w:rPr>
        <w:t>1.4.4 一般饮用水水源地</w:t>
      </w:r>
      <w:r>
        <w:rPr>
          <w:rFonts w:hint="eastAsia"/>
          <w:i w:val="0"/>
          <w:iCs w:val="0"/>
          <w:szCs w:val="28"/>
          <w:lang w:eastAsia="zh-CN"/>
        </w:rPr>
        <w:t>突发生态环境事件</w:t>
      </w:r>
      <w:r>
        <w:rPr>
          <w:i w:val="0"/>
          <w:iCs w:val="0"/>
          <w:szCs w:val="28"/>
        </w:rPr>
        <w:t>（IV级）</w:t>
      </w:r>
      <w:r>
        <w:rPr>
          <w:i w:val="0"/>
          <w:iCs w:val="0"/>
        </w:rPr>
        <w:tab/>
      </w:r>
      <w:r>
        <w:rPr>
          <w:i w:val="0"/>
          <w:iCs w:val="0"/>
        </w:rPr>
        <w:fldChar w:fldCharType="begin"/>
      </w:r>
      <w:r>
        <w:rPr>
          <w:i w:val="0"/>
          <w:iCs w:val="0"/>
        </w:rPr>
        <w:instrText xml:space="preserve"> PAGEREF _Toc87 \h </w:instrText>
      </w:r>
      <w:r>
        <w:rPr>
          <w:i w:val="0"/>
          <w:iCs w:val="0"/>
        </w:rPr>
        <w:fldChar w:fldCharType="separate"/>
      </w:r>
      <w:r>
        <w:rPr>
          <w:i w:val="0"/>
          <w:iCs w:val="0"/>
        </w:rPr>
        <w:t>7</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_Toc27964 </w:instrText>
      </w:r>
      <w:r>
        <w:rPr>
          <w:rFonts w:eastAsiaTheme="majorEastAsia"/>
          <w:i w:val="0"/>
          <w:iCs w:val="0"/>
          <w:szCs w:val="21"/>
        </w:rPr>
        <w:fldChar w:fldCharType="separate"/>
      </w:r>
      <w:r>
        <w:rPr>
          <w:i w:val="0"/>
          <w:iCs w:val="0"/>
          <w:szCs w:val="28"/>
        </w:rPr>
        <w:t>1.5 预案衔接</w:t>
      </w:r>
      <w:r>
        <w:rPr>
          <w:i w:val="0"/>
          <w:iCs w:val="0"/>
        </w:rPr>
        <w:tab/>
      </w:r>
      <w:r>
        <w:rPr>
          <w:i w:val="0"/>
          <w:iCs w:val="0"/>
        </w:rPr>
        <w:fldChar w:fldCharType="begin"/>
      </w:r>
      <w:r>
        <w:rPr>
          <w:i w:val="0"/>
          <w:iCs w:val="0"/>
        </w:rPr>
        <w:instrText xml:space="preserve"> PAGEREF _Toc27964 \h </w:instrText>
      </w:r>
      <w:r>
        <w:rPr>
          <w:i w:val="0"/>
          <w:iCs w:val="0"/>
        </w:rPr>
        <w:fldChar w:fldCharType="separate"/>
      </w:r>
      <w:r>
        <w:rPr>
          <w:i w:val="0"/>
          <w:iCs w:val="0"/>
        </w:rPr>
        <w:t>7</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_Toc30573 </w:instrText>
      </w:r>
      <w:r>
        <w:rPr>
          <w:rFonts w:eastAsiaTheme="majorEastAsia"/>
          <w:i w:val="0"/>
          <w:iCs w:val="0"/>
          <w:szCs w:val="21"/>
        </w:rPr>
        <w:fldChar w:fldCharType="separate"/>
      </w:r>
      <w:r>
        <w:rPr>
          <w:i w:val="0"/>
          <w:iCs w:val="0"/>
          <w:szCs w:val="28"/>
        </w:rPr>
        <w:t>1.6 工作原则</w:t>
      </w:r>
      <w:r>
        <w:rPr>
          <w:i w:val="0"/>
          <w:iCs w:val="0"/>
        </w:rPr>
        <w:tab/>
      </w:r>
      <w:r>
        <w:rPr>
          <w:i w:val="0"/>
          <w:iCs w:val="0"/>
        </w:rPr>
        <w:fldChar w:fldCharType="begin"/>
      </w:r>
      <w:r>
        <w:rPr>
          <w:i w:val="0"/>
          <w:iCs w:val="0"/>
        </w:rPr>
        <w:instrText xml:space="preserve"> PAGEREF _Toc30573 \h </w:instrText>
      </w:r>
      <w:r>
        <w:rPr>
          <w:i w:val="0"/>
          <w:iCs w:val="0"/>
        </w:rPr>
        <w:fldChar w:fldCharType="separate"/>
      </w:r>
      <w:r>
        <w:rPr>
          <w:i w:val="0"/>
          <w:iCs w:val="0"/>
        </w:rPr>
        <w:t>9</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_Toc9451 </w:instrText>
      </w:r>
      <w:r>
        <w:rPr>
          <w:rFonts w:eastAsiaTheme="majorEastAsia"/>
          <w:i w:val="0"/>
          <w:iCs w:val="0"/>
          <w:szCs w:val="21"/>
        </w:rPr>
        <w:fldChar w:fldCharType="separate"/>
      </w:r>
      <w:r>
        <w:rPr>
          <w:i w:val="0"/>
          <w:iCs w:val="0"/>
          <w:szCs w:val="28"/>
        </w:rPr>
        <w:t xml:space="preserve">1.7 </w:t>
      </w:r>
      <w:r>
        <w:rPr>
          <w:rFonts w:hint="eastAsia"/>
          <w:i w:val="0"/>
          <w:iCs w:val="0"/>
          <w:szCs w:val="28"/>
        </w:rPr>
        <w:t>水源地基本情况</w:t>
      </w:r>
      <w:r>
        <w:rPr>
          <w:i w:val="0"/>
          <w:iCs w:val="0"/>
        </w:rPr>
        <w:tab/>
      </w:r>
      <w:r>
        <w:rPr>
          <w:i w:val="0"/>
          <w:iCs w:val="0"/>
        </w:rPr>
        <w:fldChar w:fldCharType="begin"/>
      </w:r>
      <w:r>
        <w:rPr>
          <w:i w:val="0"/>
          <w:iCs w:val="0"/>
        </w:rPr>
        <w:instrText xml:space="preserve"> PAGEREF _Toc9451 \h </w:instrText>
      </w:r>
      <w:r>
        <w:rPr>
          <w:i w:val="0"/>
          <w:iCs w:val="0"/>
        </w:rPr>
        <w:fldChar w:fldCharType="separate"/>
      </w:r>
      <w:r>
        <w:rPr>
          <w:i w:val="0"/>
          <w:iCs w:val="0"/>
        </w:rPr>
        <w:t>9</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_Toc15410 </w:instrText>
      </w:r>
      <w:r>
        <w:rPr>
          <w:rFonts w:eastAsiaTheme="majorEastAsia"/>
          <w:i w:val="0"/>
          <w:iCs w:val="0"/>
          <w:szCs w:val="21"/>
        </w:rPr>
        <w:fldChar w:fldCharType="separate"/>
      </w:r>
      <w:r>
        <w:rPr>
          <w:i w:val="0"/>
          <w:iCs w:val="0"/>
          <w:szCs w:val="32"/>
        </w:rPr>
        <w:t>2 应急组织指挥体系</w:t>
      </w:r>
      <w:r>
        <w:rPr>
          <w:i w:val="0"/>
          <w:iCs w:val="0"/>
        </w:rPr>
        <w:tab/>
      </w:r>
      <w:r>
        <w:rPr>
          <w:i w:val="0"/>
          <w:iCs w:val="0"/>
        </w:rPr>
        <w:fldChar w:fldCharType="begin"/>
      </w:r>
      <w:r>
        <w:rPr>
          <w:i w:val="0"/>
          <w:iCs w:val="0"/>
        </w:rPr>
        <w:instrText xml:space="preserve"> PAGEREF _Toc15410 \h </w:instrText>
      </w:r>
      <w:r>
        <w:rPr>
          <w:i w:val="0"/>
          <w:iCs w:val="0"/>
        </w:rPr>
        <w:fldChar w:fldCharType="separate"/>
      </w:r>
      <w:r>
        <w:rPr>
          <w:i w:val="0"/>
          <w:iCs w:val="0"/>
        </w:rPr>
        <w:t>11</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_Toc19279 </w:instrText>
      </w:r>
      <w:r>
        <w:rPr>
          <w:rFonts w:eastAsiaTheme="majorEastAsia"/>
          <w:i w:val="0"/>
          <w:iCs w:val="0"/>
          <w:szCs w:val="21"/>
        </w:rPr>
        <w:fldChar w:fldCharType="separate"/>
      </w:r>
      <w:r>
        <w:rPr>
          <w:bCs w:val="0"/>
          <w:i w:val="0"/>
          <w:iCs w:val="0"/>
        </w:rPr>
        <w:t xml:space="preserve">2.1 </w:t>
      </w:r>
      <w:r>
        <w:rPr>
          <w:i w:val="0"/>
          <w:iCs w:val="0"/>
          <w:szCs w:val="28"/>
        </w:rPr>
        <w:t>应急组织指挥机构</w:t>
      </w:r>
      <w:r>
        <w:rPr>
          <w:i w:val="0"/>
          <w:iCs w:val="0"/>
        </w:rPr>
        <w:tab/>
      </w:r>
      <w:r>
        <w:rPr>
          <w:i w:val="0"/>
          <w:iCs w:val="0"/>
        </w:rPr>
        <w:fldChar w:fldCharType="begin"/>
      </w:r>
      <w:r>
        <w:rPr>
          <w:i w:val="0"/>
          <w:iCs w:val="0"/>
        </w:rPr>
        <w:instrText xml:space="preserve"> PAGEREF _Toc19279 \h </w:instrText>
      </w:r>
      <w:r>
        <w:rPr>
          <w:i w:val="0"/>
          <w:iCs w:val="0"/>
        </w:rPr>
        <w:fldChar w:fldCharType="separate"/>
      </w:r>
      <w:r>
        <w:rPr>
          <w:i w:val="0"/>
          <w:iCs w:val="0"/>
        </w:rPr>
        <w:t>11</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_Toc17041 </w:instrText>
      </w:r>
      <w:r>
        <w:rPr>
          <w:rFonts w:eastAsiaTheme="majorEastAsia"/>
          <w:i w:val="0"/>
          <w:iCs w:val="0"/>
          <w:szCs w:val="21"/>
        </w:rPr>
        <w:fldChar w:fldCharType="separate"/>
      </w:r>
      <w:r>
        <w:rPr>
          <w:bCs w:val="0"/>
          <w:i w:val="0"/>
          <w:iCs w:val="0"/>
        </w:rPr>
        <w:t>2.2 区现场应急指挥部</w:t>
      </w:r>
      <w:r>
        <w:rPr>
          <w:i w:val="0"/>
          <w:iCs w:val="0"/>
        </w:rPr>
        <w:tab/>
      </w:r>
      <w:r>
        <w:rPr>
          <w:i w:val="0"/>
          <w:iCs w:val="0"/>
        </w:rPr>
        <w:fldChar w:fldCharType="begin"/>
      </w:r>
      <w:r>
        <w:rPr>
          <w:i w:val="0"/>
          <w:iCs w:val="0"/>
        </w:rPr>
        <w:instrText xml:space="preserve"> PAGEREF _Toc17041 \h </w:instrText>
      </w:r>
      <w:r>
        <w:rPr>
          <w:i w:val="0"/>
          <w:iCs w:val="0"/>
        </w:rPr>
        <w:fldChar w:fldCharType="separate"/>
      </w:r>
      <w:r>
        <w:rPr>
          <w:i w:val="0"/>
          <w:iCs w:val="0"/>
        </w:rPr>
        <w:t>12</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_Toc17581 </w:instrText>
      </w:r>
      <w:r>
        <w:rPr>
          <w:rFonts w:eastAsiaTheme="majorEastAsia"/>
          <w:i w:val="0"/>
          <w:iCs w:val="0"/>
          <w:szCs w:val="21"/>
        </w:rPr>
        <w:fldChar w:fldCharType="separate"/>
      </w:r>
      <w:r>
        <w:rPr>
          <w:i w:val="0"/>
          <w:iCs w:val="0"/>
          <w:szCs w:val="32"/>
        </w:rPr>
        <w:t>3 应急响应</w:t>
      </w:r>
      <w:r>
        <w:rPr>
          <w:i w:val="0"/>
          <w:iCs w:val="0"/>
        </w:rPr>
        <w:tab/>
      </w:r>
      <w:r>
        <w:rPr>
          <w:i w:val="0"/>
          <w:iCs w:val="0"/>
        </w:rPr>
        <w:fldChar w:fldCharType="begin"/>
      </w:r>
      <w:r>
        <w:rPr>
          <w:i w:val="0"/>
          <w:iCs w:val="0"/>
        </w:rPr>
        <w:instrText xml:space="preserve"> PAGEREF _Toc17581 \h </w:instrText>
      </w:r>
      <w:r>
        <w:rPr>
          <w:i w:val="0"/>
          <w:iCs w:val="0"/>
        </w:rPr>
        <w:fldChar w:fldCharType="separate"/>
      </w:r>
      <w:r>
        <w:rPr>
          <w:i w:val="0"/>
          <w:iCs w:val="0"/>
        </w:rPr>
        <w:t>17</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_Toc17824 </w:instrText>
      </w:r>
      <w:r>
        <w:rPr>
          <w:rFonts w:eastAsiaTheme="majorEastAsia"/>
          <w:i w:val="0"/>
          <w:iCs w:val="0"/>
          <w:szCs w:val="21"/>
        </w:rPr>
        <w:fldChar w:fldCharType="separate"/>
      </w:r>
      <w:r>
        <w:rPr>
          <w:bCs w:val="0"/>
          <w:i w:val="0"/>
          <w:iCs w:val="0"/>
        </w:rPr>
        <w:t>3.1 响应启动</w:t>
      </w:r>
      <w:r>
        <w:rPr>
          <w:i w:val="0"/>
          <w:iCs w:val="0"/>
        </w:rPr>
        <w:tab/>
      </w:r>
      <w:r>
        <w:rPr>
          <w:i w:val="0"/>
          <w:iCs w:val="0"/>
        </w:rPr>
        <w:fldChar w:fldCharType="begin"/>
      </w:r>
      <w:r>
        <w:rPr>
          <w:i w:val="0"/>
          <w:iCs w:val="0"/>
        </w:rPr>
        <w:instrText xml:space="preserve"> PAGEREF _Toc17824 \h </w:instrText>
      </w:r>
      <w:r>
        <w:rPr>
          <w:i w:val="0"/>
          <w:iCs w:val="0"/>
        </w:rPr>
        <w:fldChar w:fldCharType="separate"/>
      </w:r>
      <w:r>
        <w:rPr>
          <w:i w:val="0"/>
          <w:iCs w:val="0"/>
        </w:rPr>
        <w:t>17</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_Toc12323 </w:instrText>
      </w:r>
      <w:r>
        <w:rPr>
          <w:rFonts w:eastAsiaTheme="majorEastAsia"/>
          <w:i w:val="0"/>
          <w:iCs w:val="0"/>
          <w:szCs w:val="21"/>
        </w:rPr>
        <w:fldChar w:fldCharType="separate"/>
      </w:r>
      <w:r>
        <w:rPr>
          <w:bCs w:val="0"/>
          <w:i w:val="0"/>
          <w:iCs w:val="0"/>
        </w:rPr>
        <w:t>3.2 信息收集和研判</w:t>
      </w:r>
      <w:r>
        <w:rPr>
          <w:i w:val="0"/>
          <w:iCs w:val="0"/>
        </w:rPr>
        <w:tab/>
      </w:r>
      <w:r>
        <w:rPr>
          <w:i w:val="0"/>
          <w:iCs w:val="0"/>
        </w:rPr>
        <w:fldChar w:fldCharType="begin"/>
      </w:r>
      <w:r>
        <w:rPr>
          <w:i w:val="0"/>
          <w:iCs w:val="0"/>
        </w:rPr>
        <w:instrText xml:space="preserve"> PAGEREF _Toc12323 \h </w:instrText>
      </w:r>
      <w:r>
        <w:rPr>
          <w:i w:val="0"/>
          <w:iCs w:val="0"/>
        </w:rPr>
        <w:fldChar w:fldCharType="separate"/>
      </w:r>
      <w:r>
        <w:rPr>
          <w:i w:val="0"/>
          <w:iCs w:val="0"/>
        </w:rPr>
        <w:t>18</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_Toc24312 </w:instrText>
      </w:r>
      <w:r>
        <w:rPr>
          <w:rFonts w:eastAsiaTheme="majorEastAsia"/>
          <w:i w:val="0"/>
          <w:iCs w:val="0"/>
          <w:szCs w:val="21"/>
        </w:rPr>
        <w:fldChar w:fldCharType="separate"/>
      </w:r>
      <w:r>
        <w:rPr>
          <w:i w:val="0"/>
          <w:iCs w:val="0"/>
          <w:szCs w:val="28"/>
        </w:rPr>
        <w:t xml:space="preserve">3.2.1 </w:t>
      </w:r>
      <w:r>
        <w:rPr>
          <w:rFonts w:hint="eastAsia"/>
          <w:i w:val="0"/>
          <w:iCs w:val="0"/>
          <w:szCs w:val="28"/>
          <w:lang w:val="en-US" w:eastAsia="zh-CN"/>
        </w:rPr>
        <w:t>信息来源</w:t>
      </w:r>
      <w:r>
        <w:rPr>
          <w:i w:val="0"/>
          <w:iCs w:val="0"/>
        </w:rPr>
        <w:tab/>
      </w:r>
      <w:r>
        <w:rPr>
          <w:i w:val="0"/>
          <w:iCs w:val="0"/>
        </w:rPr>
        <w:fldChar w:fldCharType="begin"/>
      </w:r>
      <w:r>
        <w:rPr>
          <w:i w:val="0"/>
          <w:iCs w:val="0"/>
        </w:rPr>
        <w:instrText xml:space="preserve"> PAGEREF _Toc24312 \h </w:instrText>
      </w:r>
      <w:r>
        <w:rPr>
          <w:i w:val="0"/>
          <w:iCs w:val="0"/>
        </w:rPr>
        <w:fldChar w:fldCharType="separate"/>
      </w:r>
      <w:r>
        <w:rPr>
          <w:i w:val="0"/>
          <w:iCs w:val="0"/>
        </w:rPr>
        <w:t>18</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_Toc9226 </w:instrText>
      </w:r>
      <w:r>
        <w:rPr>
          <w:rFonts w:eastAsiaTheme="majorEastAsia"/>
          <w:i w:val="0"/>
          <w:iCs w:val="0"/>
          <w:szCs w:val="21"/>
        </w:rPr>
        <w:fldChar w:fldCharType="separate"/>
      </w:r>
      <w:r>
        <w:rPr>
          <w:i w:val="0"/>
          <w:iCs w:val="0"/>
          <w:szCs w:val="28"/>
        </w:rPr>
        <w:t>3.2.</w:t>
      </w:r>
      <w:r>
        <w:rPr>
          <w:rFonts w:hint="eastAsia"/>
          <w:i w:val="0"/>
          <w:iCs w:val="0"/>
          <w:szCs w:val="28"/>
          <w:lang w:val="en-US" w:eastAsia="zh-CN"/>
        </w:rPr>
        <w:t>2</w:t>
      </w:r>
      <w:r>
        <w:rPr>
          <w:i w:val="0"/>
          <w:iCs w:val="0"/>
          <w:szCs w:val="28"/>
        </w:rPr>
        <w:t xml:space="preserve"> 信息收集</w:t>
      </w:r>
      <w:r>
        <w:rPr>
          <w:i w:val="0"/>
          <w:iCs w:val="0"/>
        </w:rPr>
        <w:tab/>
      </w:r>
      <w:r>
        <w:rPr>
          <w:i w:val="0"/>
          <w:iCs w:val="0"/>
        </w:rPr>
        <w:fldChar w:fldCharType="begin"/>
      </w:r>
      <w:r>
        <w:rPr>
          <w:i w:val="0"/>
          <w:iCs w:val="0"/>
        </w:rPr>
        <w:instrText xml:space="preserve"> PAGEREF _Toc9226 \h </w:instrText>
      </w:r>
      <w:r>
        <w:rPr>
          <w:i w:val="0"/>
          <w:iCs w:val="0"/>
        </w:rPr>
        <w:fldChar w:fldCharType="separate"/>
      </w:r>
      <w:r>
        <w:rPr>
          <w:i w:val="0"/>
          <w:iCs w:val="0"/>
        </w:rPr>
        <w:t>19</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_Toc18960 </w:instrText>
      </w:r>
      <w:r>
        <w:rPr>
          <w:rFonts w:eastAsiaTheme="majorEastAsia"/>
          <w:i w:val="0"/>
          <w:iCs w:val="0"/>
          <w:szCs w:val="21"/>
        </w:rPr>
        <w:fldChar w:fldCharType="separate"/>
      </w:r>
      <w:r>
        <w:rPr>
          <w:i w:val="0"/>
          <w:iCs w:val="0"/>
          <w:szCs w:val="28"/>
        </w:rPr>
        <w:t>3.2.</w:t>
      </w:r>
      <w:r>
        <w:rPr>
          <w:rFonts w:hint="eastAsia"/>
          <w:i w:val="0"/>
          <w:iCs w:val="0"/>
          <w:szCs w:val="28"/>
          <w:lang w:val="en-US" w:eastAsia="zh-CN"/>
        </w:rPr>
        <w:t>3</w:t>
      </w:r>
      <w:r>
        <w:rPr>
          <w:i w:val="0"/>
          <w:iCs w:val="0"/>
          <w:szCs w:val="28"/>
        </w:rPr>
        <w:t xml:space="preserve"> 信息研判和会商</w:t>
      </w:r>
      <w:r>
        <w:rPr>
          <w:i w:val="0"/>
          <w:iCs w:val="0"/>
        </w:rPr>
        <w:tab/>
      </w:r>
      <w:r>
        <w:rPr>
          <w:i w:val="0"/>
          <w:iCs w:val="0"/>
        </w:rPr>
        <w:fldChar w:fldCharType="begin"/>
      </w:r>
      <w:r>
        <w:rPr>
          <w:i w:val="0"/>
          <w:iCs w:val="0"/>
        </w:rPr>
        <w:instrText xml:space="preserve"> PAGEREF _Toc18960 \h </w:instrText>
      </w:r>
      <w:r>
        <w:rPr>
          <w:i w:val="0"/>
          <w:iCs w:val="0"/>
        </w:rPr>
        <w:fldChar w:fldCharType="separate"/>
      </w:r>
      <w:r>
        <w:rPr>
          <w:i w:val="0"/>
          <w:iCs w:val="0"/>
        </w:rPr>
        <w:t>19</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_Toc31358 </w:instrText>
      </w:r>
      <w:r>
        <w:rPr>
          <w:rFonts w:eastAsiaTheme="majorEastAsia"/>
          <w:i w:val="0"/>
          <w:iCs w:val="0"/>
          <w:szCs w:val="21"/>
        </w:rPr>
        <w:fldChar w:fldCharType="separate"/>
      </w:r>
      <w:r>
        <w:rPr>
          <w:bCs w:val="0"/>
          <w:i w:val="0"/>
          <w:iCs w:val="0"/>
        </w:rPr>
        <w:t>3.3 预警</w:t>
      </w:r>
      <w:r>
        <w:rPr>
          <w:i w:val="0"/>
          <w:iCs w:val="0"/>
        </w:rPr>
        <w:tab/>
      </w:r>
      <w:r>
        <w:rPr>
          <w:i w:val="0"/>
          <w:iCs w:val="0"/>
        </w:rPr>
        <w:fldChar w:fldCharType="begin"/>
      </w:r>
      <w:r>
        <w:rPr>
          <w:i w:val="0"/>
          <w:iCs w:val="0"/>
        </w:rPr>
        <w:instrText xml:space="preserve"> PAGEREF _Toc31358 \h </w:instrText>
      </w:r>
      <w:r>
        <w:rPr>
          <w:i w:val="0"/>
          <w:iCs w:val="0"/>
        </w:rPr>
        <w:fldChar w:fldCharType="separate"/>
      </w:r>
      <w:r>
        <w:rPr>
          <w:i w:val="0"/>
          <w:iCs w:val="0"/>
        </w:rPr>
        <w:t>20</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_Toc15142 </w:instrText>
      </w:r>
      <w:r>
        <w:rPr>
          <w:rFonts w:eastAsiaTheme="majorEastAsia"/>
          <w:i w:val="0"/>
          <w:iCs w:val="0"/>
          <w:szCs w:val="21"/>
        </w:rPr>
        <w:fldChar w:fldCharType="separate"/>
      </w:r>
      <w:r>
        <w:rPr>
          <w:i w:val="0"/>
          <w:iCs w:val="0"/>
          <w:szCs w:val="28"/>
        </w:rPr>
        <w:t>3.3.1 预警分级</w:t>
      </w:r>
      <w:r>
        <w:rPr>
          <w:i w:val="0"/>
          <w:iCs w:val="0"/>
        </w:rPr>
        <w:tab/>
      </w:r>
      <w:r>
        <w:rPr>
          <w:i w:val="0"/>
          <w:iCs w:val="0"/>
        </w:rPr>
        <w:fldChar w:fldCharType="begin"/>
      </w:r>
      <w:r>
        <w:rPr>
          <w:i w:val="0"/>
          <w:iCs w:val="0"/>
        </w:rPr>
        <w:instrText xml:space="preserve"> PAGEREF _Toc15142 \h </w:instrText>
      </w:r>
      <w:r>
        <w:rPr>
          <w:i w:val="0"/>
          <w:iCs w:val="0"/>
        </w:rPr>
        <w:fldChar w:fldCharType="separate"/>
      </w:r>
      <w:r>
        <w:rPr>
          <w:i w:val="0"/>
          <w:iCs w:val="0"/>
        </w:rPr>
        <w:t>20</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_Toc5897 </w:instrText>
      </w:r>
      <w:r>
        <w:rPr>
          <w:rFonts w:eastAsiaTheme="majorEastAsia"/>
          <w:i w:val="0"/>
          <w:iCs w:val="0"/>
          <w:szCs w:val="21"/>
        </w:rPr>
        <w:fldChar w:fldCharType="separate"/>
      </w:r>
      <w:r>
        <w:rPr>
          <w:i w:val="0"/>
          <w:iCs w:val="0"/>
          <w:szCs w:val="28"/>
        </w:rPr>
        <w:t>3.3.2 预警启动条件</w:t>
      </w:r>
      <w:r>
        <w:rPr>
          <w:i w:val="0"/>
          <w:iCs w:val="0"/>
        </w:rPr>
        <w:tab/>
      </w:r>
      <w:r>
        <w:rPr>
          <w:i w:val="0"/>
          <w:iCs w:val="0"/>
        </w:rPr>
        <w:fldChar w:fldCharType="begin"/>
      </w:r>
      <w:r>
        <w:rPr>
          <w:i w:val="0"/>
          <w:iCs w:val="0"/>
        </w:rPr>
        <w:instrText xml:space="preserve"> PAGEREF _Toc5897 \h </w:instrText>
      </w:r>
      <w:r>
        <w:rPr>
          <w:i w:val="0"/>
          <w:iCs w:val="0"/>
        </w:rPr>
        <w:fldChar w:fldCharType="separate"/>
      </w:r>
      <w:r>
        <w:rPr>
          <w:i w:val="0"/>
          <w:iCs w:val="0"/>
        </w:rPr>
        <w:t>21</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_Toc11962 </w:instrText>
      </w:r>
      <w:r>
        <w:rPr>
          <w:rFonts w:eastAsiaTheme="majorEastAsia"/>
          <w:i w:val="0"/>
          <w:iCs w:val="0"/>
          <w:szCs w:val="21"/>
        </w:rPr>
        <w:fldChar w:fldCharType="separate"/>
      </w:r>
      <w:r>
        <w:rPr>
          <w:i w:val="0"/>
          <w:iCs w:val="0"/>
          <w:szCs w:val="28"/>
        </w:rPr>
        <w:t>3.3.3 发布预警和预警级别调整</w:t>
      </w:r>
      <w:r>
        <w:rPr>
          <w:i w:val="0"/>
          <w:iCs w:val="0"/>
        </w:rPr>
        <w:tab/>
      </w:r>
      <w:r>
        <w:rPr>
          <w:i w:val="0"/>
          <w:iCs w:val="0"/>
        </w:rPr>
        <w:fldChar w:fldCharType="begin"/>
      </w:r>
      <w:r>
        <w:rPr>
          <w:i w:val="0"/>
          <w:iCs w:val="0"/>
        </w:rPr>
        <w:instrText xml:space="preserve"> PAGEREF _Toc11962 \h </w:instrText>
      </w:r>
      <w:r>
        <w:rPr>
          <w:i w:val="0"/>
          <w:iCs w:val="0"/>
        </w:rPr>
        <w:fldChar w:fldCharType="separate"/>
      </w:r>
      <w:r>
        <w:rPr>
          <w:i w:val="0"/>
          <w:iCs w:val="0"/>
        </w:rPr>
        <w:t>23</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_Toc5831 </w:instrText>
      </w:r>
      <w:r>
        <w:rPr>
          <w:rFonts w:eastAsiaTheme="majorEastAsia"/>
          <w:i w:val="0"/>
          <w:iCs w:val="0"/>
          <w:szCs w:val="21"/>
        </w:rPr>
        <w:fldChar w:fldCharType="separate"/>
      </w:r>
      <w:r>
        <w:rPr>
          <w:i w:val="0"/>
          <w:iCs w:val="0"/>
          <w:szCs w:val="28"/>
        </w:rPr>
        <w:t>3.3.4 预警行动</w:t>
      </w:r>
      <w:r>
        <w:rPr>
          <w:i w:val="0"/>
          <w:iCs w:val="0"/>
        </w:rPr>
        <w:tab/>
      </w:r>
      <w:r>
        <w:rPr>
          <w:i w:val="0"/>
          <w:iCs w:val="0"/>
        </w:rPr>
        <w:fldChar w:fldCharType="begin"/>
      </w:r>
      <w:r>
        <w:rPr>
          <w:i w:val="0"/>
          <w:iCs w:val="0"/>
        </w:rPr>
        <w:instrText xml:space="preserve"> PAGEREF _Toc5831 \h </w:instrText>
      </w:r>
      <w:r>
        <w:rPr>
          <w:i w:val="0"/>
          <w:iCs w:val="0"/>
        </w:rPr>
        <w:fldChar w:fldCharType="separate"/>
      </w:r>
      <w:r>
        <w:rPr>
          <w:i w:val="0"/>
          <w:iCs w:val="0"/>
        </w:rPr>
        <w:t>24</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_Toc32176 </w:instrText>
      </w:r>
      <w:r>
        <w:rPr>
          <w:rFonts w:eastAsiaTheme="majorEastAsia"/>
          <w:i w:val="0"/>
          <w:iCs w:val="0"/>
          <w:szCs w:val="21"/>
        </w:rPr>
        <w:fldChar w:fldCharType="separate"/>
      </w:r>
      <w:r>
        <w:rPr>
          <w:i w:val="0"/>
          <w:iCs w:val="0"/>
          <w:szCs w:val="28"/>
        </w:rPr>
        <w:t>3.3.5 预警解除</w:t>
      </w:r>
      <w:r>
        <w:rPr>
          <w:i w:val="0"/>
          <w:iCs w:val="0"/>
        </w:rPr>
        <w:tab/>
      </w:r>
      <w:r>
        <w:rPr>
          <w:i w:val="0"/>
          <w:iCs w:val="0"/>
        </w:rPr>
        <w:fldChar w:fldCharType="begin"/>
      </w:r>
      <w:r>
        <w:rPr>
          <w:i w:val="0"/>
          <w:iCs w:val="0"/>
        </w:rPr>
        <w:instrText xml:space="preserve"> PAGEREF _Toc32176 \h </w:instrText>
      </w:r>
      <w:r>
        <w:rPr>
          <w:i w:val="0"/>
          <w:iCs w:val="0"/>
        </w:rPr>
        <w:fldChar w:fldCharType="separate"/>
      </w:r>
      <w:r>
        <w:rPr>
          <w:i w:val="0"/>
          <w:iCs w:val="0"/>
        </w:rPr>
        <w:t>25</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_Toc9849 </w:instrText>
      </w:r>
      <w:r>
        <w:rPr>
          <w:rFonts w:eastAsiaTheme="majorEastAsia"/>
          <w:i w:val="0"/>
          <w:iCs w:val="0"/>
          <w:szCs w:val="21"/>
        </w:rPr>
        <w:fldChar w:fldCharType="separate"/>
      </w:r>
      <w:r>
        <w:rPr>
          <w:bCs w:val="0"/>
          <w:i w:val="0"/>
          <w:iCs w:val="0"/>
        </w:rPr>
        <w:t>3.4 信息报告与通报</w:t>
      </w:r>
      <w:r>
        <w:rPr>
          <w:i w:val="0"/>
          <w:iCs w:val="0"/>
        </w:rPr>
        <w:tab/>
      </w:r>
      <w:r>
        <w:rPr>
          <w:i w:val="0"/>
          <w:iCs w:val="0"/>
        </w:rPr>
        <w:fldChar w:fldCharType="begin"/>
      </w:r>
      <w:r>
        <w:rPr>
          <w:i w:val="0"/>
          <w:iCs w:val="0"/>
        </w:rPr>
        <w:instrText xml:space="preserve"> PAGEREF _Toc9849 \h </w:instrText>
      </w:r>
      <w:r>
        <w:rPr>
          <w:i w:val="0"/>
          <w:iCs w:val="0"/>
        </w:rPr>
        <w:fldChar w:fldCharType="separate"/>
      </w:r>
      <w:r>
        <w:rPr>
          <w:i w:val="0"/>
          <w:iCs w:val="0"/>
        </w:rPr>
        <w:t>25</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_Toc9092 </w:instrText>
      </w:r>
      <w:r>
        <w:rPr>
          <w:rFonts w:eastAsiaTheme="majorEastAsia"/>
          <w:i w:val="0"/>
          <w:iCs w:val="0"/>
          <w:szCs w:val="21"/>
        </w:rPr>
        <w:fldChar w:fldCharType="separate"/>
      </w:r>
      <w:r>
        <w:rPr>
          <w:i w:val="0"/>
          <w:iCs w:val="0"/>
          <w:szCs w:val="28"/>
        </w:rPr>
        <w:t>3.4.1 信息报告程序</w:t>
      </w:r>
      <w:r>
        <w:rPr>
          <w:i w:val="0"/>
          <w:iCs w:val="0"/>
        </w:rPr>
        <w:tab/>
      </w:r>
      <w:r>
        <w:rPr>
          <w:i w:val="0"/>
          <w:iCs w:val="0"/>
        </w:rPr>
        <w:fldChar w:fldCharType="begin"/>
      </w:r>
      <w:r>
        <w:rPr>
          <w:i w:val="0"/>
          <w:iCs w:val="0"/>
        </w:rPr>
        <w:instrText xml:space="preserve"> PAGEREF _Toc9092 \h </w:instrText>
      </w:r>
      <w:r>
        <w:rPr>
          <w:i w:val="0"/>
          <w:iCs w:val="0"/>
        </w:rPr>
        <w:fldChar w:fldCharType="separate"/>
      </w:r>
      <w:r>
        <w:rPr>
          <w:i w:val="0"/>
          <w:iCs w:val="0"/>
        </w:rPr>
        <w:t>25</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_Toc22113 </w:instrText>
      </w:r>
      <w:r>
        <w:rPr>
          <w:rFonts w:eastAsiaTheme="majorEastAsia"/>
          <w:i w:val="0"/>
          <w:iCs w:val="0"/>
          <w:szCs w:val="21"/>
        </w:rPr>
        <w:fldChar w:fldCharType="separate"/>
      </w:r>
      <w:r>
        <w:rPr>
          <w:i w:val="0"/>
          <w:iCs w:val="0"/>
          <w:szCs w:val="28"/>
        </w:rPr>
        <w:t>3.4.2 信息报告时限</w:t>
      </w:r>
      <w:r>
        <w:rPr>
          <w:i w:val="0"/>
          <w:iCs w:val="0"/>
        </w:rPr>
        <w:tab/>
      </w:r>
      <w:r>
        <w:rPr>
          <w:i w:val="0"/>
          <w:iCs w:val="0"/>
        </w:rPr>
        <w:fldChar w:fldCharType="begin"/>
      </w:r>
      <w:r>
        <w:rPr>
          <w:i w:val="0"/>
          <w:iCs w:val="0"/>
        </w:rPr>
        <w:instrText xml:space="preserve"> PAGEREF _Toc22113 \h </w:instrText>
      </w:r>
      <w:r>
        <w:rPr>
          <w:i w:val="0"/>
          <w:iCs w:val="0"/>
        </w:rPr>
        <w:fldChar w:fldCharType="separate"/>
      </w:r>
      <w:r>
        <w:rPr>
          <w:i w:val="0"/>
          <w:iCs w:val="0"/>
        </w:rPr>
        <w:t>26</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_Toc20291 </w:instrText>
      </w:r>
      <w:r>
        <w:rPr>
          <w:rFonts w:eastAsiaTheme="majorEastAsia"/>
          <w:i w:val="0"/>
          <w:iCs w:val="0"/>
          <w:szCs w:val="21"/>
        </w:rPr>
        <w:fldChar w:fldCharType="separate"/>
      </w:r>
      <w:r>
        <w:rPr>
          <w:i w:val="0"/>
          <w:iCs w:val="0"/>
          <w:szCs w:val="28"/>
        </w:rPr>
        <w:t>3.4.3 信息通报程序</w:t>
      </w:r>
      <w:r>
        <w:rPr>
          <w:i w:val="0"/>
          <w:iCs w:val="0"/>
        </w:rPr>
        <w:tab/>
      </w:r>
      <w:r>
        <w:rPr>
          <w:i w:val="0"/>
          <w:iCs w:val="0"/>
        </w:rPr>
        <w:fldChar w:fldCharType="begin"/>
      </w:r>
      <w:r>
        <w:rPr>
          <w:i w:val="0"/>
          <w:iCs w:val="0"/>
        </w:rPr>
        <w:instrText xml:space="preserve"> PAGEREF _Toc20291 \h </w:instrText>
      </w:r>
      <w:r>
        <w:rPr>
          <w:i w:val="0"/>
          <w:iCs w:val="0"/>
        </w:rPr>
        <w:fldChar w:fldCharType="separate"/>
      </w:r>
      <w:r>
        <w:rPr>
          <w:i w:val="0"/>
          <w:iCs w:val="0"/>
        </w:rPr>
        <w:t>26</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_Toc16866 </w:instrText>
      </w:r>
      <w:r>
        <w:rPr>
          <w:rFonts w:eastAsiaTheme="majorEastAsia"/>
          <w:i w:val="0"/>
          <w:iCs w:val="0"/>
          <w:szCs w:val="21"/>
        </w:rPr>
        <w:fldChar w:fldCharType="separate"/>
      </w:r>
      <w:r>
        <w:rPr>
          <w:i w:val="0"/>
          <w:iCs w:val="0"/>
          <w:szCs w:val="28"/>
        </w:rPr>
        <w:t>3.4.4 信息报告和通报内容</w:t>
      </w:r>
      <w:r>
        <w:rPr>
          <w:i w:val="0"/>
          <w:iCs w:val="0"/>
        </w:rPr>
        <w:tab/>
      </w:r>
      <w:r>
        <w:rPr>
          <w:i w:val="0"/>
          <w:iCs w:val="0"/>
        </w:rPr>
        <w:fldChar w:fldCharType="begin"/>
      </w:r>
      <w:r>
        <w:rPr>
          <w:i w:val="0"/>
          <w:iCs w:val="0"/>
        </w:rPr>
        <w:instrText xml:space="preserve"> PAGEREF _Toc16866 \h </w:instrText>
      </w:r>
      <w:r>
        <w:rPr>
          <w:i w:val="0"/>
          <w:iCs w:val="0"/>
        </w:rPr>
        <w:fldChar w:fldCharType="separate"/>
      </w:r>
      <w:r>
        <w:rPr>
          <w:i w:val="0"/>
          <w:iCs w:val="0"/>
        </w:rPr>
        <w:t>27</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_Toc23842 </w:instrText>
      </w:r>
      <w:r>
        <w:rPr>
          <w:rFonts w:eastAsiaTheme="majorEastAsia"/>
          <w:i w:val="0"/>
          <w:iCs w:val="0"/>
          <w:szCs w:val="21"/>
        </w:rPr>
        <w:fldChar w:fldCharType="separate"/>
      </w:r>
      <w:r>
        <w:rPr>
          <w:bCs w:val="0"/>
          <w:i w:val="0"/>
          <w:iCs w:val="0"/>
        </w:rPr>
        <w:t>3.5 事态研判</w:t>
      </w:r>
      <w:r>
        <w:rPr>
          <w:i w:val="0"/>
          <w:iCs w:val="0"/>
        </w:rPr>
        <w:tab/>
      </w:r>
      <w:r>
        <w:rPr>
          <w:i w:val="0"/>
          <w:iCs w:val="0"/>
        </w:rPr>
        <w:fldChar w:fldCharType="begin"/>
      </w:r>
      <w:r>
        <w:rPr>
          <w:i w:val="0"/>
          <w:iCs w:val="0"/>
        </w:rPr>
        <w:instrText xml:space="preserve"> PAGEREF _Toc23842 \h </w:instrText>
      </w:r>
      <w:r>
        <w:rPr>
          <w:i w:val="0"/>
          <w:iCs w:val="0"/>
        </w:rPr>
        <w:fldChar w:fldCharType="separate"/>
      </w:r>
      <w:r>
        <w:rPr>
          <w:i w:val="0"/>
          <w:iCs w:val="0"/>
        </w:rPr>
        <w:t>28</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_Toc20791 </w:instrText>
      </w:r>
      <w:r>
        <w:rPr>
          <w:rFonts w:eastAsiaTheme="majorEastAsia"/>
          <w:i w:val="0"/>
          <w:iCs w:val="0"/>
          <w:szCs w:val="21"/>
        </w:rPr>
        <w:fldChar w:fldCharType="separate"/>
      </w:r>
      <w:r>
        <w:rPr>
          <w:bCs w:val="0"/>
          <w:i w:val="0"/>
          <w:iCs w:val="0"/>
        </w:rPr>
        <w:t>3.6 应急监测</w:t>
      </w:r>
      <w:r>
        <w:rPr>
          <w:i w:val="0"/>
          <w:iCs w:val="0"/>
        </w:rPr>
        <w:tab/>
      </w:r>
      <w:r>
        <w:rPr>
          <w:i w:val="0"/>
          <w:iCs w:val="0"/>
        </w:rPr>
        <w:fldChar w:fldCharType="begin"/>
      </w:r>
      <w:r>
        <w:rPr>
          <w:i w:val="0"/>
          <w:iCs w:val="0"/>
        </w:rPr>
        <w:instrText xml:space="preserve"> PAGEREF _Toc20791 \h </w:instrText>
      </w:r>
      <w:r>
        <w:rPr>
          <w:i w:val="0"/>
          <w:iCs w:val="0"/>
        </w:rPr>
        <w:fldChar w:fldCharType="separate"/>
      </w:r>
      <w:r>
        <w:rPr>
          <w:i w:val="0"/>
          <w:iCs w:val="0"/>
        </w:rPr>
        <w:t>29</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_Toc1511 </w:instrText>
      </w:r>
      <w:r>
        <w:rPr>
          <w:rFonts w:eastAsiaTheme="majorEastAsia"/>
          <w:i w:val="0"/>
          <w:iCs w:val="0"/>
          <w:szCs w:val="21"/>
        </w:rPr>
        <w:fldChar w:fldCharType="separate"/>
      </w:r>
      <w:r>
        <w:rPr>
          <w:i w:val="0"/>
          <w:iCs w:val="0"/>
          <w:szCs w:val="28"/>
        </w:rPr>
        <w:t>3.6.1 应急监测</w:t>
      </w:r>
      <w:r>
        <w:rPr>
          <w:rFonts w:hint="default"/>
          <w:i w:val="0"/>
          <w:iCs w:val="0"/>
          <w:szCs w:val="28"/>
        </w:rPr>
        <w:t>启动与分级响应</w:t>
      </w:r>
      <w:r>
        <w:rPr>
          <w:i w:val="0"/>
          <w:iCs w:val="0"/>
        </w:rPr>
        <w:tab/>
      </w:r>
      <w:r>
        <w:rPr>
          <w:i w:val="0"/>
          <w:iCs w:val="0"/>
        </w:rPr>
        <w:fldChar w:fldCharType="begin"/>
      </w:r>
      <w:r>
        <w:rPr>
          <w:i w:val="0"/>
          <w:iCs w:val="0"/>
        </w:rPr>
        <w:instrText xml:space="preserve"> PAGEREF _Toc1511 \h </w:instrText>
      </w:r>
      <w:r>
        <w:rPr>
          <w:i w:val="0"/>
          <w:iCs w:val="0"/>
        </w:rPr>
        <w:fldChar w:fldCharType="separate"/>
      </w:r>
      <w:r>
        <w:rPr>
          <w:i w:val="0"/>
          <w:iCs w:val="0"/>
        </w:rPr>
        <w:t>29</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_Toc19899 </w:instrText>
      </w:r>
      <w:r>
        <w:rPr>
          <w:rFonts w:eastAsiaTheme="majorEastAsia"/>
          <w:i w:val="0"/>
          <w:iCs w:val="0"/>
          <w:szCs w:val="21"/>
        </w:rPr>
        <w:fldChar w:fldCharType="separate"/>
      </w:r>
      <w:r>
        <w:rPr>
          <w:i w:val="0"/>
          <w:iCs w:val="0"/>
          <w:szCs w:val="28"/>
        </w:rPr>
        <w:t>3.6.2 制定应急监测方案</w:t>
      </w:r>
      <w:r>
        <w:rPr>
          <w:i w:val="0"/>
          <w:iCs w:val="0"/>
        </w:rPr>
        <w:tab/>
      </w:r>
      <w:r>
        <w:rPr>
          <w:i w:val="0"/>
          <w:iCs w:val="0"/>
        </w:rPr>
        <w:fldChar w:fldCharType="begin"/>
      </w:r>
      <w:r>
        <w:rPr>
          <w:i w:val="0"/>
          <w:iCs w:val="0"/>
        </w:rPr>
        <w:instrText xml:space="preserve"> PAGEREF _Toc19899 \h </w:instrText>
      </w:r>
      <w:r>
        <w:rPr>
          <w:i w:val="0"/>
          <w:iCs w:val="0"/>
        </w:rPr>
        <w:fldChar w:fldCharType="separate"/>
      </w:r>
      <w:r>
        <w:rPr>
          <w:i w:val="0"/>
          <w:iCs w:val="0"/>
        </w:rPr>
        <w:t>30</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_Toc14978 </w:instrText>
      </w:r>
      <w:r>
        <w:rPr>
          <w:rFonts w:eastAsiaTheme="majorEastAsia"/>
          <w:i w:val="0"/>
          <w:iCs w:val="0"/>
          <w:szCs w:val="21"/>
        </w:rPr>
        <w:fldChar w:fldCharType="separate"/>
      </w:r>
      <w:r>
        <w:rPr>
          <w:bCs w:val="0"/>
          <w:i w:val="0"/>
          <w:iCs w:val="0"/>
        </w:rPr>
        <w:t>3.7 污染源排查与处置</w:t>
      </w:r>
      <w:r>
        <w:rPr>
          <w:i w:val="0"/>
          <w:iCs w:val="0"/>
        </w:rPr>
        <w:tab/>
      </w:r>
      <w:r>
        <w:rPr>
          <w:i w:val="0"/>
          <w:iCs w:val="0"/>
        </w:rPr>
        <w:fldChar w:fldCharType="begin"/>
      </w:r>
      <w:r>
        <w:rPr>
          <w:i w:val="0"/>
          <w:iCs w:val="0"/>
        </w:rPr>
        <w:instrText xml:space="preserve"> PAGEREF _Toc14978 \h </w:instrText>
      </w:r>
      <w:r>
        <w:rPr>
          <w:i w:val="0"/>
          <w:iCs w:val="0"/>
        </w:rPr>
        <w:fldChar w:fldCharType="separate"/>
      </w:r>
      <w:r>
        <w:rPr>
          <w:i w:val="0"/>
          <w:iCs w:val="0"/>
        </w:rPr>
        <w:t>39</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_Toc1432 </w:instrText>
      </w:r>
      <w:r>
        <w:rPr>
          <w:rFonts w:eastAsiaTheme="majorEastAsia"/>
          <w:i w:val="0"/>
          <w:iCs w:val="0"/>
          <w:szCs w:val="21"/>
        </w:rPr>
        <w:fldChar w:fldCharType="separate"/>
      </w:r>
      <w:r>
        <w:rPr>
          <w:i w:val="0"/>
          <w:iCs w:val="0"/>
          <w:szCs w:val="28"/>
        </w:rPr>
        <w:t>3.7.1 明确排查对象</w:t>
      </w:r>
      <w:r>
        <w:rPr>
          <w:i w:val="0"/>
          <w:iCs w:val="0"/>
        </w:rPr>
        <w:tab/>
      </w:r>
      <w:r>
        <w:rPr>
          <w:i w:val="0"/>
          <w:iCs w:val="0"/>
        </w:rPr>
        <w:fldChar w:fldCharType="begin"/>
      </w:r>
      <w:r>
        <w:rPr>
          <w:i w:val="0"/>
          <w:iCs w:val="0"/>
        </w:rPr>
        <w:instrText xml:space="preserve"> PAGEREF _Toc1432 \h </w:instrText>
      </w:r>
      <w:r>
        <w:rPr>
          <w:i w:val="0"/>
          <w:iCs w:val="0"/>
        </w:rPr>
        <w:fldChar w:fldCharType="separate"/>
      </w:r>
      <w:r>
        <w:rPr>
          <w:i w:val="0"/>
          <w:iCs w:val="0"/>
        </w:rPr>
        <w:t>39</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_Toc5509 </w:instrText>
      </w:r>
      <w:r>
        <w:rPr>
          <w:rFonts w:eastAsiaTheme="majorEastAsia"/>
          <w:i w:val="0"/>
          <w:iCs w:val="0"/>
          <w:szCs w:val="21"/>
        </w:rPr>
        <w:fldChar w:fldCharType="separate"/>
      </w:r>
      <w:r>
        <w:rPr>
          <w:i w:val="0"/>
          <w:iCs w:val="0"/>
          <w:szCs w:val="28"/>
        </w:rPr>
        <w:t>3.7.2 切断污染源</w:t>
      </w:r>
      <w:r>
        <w:rPr>
          <w:i w:val="0"/>
          <w:iCs w:val="0"/>
        </w:rPr>
        <w:tab/>
      </w:r>
      <w:r>
        <w:rPr>
          <w:i w:val="0"/>
          <w:iCs w:val="0"/>
        </w:rPr>
        <w:fldChar w:fldCharType="begin"/>
      </w:r>
      <w:r>
        <w:rPr>
          <w:i w:val="0"/>
          <w:iCs w:val="0"/>
        </w:rPr>
        <w:instrText xml:space="preserve"> PAGEREF _Toc5509 \h </w:instrText>
      </w:r>
      <w:r>
        <w:rPr>
          <w:i w:val="0"/>
          <w:iCs w:val="0"/>
        </w:rPr>
        <w:fldChar w:fldCharType="separate"/>
      </w:r>
      <w:r>
        <w:rPr>
          <w:i w:val="0"/>
          <w:iCs w:val="0"/>
        </w:rPr>
        <w:t>40</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_Toc25053 </w:instrText>
      </w:r>
      <w:r>
        <w:rPr>
          <w:rFonts w:eastAsiaTheme="majorEastAsia"/>
          <w:i w:val="0"/>
          <w:iCs w:val="0"/>
          <w:szCs w:val="21"/>
        </w:rPr>
        <w:fldChar w:fldCharType="separate"/>
      </w:r>
      <w:r>
        <w:rPr>
          <w:bCs w:val="0"/>
          <w:i w:val="0"/>
          <w:iCs w:val="0"/>
        </w:rPr>
        <w:t>3.8 应急处置</w:t>
      </w:r>
      <w:r>
        <w:rPr>
          <w:i w:val="0"/>
          <w:iCs w:val="0"/>
        </w:rPr>
        <w:tab/>
      </w:r>
      <w:r>
        <w:rPr>
          <w:i w:val="0"/>
          <w:iCs w:val="0"/>
        </w:rPr>
        <w:fldChar w:fldCharType="begin"/>
      </w:r>
      <w:r>
        <w:rPr>
          <w:i w:val="0"/>
          <w:iCs w:val="0"/>
        </w:rPr>
        <w:instrText xml:space="preserve"> PAGEREF _Toc25053 \h </w:instrText>
      </w:r>
      <w:r>
        <w:rPr>
          <w:i w:val="0"/>
          <w:iCs w:val="0"/>
        </w:rPr>
        <w:fldChar w:fldCharType="separate"/>
      </w:r>
      <w:r>
        <w:rPr>
          <w:i w:val="0"/>
          <w:iCs w:val="0"/>
        </w:rPr>
        <w:t>41</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_Toc22887 </w:instrText>
      </w:r>
      <w:r>
        <w:rPr>
          <w:rFonts w:eastAsiaTheme="majorEastAsia"/>
          <w:i w:val="0"/>
          <w:iCs w:val="0"/>
          <w:szCs w:val="21"/>
        </w:rPr>
        <w:fldChar w:fldCharType="separate"/>
      </w:r>
      <w:r>
        <w:rPr>
          <w:i w:val="0"/>
          <w:iCs w:val="0"/>
          <w:szCs w:val="28"/>
        </w:rPr>
        <w:t>3.8.1 制定现场处置方案</w:t>
      </w:r>
      <w:r>
        <w:rPr>
          <w:i w:val="0"/>
          <w:iCs w:val="0"/>
        </w:rPr>
        <w:tab/>
      </w:r>
      <w:r>
        <w:rPr>
          <w:i w:val="0"/>
          <w:iCs w:val="0"/>
        </w:rPr>
        <w:fldChar w:fldCharType="begin"/>
      </w:r>
      <w:r>
        <w:rPr>
          <w:i w:val="0"/>
          <w:iCs w:val="0"/>
        </w:rPr>
        <w:instrText xml:space="preserve"> PAGEREF _Toc22887 \h </w:instrText>
      </w:r>
      <w:r>
        <w:rPr>
          <w:i w:val="0"/>
          <w:iCs w:val="0"/>
        </w:rPr>
        <w:fldChar w:fldCharType="separate"/>
      </w:r>
      <w:r>
        <w:rPr>
          <w:i w:val="0"/>
          <w:iCs w:val="0"/>
        </w:rPr>
        <w:t>41</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_Toc10822 </w:instrText>
      </w:r>
      <w:r>
        <w:rPr>
          <w:rFonts w:eastAsiaTheme="majorEastAsia"/>
          <w:i w:val="0"/>
          <w:iCs w:val="0"/>
          <w:szCs w:val="21"/>
        </w:rPr>
        <w:fldChar w:fldCharType="separate"/>
      </w:r>
      <w:r>
        <w:rPr>
          <w:i w:val="0"/>
          <w:iCs w:val="0"/>
          <w:szCs w:val="28"/>
        </w:rPr>
        <w:t>3.8.2 供水安全保障</w:t>
      </w:r>
      <w:r>
        <w:rPr>
          <w:i w:val="0"/>
          <w:iCs w:val="0"/>
        </w:rPr>
        <w:tab/>
      </w:r>
      <w:r>
        <w:rPr>
          <w:i w:val="0"/>
          <w:iCs w:val="0"/>
        </w:rPr>
        <w:fldChar w:fldCharType="begin"/>
      </w:r>
      <w:r>
        <w:rPr>
          <w:i w:val="0"/>
          <w:iCs w:val="0"/>
        </w:rPr>
        <w:instrText xml:space="preserve"> PAGEREF _Toc10822 \h </w:instrText>
      </w:r>
      <w:r>
        <w:rPr>
          <w:i w:val="0"/>
          <w:iCs w:val="0"/>
        </w:rPr>
        <w:fldChar w:fldCharType="separate"/>
      </w:r>
      <w:r>
        <w:rPr>
          <w:i w:val="0"/>
          <w:iCs w:val="0"/>
        </w:rPr>
        <w:t>42</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_Toc27047 </w:instrText>
      </w:r>
      <w:r>
        <w:rPr>
          <w:rFonts w:eastAsiaTheme="majorEastAsia"/>
          <w:i w:val="0"/>
          <w:iCs w:val="0"/>
          <w:szCs w:val="21"/>
        </w:rPr>
        <w:fldChar w:fldCharType="separate"/>
      </w:r>
      <w:r>
        <w:rPr>
          <w:bCs w:val="0"/>
          <w:i w:val="0"/>
          <w:iCs w:val="0"/>
        </w:rPr>
        <w:t>3.9 物资调集及应急设施启用</w:t>
      </w:r>
      <w:r>
        <w:rPr>
          <w:i w:val="0"/>
          <w:iCs w:val="0"/>
        </w:rPr>
        <w:tab/>
      </w:r>
      <w:r>
        <w:rPr>
          <w:i w:val="0"/>
          <w:iCs w:val="0"/>
        </w:rPr>
        <w:fldChar w:fldCharType="begin"/>
      </w:r>
      <w:r>
        <w:rPr>
          <w:i w:val="0"/>
          <w:iCs w:val="0"/>
        </w:rPr>
        <w:instrText xml:space="preserve"> PAGEREF _Toc27047 \h </w:instrText>
      </w:r>
      <w:r>
        <w:rPr>
          <w:i w:val="0"/>
          <w:iCs w:val="0"/>
        </w:rPr>
        <w:fldChar w:fldCharType="separate"/>
      </w:r>
      <w:r>
        <w:rPr>
          <w:i w:val="0"/>
          <w:iCs w:val="0"/>
        </w:rPr>
        <w:t>43</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_Toc19512 </w:instrText>
      </w:r>
      <w:r>
        <w:rPr>
          <w:rFonts w:eastAsiaTheme="majorEastAsia"/>
          <w:i w:val="0"/>
          <w:iCs w:val="0"/>
          <w:szCs w:val="21"/>
        </w:rPr>
        <w:fldChar w:fldCharType="separate"/>
      </w:r>
      <w:r>
        <w:rPr>
          <w:bCs w:val="0"/>
          <w:i w:val="0"/>
          <w:iCs w:val="0"/>
        </w:rPr>
        <w:t>3.10 医学救援</w:t>
      </w:r>
      <w:r>
        <w:rPr>
          <w:i w:val="0"/>
          <w:iCs w:val="0"/>
        </w:rPr>
        <w:tab/>
      </w:r>
      <w:r>
        <w:rPr>
          <w:i w:val="0"/>
          <w:iCs w:val="0"/>
        </w:rPr>
        <w:fldChar w:fldCharType="begin"/>
      </w:r>
      <w:r>
        <w:rPr>
          <w:i w:val="0"/>
          <w:iCs w:val="0"/>
        </w:rPr>
        <w:instrText xml:space="preserve"> PAGEREF _Toc19512 \h </w:instrText>
      </w:r>
      <w:r>
        <w:rPr>
          <w:i w:val="0"/>
          <w:iCs w:val="0"/>
        </w:rPr>
        <w:fldChar w:fldCharType="separate"/>
      </w:r>
      <w:r>
        <w:rPr>
          <w:i w:val="0"/>
          <w:iCs w:val="0"/>
        </w:rPr>
        <w:t>44</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_Toc24148 </w:instrText>
      </w:r>
      <w:r>
        <w:rPr>
          <w:rFonts w:eastAsiaTheme="majorEastAsia"/>
          <w:i w:val="0"/>
          <w:iCs w:val="0"/>
          <w:szCs w:val="21"/>
        </w:rPr>
        <w:fldChar w:fldCharType="separate"/>
      </w:r>
      <w:r>
        <w:rPr>
          <w:bCs w:val="0"/>
          <w:i w:val="0"/>
          <w:iCs w:val="0"/>
        </w:rPr>
        <w:t>3.11 舆情监测与信息发布</w:t>
      </w:r>
      <w:r>
        <w:rPr>
          <w:i w:val="0"/>
          <w:iCs w:val="0"/>
        </w:rPr>
        <w:tab/>
      </w:r>
      <w:r>
        <w:rPr>
          <w:i w:val="0"/>
          <w:iCs w:val="0"/>
        </w:rPr>
        <w:fldChar w:fldCharType="begin"/>
      </w:r>
      <w:r>
        <w:rPr>
          <w:i w:val="0"/>
          <w:iCs w:val="0"/>
        </w:rPr>
        <w:instrText xml:space="preserve"> PAGEREF _Toc24148 \h </w:instrText>
      </w:r>
      <w:r>
        <w:rPr>
          <w:i w:val="0"/>
          <w:iCs w:val="0"/>
        </w:rPr>
        <w:fldChar w:fldCharType="separate"/>
      </w:r>
      <w:r>
        <w:rPr>
          <w:i w:val="0"/>
          <w:iCs w:val="0"/>
        </w:rPr>
        <w:t>44</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_Toc26313 </w:instrText>
      </w:r>
      <w:r>
        <w:rPr>
          <w:rFonts w:eastAsiaTheme="majorEastAsia"/>
          <w:i w:val="0"/>
          <w:iCs w:val="0"/>
          <w:szCs w:val="21"/>
        </w:rPr>
        <w:fldChar w:fldCharType="separate"/>
      </w:r>
      <w:r>
        <w:rPr>
          <w:bCs w:val="0"/>
          <w:i w:val="0"/>
          <w:iCs w:val="0"/>
        </w:rPr>
        <w:t>3.12 响应终止</w:t>
      </w:r>
      <w:r>
        <w:rPr>
          <w:i w:val="0"/>
          <w:iCs w:val="0"/>
        </w:rPr>
        <w:tab/>
      </w:r>
      <w:r>
        <w:rPr>
          <w:i w:val="0"/>
          <w:iCs w:val="0"/>
        </w:rPr>
        <w:fldChar w:fldCharType="begin"/>
      </w:r>
      <w:r>
        <w:rPr>
          <w:i w:val="0"/>
          <w:iCs w:val="0"/>
        </w:rPr>
        <w:instrText xml:space="preserve"> PAGEREF _Toc26313 \h </w:instrText>
      </w:r>
      <w:r>
        <w:rPr>
          <w:i w:val="0"/>
          <w:iCs w:val="0"/>
        </w:rPr>
        <w:fldChar w:fldCharType="separate"/>
      </w:r>
      <w:r>
        <w:rPr>
          <w:i w:val="0"/>
          <w:iCs w:val="0"/>
        </w:rPr>
        <w:t>44</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_Toc3200 </w:instrText>
      </w:r>
      <w:r>
        <w:rPr>
          <w:rFonts w:eastAsiaTheme="majorEastAsia"/>
          <w:i w:val="0"/>
          <w:iCs w:val="0"/>
          <w:szCs w:val="21"/>
        </w:rPr>
        <w:fldChar w:fldCharType="separate"/>
      </w:r>
      <w:r>
        <w:rPr>
          <w:i w:val="0"/>
          <w:iCs w:val="0"/>
          <w:szCs w:val="32"/>
        </w:rPr>
        <w:t>4 后期工作</w:t>
      </w:r>
      <w:r>
        <w:rPr>
          <w:i w:val="0"/>
          <w:iCs w:val="0"/>
        </w:rPr>
        <w:tab/>
      </w:r>
      <w:r>
        <w:rPr>
          <w:i w:val="0"/>
          <w:iCs w:val="0"/>
        </w:rPr>
        <w:fldChar w:fldCharType="begin"/>
      </w:r>
      <w:r>
        <w:rPr>
          <w:i w:val="0"/>
          <w:iCs w:val="0"/>
        </w:rPr>
        <w:instrText xml:space="preserve"> PAGEREF _Toc3200 \h </w:instrText>
      </w:r>
      <w:r>
        <w:rPr>
          <w:i w:val="0"/>
          <w:iCs w:val="0"/>
        </w:rPr>
        <w:fldChar w:fldCharType="separate"/>
      </w:r>
      <w:r>
        <w:rPr>
          <w:i w:val="0"/>
          <w:iCs w:val="0"/>
        </w:rPr>
        <w:t>46</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_Toc11205 </w:instrText>
      </w:r>
      <w:r>
        <w:rPr>
          <w:rFonts w:eastAsiaTheme="majorEastAsia"/>
          <w:i w:val="0"/>
          <w:iCs w:val="0"/>
          <w:szCs w:val="21"/>
        </w:rPr>
        <w:fldChar w:fldCharType="separate"/>
      </w:r>
      <w:r>
        <w:rPr>
          <w:bCs w:val="0"/>
          <w:i w:val="0"/>
          <w:iCs w:val="0"/>
        </w:rPr>
        <w:t>4.1 后期防控</w:t>
      </w:r>
      <w:r>
        <w:rPr>
          <w:i w:val="0"/>
          <w:iCs w:val="0"/>
        </w:rPr>
        <w:tab/>
      </w:r>
      <w:r>
        <w:rPr>
          <w:i w:val="0"/>
          <w:iCs w:val="0"/>
        </w:rPr>
        <w:fldChar w:fldCharType="begin"/>
      </w:r>
      <w:r>
        <w:rPr>
          <w:i w:val="0"/>
          <w:iCs w:val="0"/>
        </w:rPr>
        <w:instrText xml:space="preserve"> PAGEREF _Toc11205 \h </w:instrText>
      </w:r>
      <w:r>
        <w:rPr>
          <w:i w:val="0"/>
          <w:iCs w:val="0"/>
        </w:rPr>
        <w:fldChar w:fldCharType="separate"/>
      </w:r>
      <w:r>
        <w:rPr>
          <w:i w:val="0"/>
          <w:iCs w:val="0"/>
        </w:rPr>
        <w:t>46</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_Toc29611 </w:instrText>
      </w:r>
      <w:r>
        <w:rPr>
          <w:rFonts w:eastAsiaTheme="majorEastAsia"/>
          <w:i w:val="0"/>
          <w:iCs w:val="0"/>
          <w:szCs w:val="21"/>
        </w:rPr>
        <w:fldChar w:fldCharType="separate"/>
      </w:r>
      <w:r>
        <w:rPr>
          <w:bCs w:val="0"/>
          <w:i w:val="0"/>
          <w:iCs w:val="0"/>
        </w:rPr>
        <w:t>4.2 事件调查</w:t>
      </w:r>
      <w:r>
        <w:rPr>
          <w:i w:val="0"/>
          <w:iCs w:val="0"/>
        </w:rPr>
        <w:tab/>
      </w:r>
      <w:r>
        <w:rPr>
          <w:i w:val="0"/>
          <w:iCs w:val="0"/>
        </w:rPr>
        <w:fldChar w:fldCharType="begin"/>
      </w:r>
      <w:r>
        <w:rPr>
          <w:i w:val="0"/>
          <w:iCs w:val="0"/>
        </w:rPr>
        <w:instrText xml:space="preserve"> PAGEREF _Toc29611 \h </w:instrText>
      </w:r>
      <w:r>
        <w:rPr>
          <w:i w:val="0"/>
          <w:iCs w:val="0"/>
        </w:rPr>
        <w:fldChar w:fldCharType="separate"/>
      </w:r>
      <w:r>
        <w:rPr>
          <w:i w:val="0"/>
          <w:iCs w:val="0"/>
        </w:rPr>
        <w:t>46</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_Toc26121 </w:instrText>
      </w:r>
      <w:r>
        <w:rPr>
          <w:rFonts w:eastAsiaTheme="majorEastAsia"/>
          <w:i w:val="0"/>
          <w:iCs w:val="0"/>
          <w:szCs w:val="21"/>
        </w:rPr>
        <w:fldChar w:fldCharType="separate"/>
      </w:r>
      <w:r>
        <w:rPr>
          <w:bCs w:val="0"/>
          <w:i w:val="0"/>
          <w:iCs w:val="0"/>
        </w:rPr>
        <w:t>4.3 损害评估</w:t>
      </w:r>
      <w:r>
        <w:rPr>
          <w:i w:val="0"/>
          <w:iCs w:val="0"/>
        </w:rPr>
        <w:tab/>
      </w:r>
      <w:r>
        <w:rPr>
          <w:i w:val="0"/>
          <w:iCs w:val="0"/>
        </w:rPr>
        <w:fldChar w:fldCharType="begin"/>
      </w:r>
      <w:r>
        <w:rPr>
          <w:i w:val="0"/>
          <w:iCs w:val="0"/>
        </w:rPr>
        <w:instrText xml:space="preserve"> PAGEREF _Toc26121 \h </w:instrText>
      </w:r>
      <w:r>
        <w:rPr>
          <w:i w:val="0"/>
          <w:iCs w:val="0"/>
        </w:rPr>
        <w:fldChar w:fldCharType="separate"/>
      </w:r>
      <w:r>
        <w:rPr>
          <w:i w:val="0"/>
          <w:iCs w:val="0"/>
        </w:rPr>
        <w:t>46</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_Toc16172 </w:instrText>
      </w:r>
      <w:r>
        <w:rPr>
          <w:rFonts w:eastAsiaTheme="majorEastAsia"/>
          <w:i w:val="0"/>
          <w:iCs w:val="0"/>
          <w:szCs w:val="21"/>
        </w:rPr>
        <w:fldChar w:fldCharType="separate"/>
      </w:r>
      <w:r>
        <w:rPr>
          <w:bCs w:val="0"/>
          <w:i w:val="0"/>
          <w:iCs w:val="0"/>
        </w:rPr>
        <w:t>4.4 善后处理</w:t>
      </w:r>
      <w:r>
        <w:rPr>
          <w:i w:val="0"/>
          <w:iCs w:val="0"/>
        </w:rPr>
        <w:tab/>
      </w:r>
      <w:r>
        <w:rPr>
          <w:i w:val="0"/>
          <w:iCs w:val="0"/>
        </w:rPr>
        <w:fldChar w:fldCharType="begin"/>
      </w:r>
      <w:r>
        <w:rPr>
          <w:i w:val="0"/>
          <w:iCs w:val="0"/>
        </w:rPr>
        <w:instrText xml:space="preserve"> PAGEREF _Toc16172 \h </w:instrText>
      </w:r>
      <w:r>
        <w:rPr>
          <w:i w:val="0"/>
          <w:iCs w:val="0"/>
        </w:rPr>
        <w:fldChar w:fldCharType="separate"/>
      </w:r>
      <w:r>
        <w:rPr>
          <w:i w:val="0"/>
          <w:iCs w:val="0"/>
        </w:rPr>
        <w:t>47</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_Toc14267 </w:instrText>
      </w:r>
      <w:r>
        <w:rPr>
          <w:rFonts w:eastAsiaTheme="majorEastAsia"/>
          <w:i w:val="0"/>
          <w:iCs w:val="0"/>
          <w:szCs w:val="21"/>
        </w:rPr>
        <w:fldChar w:fldCharType="separate"/>
      </w:r>
      <w:r>
        <w:rPr>
          <w:i w:val="0"/>
          <w:iCs w:val="0"/>
          <w:szCs w:val="32"/>
        </w:rPr>
        <w:t>5 应急保障</w:t>
      </w:r>
      <w:r>
        <w:rPr>
          <w:i w:val="0"/>
          <w:iCs w:val="0"/>
        </w:rPr>
        <w:tab/>
      </w:r>
      <w:r>
        <w:rPr>
          <w:i w:val="0"/>
          <w:iCs w:val="0"/>
        </w:rPr>
        <w:fldChar w:fldCharType="begin"/>
      </w:r>
      <w:r>
        <w:rPr>
          <w:i w:val="0"/>
          <w:iCs w:val="0"/>
        </w:rPr>
        <w:instrText xml:space="preserve"> PAGEREF _Toc14267 \h </w:instrText>
      </w:r>
      <w:r>
        <w:rPr>
          <w:i w:val="0"/>
          <w:iCs w:val="0"/>
        </w:rPr>
        <w:fldChar w:fldCharType="separate"/>
      </w:r>
      <w:r>
        <w:rPr>
          <w:i w:val="0"/>
          <w:iCs w:val="0"/>
        </w:rPr>
        <w:t>48</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_Toc17430 </w:instrText>
      </w:r>
      <w:r>
        <w:rPr>
          <w:rFonts w:eastAsiaTheme="majorEastAsia"/>
          <w:i w:val="0"/>
          <w:iCs w:val="0"/>
          <w:szCs w:val="21"/>
        </w:rPr>
        <w:fldChar w:fldCharType="separate"/>
      </w:r>
      <w:r>
        <w:rPr>
          <w:bCs w:val="0"/>
          <w:i w:val="0"/>
          <w:iCs w:val="0"/>
        </w:rPr>
        <w:t>5.1 通讯与信息保障</w:t>
      </w:r>
      <w:r>
        <w:rPr>
          <w:i w:val="0"/>
          <w:iCs w:val="0"/>
        </w:rPr>
        <w:tab/>
      </w:r>
      <w:r>
        <w:rPr>
          <w:i w:val="0"/>
          <w:iCs w:val="0"/>
        </w:rPr>
        <w:fldChar w:fldCharType="begin"/>
      </w:r>
      <w:r>
        <w:rPr>
          <w:i w:val="0"/>
          <w:iCs w:val="0"/>
        </w:rPr>
        <w:instrText xml:space="preserve"> PAGEREF _Toc17430 \h </w:instrText>
      </w:r>
      <w:r>
        <w:rPr>
          <w:i w:val="0"/>
          <w:iCs w:val="0"/>
        </w:rPr>
        <w:fldChar w:fldCharType="separate"/>
      </w:r>
      <w:r>
        <w:rPr>
          <w:i w:val="0"/>
          <w:iCs w:val="0"/>
        </w:rPr>
        <w:t>48</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_Toc30492 </w:instrText>
      </w:r>
      <w:r>
        <w:rPr>
          <w:rFonts w:eastAsiaTheme="majorEastAsia"/>
          <w:i w:val="0"/>
          <w:iCs w:val="0"/>
          <w:szCs w:val="21"/>
        </w:rPr>
        <w:fldChar w:fldCharType="separate"/>
      </w:r>
      <w:r>
        <w:rPr>
          <w:bCs w:val="0"/>
          <w:i w:val="0"/>
          <w:iCs w:val="0"/>
        </w:rPr>
        <w:t>5.2 应急队伍保障</w:t>
      </w:r>
      <w:r>
        <w:rPr>
          <w:i w:val="0"/>
          <w:iCs w:val="0"/>
        </w:rPr>
        <w:tab/>
      </w:r>
      <w:r>
        <w:rPr>
          <w:i w:val="0"/>
          <w:iCs w:val="0"/>
        </w:rPr>
        <w:fldChar w:fldCharType="begin"/>
      </w:r>
      <w:r>
        <w:rPr>
          <w:i w:val="0"/>
          <w:iCs w:val="0"/>
        </w:rPr>
        <w:instrText xml:space="preserve"> PAGEREF _Toc30492 \h </w:instrText>
      </w:r>
      <w:r>
        <w:rPr>
          <w:i w:val="0"/>
          <w:iCs w:val="0"/>
        </w:rPr>
        <w:fldChar w:fldCharType="separate"/>
      </w:r>
      <w:r>
        <w:rPr>
          <w:i w:val="0"/>
          <w:iCs w:val="0"/>
        </w:rPr>
        <w:t>48</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_Toc26425 </w:instrText>
      </w:r>
      <w:r>
        <w:rPr>
          <w:rFonts w:eastAsiaTheme="majorEastAsia"/>
          <w:i w:val="0"/>
          <w:iCs w:val="0"/>
          <w:szCs w:val="21"/>
        </w:rPr>
        <w:fldChar w:fldCharType="separate"/>
      </w:r>
      <w:r>
        <w:rPr>
          <w:bCs w:val="0"/>
          <w:i w:val="0"/>
          <w:iCs w:val="0"/>
        </w:rPr>
        <w:t>5.3 应急资源保障</w:t>
      </w:r>
      <w:r>
        <w:rPr>
          <w:i w:val="0"/>
          <w:iCs w:val="0"/>
        </w:rPr>
        <w:tab/>
      </w:r>
      <w:r>
        <w:rPr>
          <w:i w:val="0"/>
          <w:iCs w:val="0"/>
        </w:rPr>
        <w:fldChar w:fldCharType="begin"/>
      </w:r>
      <w:r>
        <w:rPr>
          <w:i w:val="0"/>
          <w:iCs w:val="0"/>
        </w:rPr>
        <w:instrText xml:space="preserve"> PAGEREF _Toc26425 \h </w:instrText>
      </w:r>
      <w:r>
        <w:rPr>
          <w:i w:val="0"/>
          <w:iCs w:val="0"/>
        </w:rPr>
        <w:fldChar w:fldCharType="separate"/>
      </w:r>
      <w:r>
        <w:rPr>
          <w:i w:val="0"/>
          <w:iCs w:val="0"/>
        </w:rPr>
        <w:t>49</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_Toc1798 </w:instrText>
      </w:r>
      <w:r>
        <w:rPr>
          <w:rFonts w:eastAsiaTheme="majorEastAsia"/>
          <w:i w:val="0"/>
          <w:iCs w:val="0"/>
          <w:szCs w:val="21"/>
        </w:rPr>
        <w:fldChar w:fldCharType="separate"/>
      </w:r>
      <w:r>
        <w:rPr>
          <w:bCs w:val="0"/>
          <w:i w:val="0"/>
          <w:iCs w:val="0"/>
        </w:rPr>
        <w:t>5.4 经费保障</w:t>
      </w:r>
      <w:r>
        <w:rPr>
          <w:i w:val="0"/>
          <w:iCs w:val="0"/>
        </w:rPr>
        <w:tab/>
      </w:r>
      <w:r>
        <w:rPr>
          <w:i w:val="0"/>
          <w:iCs w:val="0"/>
        </w:rPr>
        <w:fldChar w:fldCharType="begin"/>
      </w:r>
      <w:r>
        <w:rPr>
          <w:i w:val="0"/>
          <w:iCs w:val="0"/>
        </w:rPr>
        <w:instrText xml:space="preserve"> PAGEREF _Toc1798 \h </w:instrText>
      </w:r>
      <w:r>
        <w:rPr>
          <w:i w:val="0"/>
          <w:iCs w:val="0"/>
        </w:rPr>
        <w:fldChar w:fldCharType="separate"/>
      </w:r>
      <w:r>
        <w:rPr>
          <w:i w:val="0"/>
          <w:iCs w:val="0"/>
        </w:rPr>
        <w:t>50</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_Toc29734 </w:instrText>
      </w:r>
      <w:r>
        <w:rPr>
          <w:rFonts w:eastAsiaTheme="majorEastAsia"/>
          <w:i w:val="0"/>
          <w:iCs w:val="0"/>
          <w:szCs w:val="21"/>
        </w:rPr>
        <w:fldChar w:fldCharType="separate"/>
      </w:r>
      <w:r>
        <w:rPr>
          <w:bCs w:val="0"/>
          <w:i w:val="0"/>
          <w:iCs w:val="0"/>
        </w:rPr>
        <w:t>5.5 医疗卫生保障</w:t>
      </w:r>
      <w:r>
        <w:rPr>
          <w:i w:val="0"/>
          <w:iCs w:val="0"/>
        </w:rPr>
        <w:tab/>
      </w:r>
      <w:r>
        <w:rPr>
          <w:i w:val="0"/>
          <w:iCs w:val="0"/>
        </w:rPr>
        <w:fldChar w:fldCharType="begin"/>
      </w:r>
      <w:r>
        <w:rPr>
          <w:i w:val="0"/>
          <w:iCs w:val="0"/>
        </w:rPr>
        <w:instrText xml:space="preserve"> PAGEREF _Toc29734 \h </w:instrText>
      </w:r>
      <w:r>
        <w:rPr>
          <w:i w:val="0"/>
          <w:iCs w:val="0"/>
        </w:rPr>
        <w:fldChar w:fldCharType="separate"/>
      </w:r>
      <w:r>
        <w:rPr>
          <w:i w:val="0"/>
          <w:iCs w:val="0"/>
        </w:rPr>
        <w:t>50</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_Toc12381 </w:instrText>
      </w:r>
      <w:r>
        <w:rPr>
          <w:rFonts w:eastAsiaTheme="majorEastAsia"/>
          <w:i w:val="0"/>
          <w:iCs w:val="0"/>
          <w:szCs w:val="21"/>
        </w:rPr>
        <w:fldChar w:fldCharType="separate"/>
      </w:r>
      <w:r>
        <w:rPr>
          <w:bCs w:val="0"/>
          <w:i w:val="0"/>
          <w:iCs w:val="0"/>
        </w:rPr>
        <w:t>5.6 物资、设备设施运输保障</w:t>
      </w:r>
      <w:r>
        <w:rPr>
          <w:i w:val="0"/>
          <w:iCs w:val="0"/>
        </w:rPr>
        <w:tab/>
      </w:r>
      <w:r>
        <w:rPr>
          <w:i w:val="0"/>
          <w:iCs w:val="0"/>
        </w:rPr>
        <w:fldChar w:fldCharType="begin"/>
      </w:r>
      <w:r>
        <w:rPr>
          <w:i w:val="0"/>
          <w:iCs w:val="0"/>
        </w:rPr>
        <w:instrText xml:space="preserve"> PAGEREF _Toc12381 \h </w:instrText>
      </w:r>
      <w:r>
        <w:rPr>
          <w:i w:val="0"/>
          <w:iCs w:val="0"/>
        </w:rPr>
        <w:fldChar w:fldCharType="separate"/>
      </w:r>
      <w:r>
        <w:rPr>
          <w:i w:val="0"/>
          <w:iCs w:val="0"/>
        </w:rPr>
        <w:t>50</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_Toc30053 </w:instrText>
      </w:r>
      <w:r>
        <w:rPr>
          <w:rFonts w:eastAsiaTheme="majorEastAsia"/>
          <w:i w:val="0"/>
          <w:iCs w:val="0"/>
          <w:szCs w:val="21"/>
        </w:rPr>
        <w:fldChar w:fldCharType="separate"/>
      </w:r>
      <w:r>
        <w:rPr>
          <w:bCs w:val="0"/>
          <w:i w:val="0"/>
          <w:iCs w:val="0"/>
        </w:rPr>
        <w:t>5.7 治安和人员安全保障</w:t>
      </w:r>
      <w:r>
        <w:rPr>
          <w:i w:val="0"/>
          <w:iCs w:val="0"/>
        </w:rPr>
        <w:tab/>
      </w:r>
      <w:r>
        <w:rPr>
          <w:i w:val="0"/>
          <w:iCs w:val="0"/>
        </w:rPr>
        <w:fldChar w:fldCharType="begin"/>
      </w:r>
      <w:r>
        <w:rPr>
          <w:i w:val="0"/>
          <w:iCs w:val="0"/>
        </w:rPr>
        <w:instrText xml:space="preserve"> PAGEREF _Toc30053 \h </w:instrText>
      </w:r>
      <w:r>
        <w:rPr>
          <w:i w:val="0"/>
          <w:iCs w:val="0"/>
        </w:rPr>
        <w:fldChar w:fldCharType="separate"/>
      </w:r>
      <w:r>
        <w:rPr>
          <w:i w:val="0"/>
          <w:iCs w:val="0"/>
        </w:rPr>
        <w:t>51</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_Toc27637 </w:instrText>
      </w:r>
      <w:r>
        <w:rPr>
          <w:rFonts w:eastAsiaTheme="majorEastAsia"/>
          <w:i w:val="0"/>
          <w:iCs w:val="0"/>
          <w:szCs w:val="21"/>
        </w:rPr>
        <w:fldChar w:fldCharType="separate"/>
      </w:r>
      <w:r>
        <w:rPr>
          <w:i w:val="0"/>
          <w:iCs w:val="0"/>
          <w:szCs w:val="32"/>
        </w:rPr>
        <w:t>6 附则</w:t>
      </w:r>
      <w:r>
        <w:rPr>
          <w:i w:val="0"/>
          <w:iCs w:val="0"/>
        </w:rPr>
        <w:tab/>
      </w:r>
      <w:r>
        <w:rPr>
          <w:i w:val="0"/>
          <w:iCs w:val="0"/>
        </w:rPr>
        <w:fldChar w:fldCharType="begin"/>
      </w:r>
      <w:r>
        <w:rPr>
          <w:i w:val="0"/>
          <w:iCs w:val="0"/>
        </w:rPr>
        <w:instrText xml:space="preserve"> PAGEREF _Toc27637 \h </w:instrText>
      </w:r>
      <w:r>
        <w:rPr>
          <w:i w:val="0"/>
          <w:iCs w:val="0"/>
        </w:rPr>
        <w:fldChar w:fldCharType="separate"/>
      </w:r>
      <w:r>
        <w:rPr>
          <w:i w:val="0"/>
          <w:iCs w:val="0"/>
        </w:rPr>
        <w:t>52</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_Toc24378 </w:instrText>
      </w:r>
      <w:r>
        <w:rPr>
          <w:rFonts w:eastAsiaTheme="majorEastAsia"/>
          <w:i w:val="0"/>
          <w:iCs w:val="0"/>
          <w:szCs w:val="21"/>
        </w:rPr>
        <w:fldChar w:fldCharType="separate"/>
      </w:r>
      <w:r>
        <w:rPr>
          <w:i w:val="0"/>
          <w:iCs w:val="0"/>
          <w:szCs w:val="28"/>
        </w:rPr>
        <w:t>6.1 名词术语</w:t>
      </w:r>
      <w:r>
        <w:rPr>
          <w:i w:val="0"/>
          <w:iCs w:val="0"/>
        </w:rPr>
        <w:tab/>
      </w:r>
      <w:r>
        <w:rPr>
          <w:i w:val="0"/>
          <w:iCs w:val="0"/>
        </w:rPr>
        <w:fldChar w:fldCharType="begin"/>
      </w:r>
      <w:r>
        <w:rPr>
          <w:i w:val="0"/>
          <w:iCs w:val="0"/>
        </w:rPr>
        <w:instrText xml:space="preserve"> PAGEREF _Toc24378 \h </w:instrText>
      </w:r>
      <w:r>
        <w:rPr>
          <w:i w:val="0"/>
          <w:iCs w:val="0"/>
        </w:rPr>
        <w:fldChar w:fldCharType="separate"/>
      </w:r>
      <w:r>
        <w:rPr>
          <w:i w:val="0"/>
          <w:iCs w:val="0"/>
        </w:rPr>
        <w:t>52</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_Toc18622 </w:instrText>
      </w:r>
      <w:r>
        <w:rPr>
          <w:rFonts w:eastAsiaTheme="majorEastAsia"/>
          <w:i w:val="0"/>
          <w:iCs w:val="0"/>
          <w:szCs w:val="21"/>
        </w:rPr>
        <w:fldChar w:fldCharType="separate"/>
      </w:r>
      <w:r>
        <w:rPr>
          <w:i w:val="0"/>
          <w:iCs w:val="0"/>
          <w:szCs w:val="28"/>
        </w:rPr>
        <w:t>6.2 预案发布与解释</w:t>
      </w:r>
      <w:r>
        <w:rPr>
          <w:i w:val="0"/>
          <w:iCs w:val="0"/>
        </w:rPr>
        <w:tab/>
      </w:r>
      <w:r>
        <w:rPr>
          <w:i w:val="0"/>
          <w:iCs w:val="0"/>
        </w:rPr>
        <w:fldChar w:fldCharType="begin"/>
      </w:r>
      <w:r>
        <w:rPr>
          <w:i w:val="0"/>
          <w:iCs w:val="0"/>
        </w:rPr>
        <w:instrText xml:space="preserve"> PAGEREF _Toc18622 \h </w:instrText>
      </w:r>
      <w:r>
        <w:rPr>
          <w:i w:val="0"/>
          <w:iCs w:val="0"/>
        </w:rPr>
        <w:fldChar w:fldCharType="separate"/>
      </w:r>
      <w:r>
        <w:rPr>
          <w:i w:val="0"/>
          <w:iCs w:val="0"/>
        </w:rPr>
        <w:t>53</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_Toc10665 </w:instrText>
      </w:r>
      <w:r>
        <w:rPr>
          <w:rFonts w:eastAsiaTheme="majorEastAsia"/>
          <w:i w:val="0"/>
          <w:iCs w:val="0"/>
          <w:szCs w:val="21"/>
        </w:rPr>
        <w:fldChar w:fldCharType="separate"/>
      </w:r>
      <w:r>
        <w:rPr>
          <w:i w:val="0"/>
          <w:iCs w:val="0"/>
          <w:szCs w:val="28"/>
        </w:rPr>
        <w:t>6.3 预案演练</w:t>
      </w:r>
      <w:r>
        <w:rPr>
          <w:i w:val="0"/>
          <w:iCs w:val="0"/>
        </w:rPr>
        <w:tab/>
      </w:r>
      <w:r>
        <w:rPr>
          <w:i w:val="0"/>
          <w:iCs w:val="0"/>
        </w:rPr>
        <w:fldChar w:fldCharType="begin"/>
      </w:r>
      <w:r>
        <w:rPr>
          <w:i w:val="0"/>
          <w:iCs w:val="0"/>
        </w:rPr>
        <w:instrText xml:space="preserve"> PAGEREF _Toc10665 \h </w:instrText>
      </w:r>
      <w:r>
        <w:rPr>
          <w:i w:val="0"/>
          <w:iCs w:val="0"/>
        </w:rPr>
        <w:fldChar w:fldCharType="separate"/>
      </w:r>
      <w:r>
        <w:rPr>
          <w:i w:val="0"/>
          <w:iCs w:val="0"/>
        </w:rPr>
        <w:t>54</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_Toc14387 </w:instrText>
      </w:r>
      <w:r>
        <w:rPr>
          <w:rFonts w:eastAsiaTheme="majorEastAsia"/>
          <w:i w:val="0"/>
          <w:iCs w:val="0"/>
          <w:szCs w:val="21"/>
        </w:rPr>
        <w:fldChar w:fldCharType="separate"/>
      </w:r>
      <w:r>
        <w:rPr>
          <w:rFonts w:hint="eastAsia"/>
          <w:i w:val="0"/>
          <w:iCs w:val="0"/>
          <w:lang w:val="en-US" w:eastAsia="zh-CN"/>
        </w:rPr>
        <w:t>6.3.1 桌面推演</w:t>
      </w:r>
      <w:r>
        <w:rPr>
          <w:i w:val="0"/>
          <w:iCs w:val="0"/>
        </w:rPr>
        <w:tab/>
      </w:r>
      <w:r>
        <w:rPr>
          <w:i w:val="0"/>
          <w:iCs w:val="0"/>
        </w:rPr>
        <w:fldChar w:fldCharType="begin"/>
      </w:r>
      <w:r>
        <w:rPr>
          <w:i w:val="0"/>
          <w:iCs w:val="0"/>
        </w:rPr>
        <w:instrText xml:space="preserve"> PAGEREF _Toc14387 \h </w:instrText>
      </w:r>
      <w:r>
        <w:rPr>
          <w:i w:val="0"/>
          <w:iCs w:val="0"/>
        </w:rPr>
        <w:fldChar w:fldCharType="separate"/>
      </w:r>
      <w:r>
        <w:rPr>
          <w:i w:val="0"/>
          <w:iCs w:val="0"/>
        </w:rPr>
        <w:t>54</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_Toc7075 </w:instrText>
      </w:r>
      <w:r>
        <w:rPr>
          <w:rFonts w:eastAsiaTheme="majorEastAsia"/>
          <w:i w:val="0"/>
          <w:iCs w:val="0"/>
          <w:szCs w:val="21"/>
        </w:rPr>
        <w:fldChar w:fldCharType="separate"/>
      </w:r>
      <w:r>
        <w:rPr>
          <w:rFonts w:hint="eastAsia"/>
          <w:i w:val="0"/>
          <w:iCs w:val="0"/>
          <w:lang w:val="en-US" w:eastAsia="zh-CN"/>
        </w:rPr>
        <w:t>6.3.2 跨界演练内容</w:t>
      </w:r>
      <w:r>
        <w:rPr>
          <w:i w:val="0"/>
          <w:iCs w:val="0"/>
        </w:rPr>
        <w:tab/>
      </w:r>
      <w:r>
        <w:rPr>
          <w:i w:val="0"/>
          <w:iCs w:val="0"/>
        </w:rPr>
        <w:fldChar w:fldCharType="begin"/>
      </w:r>
      <w:r>
        <w:rPr>
          <w:i w:val="0"/>
          <w:iCs w:val="0"/>
        </w:rPr>
        <w:instrText xml:space="preserve"> PAGEREF _Toc7075 \h </w:instrText>
      </w:r>
      <w:r>
        <w:rPr>
          <w:i w:val="0"/>
          <w:iCs w:val="0"/>
        </w:rPr>
        <w:fldChar w:fldCharType="separate"/>
      </w:r>
      <w:r>
        <w:rPr>
          <w:i w:val="0"/>
          <w:iCs w:val="0"/>
        </w:rPr>
        <w:t>54</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_Toc7007 </w:instrText>
      </w:r>
      <w:r>
        <w:rPr>
          <w:rFonts w:eastAsiaTheme="majorEastAsia"/>
          <w:i w:val="0"/>
          <w:iCs w:val="0"/>
          <w:szCs w:val="21"/>
        </w:rPr>
        <w:fldChar w:fldCharType="separate"/>
      </w:r>
      <w:r>
        <w:rPr>
          <w:rFonts w:hint="eastAsia"/>
          <w:i w:val="0"/>
          <w:iCs w:val="0"/>
          <w:lang w:val="en-US" w:eastAsia="zh-CN"/>
        </w:rPr>
        <w:t xml:space="preserve">6.3.3 </w:t>
      </w:r>
      <w:r>
        <w:rPr>
          <w:rFonts w:hint="default"/>
          <w:i w:val="0"/>
          <w:iCs w:val="0"/>
          <w:lang w:val="en-US"/>
        </w:rPr>
        <w:t>常态化抽查演练内容（汛期、节假日专项）</w:t>
      </w:r>
      <w:r>
        <w:rPr>
          <w:i w:val="0"/>
          <w:iCs w:val="0"/>
        </w:rPr>
        <w:tab/>
      </w:r>
      <w:r>
        <w:rPr>
          <w:i w:val="0"/>
          <w:iCs w:val="0"/>
        </w:rPr>
        <w:fldChar w:fldCharType="begin"/>
      </w:r>
      <w:r>
        <w:rPr>
          <w:i w:val="0"/>
          <w:iCs w:val="0"/>
        </w:rPr>
        <w:instrText xml:space="preserve"> PAGEREF _Toc7007 \h </w:instrText>
      </w:r>
      <w:r>
        <w:rPr>
          <w:i w:val="0"/>
          <w:iCs w:val="0"/>
        </w:rPr>
        <w:fldChar w:fldCharType="separate"/>
      </w:r>
      <w:r>
        <w:rPr>
          <w:i w:val="0"/>
          <w:iCs w:val="0"/>
        </w:rPr>
        <w:t>55</w:t>
      </w:r>
      <w:r>
        <w:rPr>
          <w:i w:val="0"/>
          <w:iCs w:val="0"/>
        </w:rPr>
        <w:fldChar w:fldCharType="end"/>
      </w:r>
      <w:r>
        <w:rPr>
          <w:rFonts w:eastAsiaTheme="majorEastAsia"/>
          <w:i w:val="0"/>
          <w:iCs w:val="0"/>
          <w:color w:val="auto"/>
          <w:szCs w:val="21"/>
        </w:rPr>
        <w:fldChar w:fldCharType="end"/>
      </w:r>
    </w:p>
    <w:p>
      <w:pPr>
        <w:pStyle w:val="19"/>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_Toc22647 </w:instrText>
      </w:r>
      <w:r>
        <w:rPr>
          <w:rFonts w:eastAsiaTheme="majorEastAsia"/>
          <w:i w:val="0"/>
          <w:iCs w:val="0"/>
          <w:szCs w:val="21"/>
        </w:rPr>
        <w:fldChar w:fldCharType="separate"/>
      </w:r>
      <w:r>
        <w:rPr>
          <w:rFonts w:hint="eastAsia"/>
          <w:i w:val="0"/>
          <w:iCs w:val="0"/>
          <w:lang w:val="en-US" w:eastAsia="zh-CN"/>
        </w:rPr>
        <w:t>6.3.4 演练目的</w:t>
      </w:r>
      <w:r>
        <w:rPr>
          <w:i w:val="0"/>
          <w:iCs w:val="0"/>
        </w:rPr>
        <w:tab/>
      </w:r>
      <w:r>
        <w:rPr>
          <w:i w:val="0"/>
          <w:iCs w:val="0"/>
        </w:rPr>
        <w:fldChar w:fldCharType="begin"/>
      </w:r>
      <w:r>
        <w:rPr>
          <w:i w:val="0"/>
          <w:iCs w:val="0"/>
        </w:rPr>
        <w:instrText xml:space="preserve"> PAGEREF _Toc22647 \h </w:instrText>
      </w:r>
      <w:r>
        <w:rPr>
          <w:i w:val="0"/>
          <w:iCs w:val="0"/>
        </w:rPr>
        <w:fldChar w:fldCharType="separate"/>
      </w:r>
      <w:r>
        <w:rPr>
          <w:i w:val="0"/>
          <w:iCs w:val="0"/>
        </w:rPr>
        <w:t>55</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_Toc31992 </w:instrText>
      </w:r>
      <w:r>
        <w:rPr>
          <w:rFonts w:eastAsiaTheme="majorEastAsia"/>
          <w:i w:val="0"/>
          <w:iCs w:val="0"/>
          <w:szCs w:val="21"/>
        </w:rPr>
        <w:fldChar w:fldCharType="separate"/>
      </w:r>
      <w:r>
        <w:rPr>
          <w:i w:val="0"/>
          <w:iCs w:val="0"/>
          <w:szCs w:val="28"/>
        </w:rPr>
        <w:t>6.4 预案修订</w:t>
      </w:r>
      <w:r>
        <w:rPr>
          <w:i w:val="0"/>
          <w:iCs w:val="0"/>
        </w:rPr>
        <w:tab/>
      </w:r>
      <w:r>
        <w:rPr>
          <w:i w:val="0"/>
          <w:iCs w:val="0"/>
        </w:rPr>
        <w:fldChar w:fldCharType="begin"/>
      </w:r>
      <w:r>
        <w:rPr>
          <w:i w:val="0"/>
          <w:iCs w:val="0"/>
        </w:rPr>
        <w:instrText xml:space="preserve"> PAGEREF _Toc31992 \h </w:instrText>
      </w:r>
      <w:r>
        <w:rPr>
          <w:i w:val="0"/>
          <w:iCs w:val="0"/>
        </w:rPr>
        <w:fldChar w:fldCharType="separate"/>
      </w:r>
      <w:r>
        <w:rPr>
          <w:i w:val="0"/>
          <w:iCs w:val="0"/>
        </w:rPr>
        <w:t>55</w:t>
      </w:r>
      <w:r>
        <w:rPr>
          <w:i w:val="0"/>
          <w:iCs w:val="0"/>
        </w:rPr>
        <w:fldChar w:fldCharType="end"/>
      </w:r>
      <w:r>
        <w:rPr>
          <w:rFonts w:eastAsiaTheme="majorEastAsia"/>
          <w:i w:val="0"/>
          <w:iCs w:val="0"/>
          <w:color w:val="auto"/>
          <w:szCs w:val="21"/>
        </w:rPr>
        <w:fldChar w:fldCharType="end"/>
      </w:r>
    </w:p>
    <w:p>
      <w:pPr>
        <w:pStyle w:val="34"/>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_Toc2565 </w:instrText>
      </w:r>
      <w:r>
        <w:rPr>
          <w:rFonts w:eastAsiaTheme="majorEastAsia"/>
          <w:i w:val="0"/>
          <w:iCs w:val="0"/>
          <w:szCs w:val="21"/>
        </w:rPr>
        <w:fldChar w:fldCharType="separate"/>
      </w:r>
      <w:r>
        <w:rPr>
          <w:i w:val="0"/>
          <w:iCs w:val="0"/>
          <w:szCs w:val="28"/>
        </w:rPr>
        <w:t>6.5 预案实施日期</w:t>
      </w:r>
      <w:r>
        <w:rPr>
          <w:i w:val="0"/>
          <w:iCs w:val="0"/>
        </w:rPr>
        <w:tab/>
      </w:r>
      <w:r>
        <w:rPr>
          <w:i w:val="0"/>
          <w:iCs w:val="0"/>
        </w:rPr>
        <w:fldChar w:fldCharType="begin"/>
      </w:r>
      <w:r>
        <w:rPr>
          <w:i w:val="0"/>
          <w:iCs w:val="0"/>
        </w:rPr>
        <w:instrText xml:space="preserve"> PAGEREF _Toc2565 \h </w:instrText>
      </w:r>
      <w:r>
        <w:rPr>
          <w:i w:val="0"/>
          <w:iCs w:val="0"/>
        </w:rPr>
        <w:fldChar w:fldCharType="separate"/>
      </w:r>
      <w:r>
        <w:rPr>
          <w:i w:val="0"/>
          <w:iCs w:val="0"/>
        </w:rPr>
        <w:t>56</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_Toc2399 </w:instrText>
      </w:r>
      <w:r>
        <w:rPr>
          <w:rFonts w:eastAsiaTheme="majorEastAsia"/>
          <w:i w:val="0"/>
          <w:iCs w:val="0"/>
          <w:szCs w:val="21"/>
        </w:rPr>
        <w:fldChar w:fldCharType="separate"/>
      </w:r>
      <w:r>
        <w:rPr>
          <w:i w:val="0"/>
          <w:iCs w:val="0"/>
          <w:szCs w:val="28"/>
        </w:rPr>
        <w:t>附件1</w:t>
      </w:r>
      <w:r>
        <w:rPr>
          <w:rFonts w:hint="eastAsia"/>
          <w:i w:val="0"/>
          <w:iCs w:val="0"/>
          <w:szCs w:val="28"/>
          <w:lang w:val="en-US" w:eastAsia="zh-CN"/>
        </w:rPr>
        <w:t xml:space="preserve"> </w:t>
      </w:r>
      <w:r>
        <w:rPr>
          <w:i w:val="0"/>
          <w:iCs w:val="0"/>
          <w:szCs w:val="28"/>
        </w:rPr>
        <w:t>水源地应急指挥机构成员</w:t>
      </w:r>
      <w:r>
        <w:rPr>
          <w:rFonts w:hint="eastAsia"/>
          <w:i w:val="0"/>
          <w:iCs w:val="0"/>
          <w:szCs w:val="28"/>
          <w:lang w:val="en-US" w:eastAsia="zh-CN"/>
        </w:rPr>
        <w:t>主要</w:t>
      </w:r>
      <w:r>
        <w:rPr>
          <w:i w:val="0"/>
          <w:iCs w:val="0"/>
          <w:szCs w:val="28"/>
        </w:rPr>
        <w:t>单位职责</w:t>
      </w:r>
      <w:r>
        <w:rPr>
          <w:i w:val="0"/>
          <w:iCs w:val="0"/>
        </w:rPr>
        <w:tab/>
      </w:r>
      <w:r>
        <w:rPr>
          <w:i w:val="0"/>
          <w:iCs w:val="0"/>
        </w:rPr>
        <w:fldChar w:fldCharType="begin"/>
      </w:r>
      <w:r>
        <w:rPr>
          <w:i w:val="0"/>
          <w:iCs w:val="0"/>
        </w:rPr>
        <w:instrText xml:space="preserve"> PAGEREF _Toc2399 \h </w:instrText>
      </w:r>
      <w:r>
        <w:rPr>
          <w:i w:val="0"/>
          <w:iCs w:val="0"/>
        </w:rPr>
        <w:fldChar w:fldCharType="separate"/>
      </w:r>
      <w:r>
        <w:rPr>
          <w:i w:val="0"/>
          <w:iCs w:val="0"/>
        </w:rPr>
        <w:t>57</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_Toc5441 </w:instrText>
      </w:r>
      <w:r>
        <w:rPr>
          <w:rFonts w:eastAsiaTheme="majorEastAsia"/>
          <w:i w:val="0"/>
          <w:iCs w:val="0"/>
          <w:szCs w:val="21"/>
        </w:rPr>
        <w:fldChar w:fldCharType="separate"/>
      </w:r>
      <w:r>
        <w:rPr>
          <w:i w:val="0"/>
          <w:iCs w:val="0"/>
          <w:szCs w:val="28"/>
        </w:rPr>
        <w:t>附件</w:t>
      </w:r>
      <w:r>
        <w:rPr>
          <w:rFonts w:hint="eastAsia"/>
          <w:i w:val="0"/>
          <w:iCs w:val="0"/>
          <w:szCs w:val="28"/>
          <w:lang w:val="en-US" w:eastAsia="zh-CN"/>
        </w:rPr>
        <w:t xml:space="preserve">2 </w:t>
      </w:r>
      <w:r>
        <w:rPr>
          <w:i w:val="0"/>
          <w:iCs w:val="0"/>
          <w:szCs w:val="28"/>
        </w:rPr>
        <w:t>应急工作组组成及职责</w:t>
      </w:r>
      <w:r>
        <w:rPr>
          <w:rFonts w:hint="eastAsia"/>
          <w:i w:val="0"/>
          <w:iCs w:val="0"/>
          <w:szCs w:val="28"/>
          <w:lang w:eastAsia="zh-CN"/>
        </w:rPr>
        <w:t>、</w:t>
      </w:r>
      <w:r>
        <w:rPr>
          <w:rFonts w:hint="eastAsia"/>
          <w:i w:val="0"/>
          <w:iCs w:val="0"/>
          <w:szCs w:val="28"/>
          <w:lang w:val="en-US" w:eastAsia="zh-CN"/>
        </w:rPr>
        <w:t>应急通讯录</w:t>
      </w:r>
      <w:r>
        <w:rPr>
          <w:i w:val="0"/>
          <w:iCs w:val="0"/>
        </w:rPr>
        <w:tab/>
      </w:r>
      <w:r>
        <w:rPr>
          <w:i w:val="0"/>
          <w:iCs w:val="0"/>
        </w:rPr>
        <w:fldChar w:fldCharType="begin"/>
      </w:r>
      <w:r>
        <w:rPr>
          <w:i w:val="0"/>
          <w:iCs w:val="0"/>
        </w:rPr>
        <w:instrText xml:space="preserve"> PAGEREF _Toc5441 \h </w:instrText>
      </w:r>
      <w:r>
        <w:rPr>
          <w:i w:val="0"/>
          <w:iCs w:val="0"/>
        </w:rPr>
        <w:fldChar w:fldCharType="separate"/>
      </w:r>
      <w:r>
        <w:rPr>
          <w:i w:val="0"/>
          <w:iCs w:val="0"/>
        </w:rPr>
        <w:t>70</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_Toc7040 </w:instrText>
      </w:r>
      <w:r>
        <w:rPr>
          <w:rFonts w:eastAsiaTheme="majorEastAsia"/>
          <w:i w:val="0"/>
          <w:iCs w:val="0"/>
          <w:szCs w:val="21"/>
        </w:rPr>
        <w:fldChar w:fldCharType="separate"/>
      </w:r>
      <w:r>
        <w:rPr>
          <w:i w:val="0"/>
          <w:iCs w:val="0"/>
          <w:szCs w:val="28"/>
        </w:rPr>
        <w:t>附件</w:t>
      </w:r>
      <w:r>
        <w:rPr>
          <w:rFonts w:hint="eastAsia"/>
          <w:i w:val="0"/>
          <w:iCs w:val="0"/>
          <w:szCs w:val="28"/>
          <w:lang w:val="en-US" w:eastAsia="zh-CN"/>
        </w:rPr>
        <w:t xml:space="preserve">3 </w:t>
      </w:r>
      <w:r>
        <w:rPr>
          <w:i w:val="0"/>
          <w:iCs w:val="0"/>
          <w:szCs w:val="28"/>
        </w:rPr>
        <w:t>水源地</w:t>
      </w:r>
      <w:r>
        <w:rPr>
          <w:rFonts w:hint="eastAsia"/>
          <w:i w:val="0"/>
          <w:iCs w:val="0"/>
          <w:szCs w:val="28"/>
          <w:lang w:eastAsia="zh-CN"/>
        </w:rPr>
        <w:t>突发生态环境事件</w:t>
      </w:r>
      <w:r>
        <w:rPr>
          <w:i w:val="0"/>
          <w:iCs w:val="0"/>
          <w:szCs w:val="28"/>
        </w:rPr>
        <w:t>应急响应流程图</w:t>
      </w:r>
      <w:r>
        <w:rPr>
          <w:i w:val="0"/>
          <w:iCs w:val="0"/>
        </w:rPr>
        <w:tab/>
      </w:r>
      <w:r>
        <w:rPr>
          <w:i w:val="0"/>
          <w:iCs w:val="0"/>
        </w:rPr>
        <w:fldChar w:fldCharType="begin"/>
      </w:r>
      <w:r>
        <w:rPr>
          <w:i w:val="0"/>
          <w:iCs w:val="0"/>
        </w:rPr>
        <w:instrText xml:space="preserve"> PAGEREF _Toc7040 \h </w:instrText>
      </w:r>
      <w:r>
        <w:rPr>
          <w:i w:val="0"/>
          <w:iCs w:val="0"/>
        </w:rPr>
        <w:fldChar w:fldCharType="separate"/>
      </w:r>
      <w:r>
        <w:rPr>
          <w:i w:val="0"/>
          <w:iCs w:val="0"/>
        </w:rPr>
        <w:t>78</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_Toc29696 </w:instrText>
      </w:r>
      <w:r>
        <w:rPr>
          <w:rFonts w:eastAsiaTheme="majorEastAsia"/>
          <w:i w:val="0"/>
          <w:iCs w:val="0"/>
          <w:szCs w:val="21"/>
        </w:rPr>
        <w:fldChar w:fldCharType="separate"/>
      </w:r>
      <w:r>
        <w:rPr>
          <w:i w:val="0"/>
          <w:iCs w:val="0"/>
          <w:szCs w:val="28"/>
        </w:rPr>
        <w:t>附件</w:t>
      </w:r>
      <w:r>
        <w:rPr>
          <w:rFonts w:hint="eastAsia"/>
          <w:i w:val="0"/>
          <w:iCs w:val="0"/>
          <w:szCs w:val="28"/>
          <w:lang w:val="en-US" w:eastAsia="zh-CN"/>
        </w:rPr>
        <w:t xml:space="preserve">4 </w:t>
      </w:r>
      <w:r>
        <w:rPr>
          <w:i w:val="0"/>
          <w:iCs w:val="0"/>
          <w:szCs w:val="28"/>
        </w:rPr>
        <w:t>水源地应急响应措施</w:t>
      </w:r>
      <w:r>
        <w:rPr>
          <w:i w:val="0"/>
          <w:iCs w:val="0"/>
        </w:rPr>
        <w:tab/>
      </w:r>
      <w:r>
        <w:rPr>
          <w:i w:val="0"/>
          <w:iCs w:val="0"/>
        </w:rPr>
        <w:fldChar w:fldCharType="begin"/>
      </w:r>
      <w:r>
        <w:rPr>
          <w:i w:val="0"/>
          <w:iCs w:val="0"/>
        </w:rPr>
        <w:instrText xml:space="preserve"> PAGEREF _Toc29696 \h </w:instrText>
      </w:r>
      <w:r>
        <w:rPr>
          <w:i w:val="0"/>
          <w:iCs w:val="0"/>
        </w:rPr>
        <w:fldChar w:fldCharType="separate"/>
      </w:r>
      <w:r>
        <w:rPr>
          <w:i w:val="0"/>
          <w:iCs w:val="0"/>
        </w:rPr>
        <w:t>79</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_Toc11762 </w:instrText>
      </w:r>
      <w:r>
        <w:rPr>
          <w:rFonts w:eastAsiaTheme="majorEastAsia"/>
          <w:i w:val="0"/>
          <w:iCs w:val="0"/>
          <w:szCs w:val="21"/>
        </w:rPr>
        <w:fldChar w:fldCharType="separate"/>
      </w:r>
      <w:r>
        <w:rPr>
          <w:i w:val="0"/>
          <w:iCs w:val="0"/>
          <w:szCs w:val="28"/>
        </w:rPr>
        <w:t>附件</w:t>
      </w:r>
      <w:r>
        <w:rPr>
          <w:rFonts w:hint="eastAsia"/>
          <w:i w:val="0"/>
          <w:iCs w:val="0"/>
          <w:szCs w:val="28"/>
          <w:lang w:val="en-US" w:eastAsia="zh-CN"/>
        </w:rPr>
        <w:t xml:space="preserve">5 </w:t>
      </w:r>
      <w:r>
        <w:rPr>
          <w:rFonts w:hint="eastAsia"/>
          <w:i w:val="0"/>
          <w:iCs w:val="0"/>
        </w:rPr>
        <w:t>水华防控及应急措施</w:t>
      </w:r>
      <w:r>
        <w:rPr>
          <w:i w:val="0"/>
          <w:iCs w:val="0"/>
        </w:rPr>
        <w:tab/>
      </w:r>
      <w:r>
        <w:rPr>
          <w:i w:val="0"/>
          <w:iCs w:val="0"/>
        </w:rPr>
        <w:fldChar w:fldCharType="begin"/>
      </w:r>
      <w:r>
        <w:rPr>
          <w:i w:val="0"/>
          <w:iCs w:val="0"/>
        </w:rPr>
        <w:instrText xml:space="preserve"> PAGEREF _Toc11762 \h </w:instrText>
      </w:r>
      <w:r>
        <w:rPr>
          <w:i w:val="0"/>
          <w:iCs w:val="0"/>
        </w:rPr>
        <w:fldChar w:fldCharType="separate"/>
      </w:r>
      <w:r>
        <w:rPr>
          <w:i w:val="0"/>
          <w:iCs w:val="0"/>
        </w:rPr>
        <w:t>85</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_Toc26170 </w:instrText>
      </w:r>
      <w:r>
        <w:rPr>
          <w:rFonts w:eastAsiaTheme="majorEastAsia"/>
          <w:i w:val="0"/>
          <w:iCs w:val="0"/>
          <w:szCs w:val="21"/>
        </w:rPr>
        <w:fldChar w:fldCharType="separate"/>
      </w:r>
      <w:r>
        <w:rPr>
          <w:i w:val="0"/>
          <w:iCs w:val="0"/>
          <w:szCs w:val="28"/>
        </w:rPr>
        <w:t>附件</w:t>
      </w:r>
      <w:r>
        <w:rPr>
          <w:rFonts w:hint="eastAsia"/>
          <w:i w:val="0"/>
          <w:iCs w:val="0"/>
          <w:szCs w:val="28"/>
          <w:lang w:val="en-US" w:eastAsia="zh-CN"/>
        </w:rPr>
        <w:t xml:space="preserve">6 </w:t>
      </w:r>
      <w:r>
        <w:rPr>
          <w:i w:val="0"/>
          <w:iCs w:val="0"/>
          <w:szCs w:val="28"/>
        </w:rPr>
        <w:t>不同污染物推荐处理技术</w:t>
      </w:r>
      <w:r>
        <w:rPr>
          <w:i w:val="0"/>
          <w:iCs w:val="0"/>
        </w:rPr>
        <w:tab/>
      </w:r>
      <w:r>
        <w:rPr>
          <w:i w:val="0"/>
          <w:iCs w:val="0"/>
        </w:rPr>
        <w:fldChar w:fldCharType="begin"/>
      </w:r>
      <w:r>
        <w:rPr>
          <w:i w:val="0"/>
          <w:iCs w:val="0"/>
        </w:rPr>
        <w:instrText xml:space="preserve"> PAGEREF _Toc26170 \h </w:instrText>
      </w:r>
      <w:r>
        <w:rPr>
          <w:i w:val="0"/>
          <w:iCs w:val="0"/>
        </w:rPr>
        <w:fldChar w:fldCharType="separate"/>
      </w:r>
      <w:r>
        <w:rPr>
          <w:i w:val="0"/>
          <w:iCs w:val="0"/>
        </w:rPr>
        <w:t>87</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_Toc14781 </w:instrText>
      </w:r>
      <w:r>
        <w:rPr>
          <w:rFonts w:eastAsiaTheme="majorEastAsia"/>
          <w:i w:val="0"/>
          <w:iCs w:val="0"/>
          <w:szCs w:val="21"/>
        </w:rPr>
        <w:fldChar w:fldCharType="separate"/>
      </w:r>
      <w:r>
        <w:rPr>
          <w:i w:val="0"/>
          <w:iCs w:val="0"/>
          <w:szCs w:val="28"/>
        </w:rPr>
        <w:t>附件</w:t>
      </w:r>
      <w:r>
        <w:rPr>
          <w:rFonts w:hint="eastAsia"/>
          <w:i w:val="0"/>
          <w:iCs w:val="0"/>
          <w:szCs w:val="28"/>
          <w:lang w:val="en-US" w:eastAsia="zh-CN"/>
        </w:rPr>
        <w:t xml:space="preserve">7 </w:t>
      </w:r>
      <w:r>
        <w:rPr>
          <w:i w:val="0"/>
          <w:iCs w:val="0"/>
          <w:szCs w:val="28"/>
        </w:rPr>
        <w:t>典型污染物应急处置技术</w:t>
      </w:r>
      <w:r>
        <w:rPr>
          <w:i w:val="0"/>
          <w:iCs w:val="0"/>
        </w:rPr>
        <w:tab/>
      </w:r>
      <w:r>
        <w:rPr>
          <w:i w:val="0"/>
          <w:iCs w:val="0"/>
        </w:rPr>
        <w:fldChar w:fldCharType="begin"/>
      </w:r>
      <w:r>
        <w:rPr>
          <w:i w:val="0"/>
          <w:iCs w:val="0"/>
        </w:rPr>
        <w:instrText xml:space="preserve"> PAGEREF _Toc14781 \h </w:instrText>
      </w:r>
      <w:r>
        <w:rPr>
          <w:i w:val="0"/>
          <w:iCs w:val="0"/>
        </w:rPr>
        <w:fldChar w:fldCharType="separate"/>
      </w:r>
      <w:r>
        <w:rPr>
          <w:i w:val="0"/>
          <w:iCs w:val="0"/>
        </w:rPr>
        <w:t>89</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_Toc32272 </w:instrText>
      </w:r>
      <w:r>
        <w:rPr>
          <w:rFonts w:eastAsiaTheme="majorEastAsia"/>
          <w:i w:val="0"/>
          <w:iCs w:val="0"/>
          <w:szCs w:val="21"/>
        </w:rPr>
        <w:fldChar w:fldCharType="separate"/>
      </w:r>
      <w:r>
        <w:rPr>
          <w:i w:val="0"/>
          <w:iCs w:val="0"/>
          <w:szCs w:val="28"/>
        </w:rPr>
        <w:t>附件</w:t>
      </w:r>
      <w:r>
        <w:rPr>
          <w:rFonts w:hint="eastAsia"/>
          <w:i w:val="0"/>
          <w:iCs w:val="0"/>
          <w:szCs w:val="28"/>
          <w:lang w:val="en-US" w:eastAsia="zh-CN"/>
        </w:rPr>
        <w:t xml:space="preserve">8 </w:t>
      </w:r>
      <w:r>
        <w:rPr>
          <w:i w:val="0"/>
          <w:iCs w:val="0"/>
          <w:szCs w:val="28"/>
        </w:rPr>
        <w:t>水源地</w:t>
      </w:r>
      <w:r>
        <w:rPr>
          <w:rFonts w:hint="eastAsia"/>
          <w:i w:val="0"/>
          <w:iCs w:val="0"/>
          <w:szCs w:val="28"/>
          <w:lang w:eastAsia="zh-CN"/>
        </w:rPr>
        <w:t>突发生态环境事件</w:t>
      </w:r>
      <w:r>
        <w:rPr>
          <w:i w:val="0"/>
          <w:iCs w:val="0"/>
          <w:szCs w:val="28"/>
        </w:rPr>
        <w:t>现场调查表</w:t>
      </w:r>
      <w:r>
        <w:rPr>
          <w:i w:val="0"/>
          <w:iCs w:val="0"/>
        </w:rPr>
        <w:tab/>
      </w:r>
      <w:r>
        <w:rPr>
          <w:i w:val="0"/>
          <w:iCs w:val="0"/>
        </w:rPr>
        <w:fldChar w:fldCharType="begin"/>
      </w:r>
      <w:r>
        <w:rPr>
          <w:i w:val="0"/>
          <w:iCs w:val="0"/>
        </w:rPr>
        <w:instrText xml:space="preserve"> PAGEREF _Toc32272 \h </w:instrText>
      </w:r>
      <w:r>
        <w:rPr>
          <w:i w:val="0"/>
          <w:iCs w:val="0"/>
        </w:rPr>
        <w:fldChar w:fldCharType="separate"/>
      </w:r>
      <w:r>
        <w:rPr>
          <w:i w:val="0"/>
          <w:iCs w:val="0"/>
        </w:rPr>
        <w:t>96</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_Toc6323 </w:instrText>
      </w:r>
      <w:r>
        <w:rPr>
          <w:rFonts w:eastAsiaTheme="majorEastAsia"/>
          <w:i w:val="0"/>
          <w:iCs w:val="0"/>
          <w:szCs w:val="21"/>
        </w:rPr>
        <w:fldChar w:fldCharType="separate"/>
      </w:r>
      <w:r>
        <w:rPr>
          <w:i w:val="0"/>
          <w:iCs w:val="0"/>
          <w:szCs w:val="28"/>
        </w:rPr>
        <w:t>附件</w:t>
      </w:r>
      <w:r>
        <w:rPr>
          <w:rFonts w:hint="eastAsia"/>
          <w:i w:val="0"/>
          <w:iCs w:val="0"/>
          <w:szCs w:val="28"/>
          <w:lang w:val="en-US" w:eastAsia="zh-CN"/>
        </w:rPr>
        <w:t xml:space="preserve">9 </w:t>
      </w:r>
      <w:r>
        <w:rPr>
          <w:i w:val="0"/>
          <w:iCs w:val="0"/>
          <w:szCs w:val="28"/>
        </w:rPr>
        <w:t>水源地</w:t>
      </w:r>
      <w:r>
        <w:rPr>
          <w:rFonts w:hint="eastAsia"/>
          <w:i w:val="0"/>
          <w:iCs w:val="0"/>
          <w:szCs w:val="28"/>
          <w:lang w:eastAsia="zh-CN"/>
        </w:rPr>
        <w:t>突发生态环境事件</w:t>
      </w:r>
      <w:r>
        <w:rPr>
          <w:i w:val="0"/>
          <w:iCs w:val="0"/>
          <w:szCs w:val="28"/>
        </w:rPr>
        <w:t>现场踏勘图</w:t>
      </w:r>
      <w:r>
        <w:rPr>
          <w:i w:val="0"/>
          <w:iCs w:val="0"/>
        </w:rPr>
        <w:tab/>
      </w:r>
      <w:r>
        <w:rPr>
          <w:i w:val="0"/>
          <w:iCs w:val="0"/>
        </w:rPr>
        <w:fldChar w:fldCharType="begin"/>
      </w:r>
      <w:r>
        <w:rPr>
          <w:i w:val="0"/>
          <w:iCs w:val="0"/>
        </w:rPr>
        <w:instrText xml:space="preserve"> PAGEREF _Toc6323 \h </w:instrText>
      </w:r>
      <w:r>
        <w:rPr>
          <w:i w:val="0"/>
          <w:iCs w:val="0"/>
        </w:rPr>
        <w:fldChar w:fldCharType="separate"/>
      </w:r>
      <w:r>
        <w:rPr>
          <w:i w:val="0"/>
          <w:iCs w:val="0"/>
        </w:rPr>
        <w:t>98</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_Toc25952 </w:instrText>
      </w:r>
      <w:r>
        <w:rPr>
          <w:rFonts w:eastAsiaTheme="majorEastAsia"/>
          <w:i w:val="0"/>
          <w:iCs w:val="0"/>
          <w:szCs w:val="21"/>
        </w:rPr>
        <w:fldChar w:fldCharType="separate"/>
      </w:r>
      <w:r>
        <w:rPr>
          <w:i w:val="0"/>
          <w:iCs w:val="0"/>
          <w:szCs w:val="28"/>
        </w:rPr>
        <w:t>附件1</w:t>
      </w:r>
      <w:r>
        <w:rPr>
          <w:rFonts w:hint="eastAsia"/>
          <w:i w:val="0"/>
          <w:iCs w:val="0"/>
          <w:szCs w:val="28"/>
          <w:lang w:val="en-US" w:eastAsia="zh-CN"/>
        </w:rPr>
        <w:t xml:space="preserve">0 </w:t>
      </w:r>
      <w:r>
        <w:rPr>
          <w:i w:val="0"/>
          <w:iCs w:val="0"/>
          <w:szCs w:val="28"/>
        </w:rPr>
        <w:t>水源地</w:t>
      </w:r>
      <w:r>
        <w:rPr>
          <w:rFonts w:hint="eastAsia"/>
          <w:i w:val="0"/>
          <w:iCs w:val="0"/>
          <w:szCs w:val="28"/>
          <w:lang w:eastAsia="zh-CN"/>
        </w:rPr>
        <w:t>突发生态环境事件</w:t>
      </w:r>
      <w:r>
        <w:rPr>
          <w:i w:val="0"/>
          <w:iCs w:val="0"/>
          <w:szCs w:val="28"/>
        </w:rPr>
        <w:t>信息报送内容</w:t>
      </w:r>
      <w:r>
        <w:rPr>
          <w:i w:val="0"/>
          <w:iCs w:val="0"/>
        </w:rPr>
        <w:tab/>
      </w:r>
      <w:r>
        <w:rPr>
          <w:i w:val="0"/>
          <w:iCs w:val="0"/>
        </w:rPr>
        <w:fldChar w:fldCharType="begin"/>
      </w:r>
      <w:r>
        <w:rPr>
          <w:i w:val="0"/>
          <w:iCs w:val="0"/>
        </w:rPr>
        <w:instrText xml:space="preserve"> PAGEREF _Toc25952 \h </w:instrText>
      </w:r>
      <w:r>
        <w:rPr>
          <w:i w:val="0"/>
          <w:iCs w:val="0"/>
        </w:rPr>
        <w:fldChar w:fldCharType="separate"/>
      </w:r>
      <w:r>
        <w:rPr>
          <w:i w:val="0"/>
          <w:iCs w:val="0"/>
        </w:rPr>
        <w:t>99</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_Toc28489 </w:instrText>
      </w:r>
      <w:r>
        <w:rPr>
          <w:rFonts w:eastAsiaTheme="majorEastAsia"/>
          <w:i w:val="0"/>
          <w:iCs w:val="0"/>
          <w:szCs w:val="21"/>
        </w:rPr>
        <w:fldChar w:fldCharType="separate"/>
      </w:r>
      <w:r>
        <w:rPr>
          <w:i w:val="0"/>
          <w:iCs w:val="0"/>
          <w:szCs w:val="28"/>
        </w:rPr>
        <w:t>附件1</w:t>
      </w:r>
      <w:r>
        <w:rPr>
          <w:rFonts w:hint="eastAsia"/>
          <w:i w:val="0"/>
          <w:iCs w:val="0"/>
          <w:szCs w:val="28"/>
          <w:lang w:val="en-US" w:eastAsia="zh-CN"/>
        </w:rPr>
        <w:t xml:space="preserve">1 </w:t>
      </w:r>
      <w:r>
        <w:rPr>
          <w:i w:val="0"/>
          <w:iCs w:val="0"/>
          <w:szCs w:val="28"/>
        </w:rPr>
        <w:t>水源地</w:t>
      </w:r>
      <w:r>
        <w:rPr>
          <w:rFonts w:hint="eastAsia"/>
          <w:i w:val="0"/>
          <w:iCs w:val="0"/>
          <w:szCs w:val="28"/>
          <w:lang w:eastAsia="zh-CN"/>
        </w:rPr>
        <w:t>突发生态环境事件</w:t>
      </w:r>
      <w:r>
        <w:rPr>
          <w:i w:val="0"/>
          <w:iCs w:val="0"/>
          <w:szCs w:val="28"/>
        </w:rPr>
        <w:t>应急结束宣布格式内容</w:t>
      </w:r>
      <w:r>
        <w:rPr>
          <w:i w:val="0"/>
          <w:iCs w:val="0"/>
        </w:rPr>
        <w:tab/>
      </w:r>
      <w:r>
        <w:rPr>
          <w:i w:val="0"/>
          <w:iCs w:val="0"/>
        </w:rPr>
        <w:fldChar w:fldCharType="begin"/>
      </w:r>
      <w:r>
        <w:rPr>
          <w:i w:val="0"/>
          <w:iCs w:val="0"/>
        </w:rPr>
        <w:instrText xml:space="preserve"> PAGEREF _Toc28489 \h </w:instrText>
      </w:r>
      <w:r>
        <w:rPr>
          <w:i w:val="0"/>
          <w:iCs w:val="0"/>
        </w:rPr>
        <w:fldChar w:fldCharType="separate"/>
      </w:r>
      <w:r>
        <w:rPr>
          <w:i w:val="0"/>
          <w:iCs w:val="0"/>
        </w:rPr>
        <w:t>100</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_Toc28850 </w:instrText>
      </w:r>
      <w:r>
        <w:rPr>
          <w:rFonts w:eastAsiaTheme="majorEastAsia"/>
          <w:i w:val="0"/>
          <w:iCs w:val="0"/>
          <w:szCs w:val="21"/>
        </w:rPr>
        <w:fldChar w:fldCharType="separate"/>
      </w:r>
      <w:r>
        <w:rPr>
          <w:i w:val="0"/>
          <w:iCs w:val="0"/>
          <w:szCs w:val="28"/>
        </w:rPr>
        <w:t>附件1</w:t>
      </w:r>
      <w:r>
        <w:rPr>
          <w:rFonts w:hint="eastAsia"/>
          <w:i w:val="0"/>
          <w:iCs w:val="0"/>
          <w:szCs w:val="28"/>
          <w:lang w:val="en-US" w:eastAsia="zh-CN"/>
        </w:rPr>
        <w:t>2 应急监测指标、频次和点位参考表</w:t>
      </w:r>
      <w:r>
        <w:rPr>
          <w:i w:val="0"/>
          <w:iCs w:val="0"/>
        </w:rPr>
        <w:tab/>
      </w:r>
      <w:r>
        <w:rPr>
          <w:i w:val="0"/>
          <w:iCs w:val="0"/>
        </w:rPr>
        <w:fldChar w:fldCharType="begin"/>
      </w:r>
      <w:r>
        <w:rPr>
          <w:i w:val="0"/>
          <w:iCs w:val="0"/>
        </w:rPr>
        <w:instrText xml:space="preserve"> PAGEREF _Toc28850 \h </w:instrText>
      </w:r>
      <w:r>
        <w:rPr>
          <w:i w:val="0"/>
          <w:iCs w:val="0"/>
        </w:rPr>
        <w:fldChar w:fldCharType="separate"/>
      </w:r>
      <w:r>
        <w:rPr>
          <w:i w:val="0"/>
          <w:iCs w:val="0"/>
        </w:rPr>
        <w:t>101</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_Toc572 </w:instrText>
      </w:r>
      <w:r>
        <w:rPr>
          <w:rFonts w:eastAsiaTheme="majorEastAsia"/>
          <w:i w:val="0"/>
          <w:iCs w:val="0"/>
          <w:szCs w:val="21"/>
        </w:rPr>
        <w:fldChar w:fldCharType="separate"/>
      </w:r>
      <w:r>
        <w:rPr>
          <w:i w:val="0"/>
          <w:iCs w:val="0"/>
          <w:szCs w:val="28"/>
        </w:rPr>
        <w:t>附件1</w:t>
      </w:r>
      <w:r>
        <w:rPr>
          <w:rFonts w:hint="eastAsia"/>
          <w:i w:val="0"/>
          <w:iCs w:val="0"/>
          <w:szCs w:val="28"/>
          <w:lang w:val="en-US" w:eastAsia="zh-CN"/>
        </w:rPr>
        <w:t xml:space="preserve">3 </w:t>
      </w:r>
      <w:r>
        <w:rPr>
          <w:rFonts w:hint="eastAsia"/>
          <w:i w:val="0"/>
          <w:iCs w:val="0"/>
          <w:szCs w:val="28"/>
        </w:rPr>
        <w:t>环境应急物资与装备</w:t>
      </w:r>
      <w:r>
        <w:rPr>
          <w:i w:val="0"/>
          <w:iCs w:val="0"/>
        </w:rPr>
        <w:tab/>
      </w:r>
      <w:r>
        <w:rPr>
          <w:i w:val="0"/>
          <w:iCs w:val="0"/>
        </w:rPr>
        <w:fldChar w:fldCharType="begin"/>
      </w:r>
      <w:r>
        <w:rPr>
          <w:i w:val="0"/>
          <w:iCs w:val="0"/>
        </w:rPr>
        <w:instrText xml:space="preserve"> PAGEREF _Toc572 \h </w:instrText>
      </w:r>
      <w:r>
        <w:rPr>
          <w:i w:val="0"/>
          <w:iCs w:val="0"/>
        </w:rPr>
        <w:fldChar w:fldCharType="separate"/>
      </w:r>
      <w:r>
        <w:rPr>
          <w:i w:val="0"/>
          <w:iCs w:val="0"/>
        </w:rPr>
        <w:t>104</w:t>
      </w:r>
      <w:r>
        <w:rPr>
          <w:i w:val="0"/>
          <w:iCs w:val="0"/>
        </w:rPr>
        <w:fldChar w:fldCharType="end"/>
      </w:r>
      <w:r>
        <w:rPr>
          <w:rFonts w:eastAsiaTheme="majorEastAsia"/>
          <w:i w:val="0"/>
          <w:iCs w:val="0"/>
          <w:color w:val="auto"/>
          <w:szCs w:val="21"/>
        </w:rPr>
        <w:fldChar w:fldCharType="end"/>
      </w:r>
    </w:p>
    <w:p>
      <w:pPr>
        <w:pStyle w:val="27"/>
        <w:tabs>
          <w:tab w:val="right" w:leader="dot" w:pos="8306"/>
        </w:tabs>
        <w:rPr>
          <w:i w:val="0"/>
          <w:iCs w:val="0"/>
        </w:rPr>
      </w:pPr>
      <w:r>
        <w:rPr>
          <w:rFonts w:eastAsiaTheme="majorEastAsia"/>
          <w:i w:val="0"/>
          <w:iCs w:val="0"/>
          <w:color w:val="auto"/>
          <w:szCs w:val="21"/>
        </w:rPr>
        <w:fldChar w:fldCharType="begin"/>
      </w:r>
      <w:r>
        <w:rPr>
          <w:rFonts w:eastAsiaTheme="majorEastAsia"/>
          <w:i w:val="0"/>
          <w:iCs w:val="0"/>
          <w:szCs w:val="21"/>
        </w:rPr>
        <w:instrText xml:space="preserve"> HYPERLINK \l _Toc29370 </w:instrText>
      </w:r>
      <w:r>
        <w:rPr>
          <w:rFonts w:eastAsiaTheme="majorEastAsia"/>
          <w:i w:val="0"/>
          <w:iCs w:val="0"/>
          <w:szCs w:val="21"/>
        </w:rPr>
        <w:fldChar w:fldCharType="separate"/>
      </w:r>
      <w:r>
        <w:rPr>
          <w:i w:val="0"/>
          <w:iCs w:val="0"/>
          <w:szCs w:val="28"/>
        </w:rPr>
        <w:t>附件1</w:t>
      </w:r>
      <w:r>
        <w:rPr>
          <w:rFonts w:hint="eastAsia"/>
          <w:i w:val="0"/>
          <w:iCs w:val="0"/>
          <w:szCs w:val="28"/>
          <w:lang w:val="en-US" w:eastAsia="zh-CN"/>
        </w:rPr>
        <w:t>4  应急物资台账、存放位置和维护更新制度</w:t>
      </w:r>
      <w:r>
        <w:rPr>
          <w:i w:val="0"/>
          <w:iCs w:val="0"/>
        </w:rPr>
        <w:tab/>
      </w:r>
      <w:r>
        <w:rPr>
          <w:i w:val="0"/>
          <w:iCs w:val="0"/>
        </w:rPr>
        <w:fldChar w:fldCharType="begin"/>
      </w:r>
      <w:r>
        <w:rPr>
          <w:i w:val="0"/>
          <w:iCs w:val="0"/>
        </w:rPr>
        <w:instrText xml:space="preserve"> PAGEREF _Toc29370 \h </w:instrText>
      </w:r>
      <w:r>
        <w:rPr>
          <w:i w:val="0"/>
          <w:iCs w:val="0"/>
        </w:rPr>
        <w:fldChar w:fldCharType="separate"/>
      </w:r>
      <w:r>
        <w:rPr>
          <w:i w:val="0"/>
          <w:iCs w:val="0"/>
        </w:rPr>
        <w:t>115</w:t>
      </w:r>
      <w:r>
        <w:rPr>
          <w:i w:val="0"/>
          <w:iCs w:val="0"/>
        </w:rPr>
        <w:fldChar w:fldCharType="end"/>
      </w:r>
      <w:r>
        <w:rPr>
          <w:rFonts w:eastAsiaTheme="majorEastAsia"/>
          <w:i w:val="0"/>
          <w:iCs w:val="0"/>
          <w:color w:val="auto"/>
          <w:szCs w:val="21"/>
        </w:rPr>
        <w:fldChar w:fldCharType="end"/>
      </w:r>
    </w:p>
    <w:p>
      <w:pPr>
        <w:widowControl/>
        <w:snapToGrid w:val="0"/>
        <w:spacing w:line="320" w:lineRule="exact"/>
        <w:ind w:firstLine="0" w:firstLineChars="0"/>
        <w:jc w:val="left"/>
        <w:rPr>
          <w:b/>
          <w:i w:val="0"/>
          <w:iCs w:val="0"/>
          <w:color w:val="auto"/>
          <w:sz w:val="28"/>
          <w:szCs w:val="28"/>
        </w:rPr>
      </w:pPr>
      <w:r>
        <w:rPr>
          <w:rFonts w:eastAsiaTheme="majorEastAsia"/>
          <w:i w:val="0"/>
          <w:iCs w:val="0"/>
          <w:color w:val="auto"/>
          <w:szCs w:val="21"/>
        </w:rPr>
        <w:fldChar w:fldCharType="end"/>
      </w:r>
    </w:p>
    <w:p>
      <w:pPr>
        <w:ind w:firstLine="0" w:firstLineChars="0"/>
        <w:rPr>
          <w:i w:val="0"/>
          <w:iCs w:val="0"/>
          <w:color w:val="auto"/>
          <w:sz w:val="28"/>
          <w:szCs w:val="28"/>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425" w:num="1"/>
          <w:docGrid w:type="lines" w:linePitch="326" w:charSpace="0"/>
        </w:sectPr>
      </w:pPr>
    </w:p>
    <w:p>
      <w:pPr>
        <w:pStyle w:val="2"/>
        <w:snapToGrid w:val="0"/>
        <w:jc w:val="both"/>
        <w:rPr>
          <w:i w:val="0"/>
          <w:iCs w:val="0"/>
          <w:color w:val="auto"/>
          <w:szCs w:val="32"/>
        </w:rPr>
      </w:pPr>
      <w:bookmarkStart w:id="3" w:name="_Toc31135"/>
      <w:r>
        <w:rPr>
          <w:i w:val="0"/>
          <w:iCs w:val="0"/>
          <w:color w:val="auto"/>
          <w:szCs w:val="32"/>
        </w:rPr>
        <w:t>1 总则</w:t>
      </w:r>
      <w:bookmarkEnd w:id="3"/>
    </w:p>
    <w:p>
      <w:pPr>
        <w:pStyle w:val="3"/>
        <w:snapToGrid w:val="0"/>
        <w:rPr>
          <w:i w:val="0"/>
          <w:iCs w:val="0"/>
          <w:color w:val="auto"/>
          <w:szCs w:val="28"/>
        </w:rPr>
      </w:pPr>
      <w:bookmarkStart w:id="4" w:name="_Toc13897"/>
      <w:r>
        <w:rPr>
          <w:i w:val="0"/>
          <w:iCs w:val="0"/>
          <w:color w:val="auto"/>
          <w:szCs w:val="28"/>
        </w:rPr>
        <w:t>1.1 编制目的</w:t>
      </w:r>
      <w:bookmarkEnd w:id="4"/>
    </w:p>
    <w:p>
      <w:pPr>
        <w:pStyle w:val="145"/>
        <w:rPr>
          <w:i w:val="0"/>
          <w:iCs w:val="0"/>
          <w:color w:val="auto"/>
          <w:sz w:val="28"/>
          <w:szCs w:val="28"/>
        </w:rPr>
      </w:pPr>
      <w:r>
        <w:rPr>
          <w:rFonts w:hint="eastAsia"/>
          <w:i w:val="0"/>
          <w:iCs w:val="0"/>
          <w:color w:val="auto"/>
          <w:sz w:val="28"/>
          <w:szCs w:val="28"/>
          <w:lang w:val="en-US" w:eastAsia="zh-CN"/>
        </w:rPr>
        <w:t>2020年2月28日，清远市清新区人民政府办公室发布了《清远市清新区人民政府办公室印发</w:t>
      </w:r>
      <w:r>
        <w:rPr>
          <w:rFonts w:hint="eastAsia" w:ascii="仿宋_GB2312" w:hAnsi="仿宋_GB2312" w:eastAsia="仿宋_GB2312" w:cs="仿宋_GB2312"/>
          <w:i w:val="0"/>
          <w:iCs w:val="0"/>
          <w:color w:val="auto"/>
          <w:sz w:val="28"/>
          <w:szCs w:val="28"/>
          <w:lang w:val="en-US" w:eastAsia="zh-CN"/>
        </w:rPr>
        <w:t>〈</w:t>
      </w:r>
      <w:r>
        <w:rPr>
          <w:rFonts w:hint="eastAsia"/>
          <w:i w:val="0"/>
          <w:iCs w:val="0"/>
          <w:color w:val="auto"/>
          <w:sz w:val="28"/>
          <w:szCs w:val="28"/>
          <w:lang w:val="en-US" w:eastAsia="zh-CN"/>
        </w:rPr>
        <w:t>清远市清新区滨江河三坑滩饮用水水源地突发环境事件应急预案</w:t>
      </w:r>
      <w:r>
        <w:rPr>
          <w:rFonts w:hint="eastAsia" w:ascii="仿宋_GB2312" w:hAnsi="仿宋_GB2312" w:eastAsia="仿宋_GB2312" w:cs="仿宋_GB2312"/>
          <w:i w:val="0"/>
          <w:iCs w:val="0"/>
          <w:color w:val="auto"/>
          <w:sz w:val="28"/>
          <w:szCs w:val="28"/>
          <w:lang w:val="en-US" w:eastAsia="zh-CN"/>
        </w:rPr>
        <w:t>〉</w:t>
      </w:r>
      <w:r>
        <w:rPr>
          <w:rFonts w:hint="eastAsia"/>
          <w:i w:val="0"/>
          <w:iCs w:val="0"/>
          <w:color w:val="auto"/>
          <w:sz w:val="28"/>
          <w:szCs w:val="28"/>
          <w:lang w:val="en-US" w:eastAsia="zh-CN"/>
        </w:rPr>
        <w:t>等9份应急预案的通知》（清新府办函〔2020〕62号）。</w:t>
      </w:r>
      <w:r>
        <w:rPr>
          <w:rFonts w:hint="eastAsia" w:cs="Times New Roman"/>
          <w:i w:val="0"/>
          <w:iCs w:val="0"/>
          <w:color w:val="auto"/>
          <w:sz w:val="28"/>
          <w:szCs w:val="28"/>
          <w:lang w:val="en-US" w:eastAsia="zh-CN"/>
        </w:rPr>
        <w:t>根据《广东省生态环境厅关于规范集中式饮用水水源保护区名称管理工作的通知》，</w:t>
      </w:r>
      <w:r>
        <w:rPr>
          <w:rFonts w:hint="eastAsia" w:ascii="Times New Roman" w:hAnsi="Times New Roman" w:eastAsia="宋体" w:cs="Times New Roman"/>
          <w:i w:val="0"/>
          <w:iCs w:val="0"/>
          <w:color w:val="auto"/>
          <w:sz w:val="28"/>
          <w:szCs w:val="28"/>
          <w:lang w:val="en-US" w:eastAsia="zh-CN"/>
        </w:rPr>
        <w:t>清远市清新区滨江河三坑滩饮用水水源地</w:t>
      </w:r>
      <w:r>
        <w:rPr>
          <w:rFonts w:hint="eastAsia" w:cs="Times New Roman"/>
          <w:i w:val="0"/>
          <w:iCs w:val="0"/>
          <w:color w:val="auto"/>
          <w:sz w:val="28"/>
          <w:szCs w:val="28"/>
          <w:lang w:val="en-US" w:eastAsia="zh-CN"/>
        </w:rPr>
        <w:t>名称变更为清远市滨江河三坑滩饮用水水源保护区。</w:t>
      </w:r>
      <w:r>
        <w:rPr>
          <w:rFonts w:hint="eastAsia"/>
          <w:i w:val="0"/>
          <w:iCs w:val="0"/>
          <w:color w:val="auto"/>
          <w:sz w:val="28"/>
          <w:szCs w:val="28"/>
          <w:lang w:val="en-US" w:eastAsia="zh-CN"/>
        </w:rPr>
        <w:t>由于预案组织指挥体系人员变动较大，且固定源环境风险信息发生变化等因素，</w:t>
      </w:r>
      <w:r>
        <w:rPr>
          <w:i w:val="0"/>
          <w:iCs w:val="0"/>
          <w:color w:val="auto"/>
          <w:sz w:val="28"/>
          <w:szCs w:val="28"/>
        </w:rPr>
        <w:t>为提高</w:t>
      </w:r>
      <w:r>
        <w:rPr>
          <w:rFonts w:hint="eastAsia"/>
          <w:i w:val="0"/>
          <w:iCs w:val="0"/>
          <w:color w:val="auto"/>
          <w:sz w:val="28"/>
          <w:szCs w:val="28"/>
          <w:lang w:eastAsia="zh-CN"/>
        </w:rPr>
        <w:t>清远市滨江河三坑滩饮用水水源保护区突发生态环境事件</w:t>
      </w:r>
      <w:r>
        <w:rPr>
          <w:i w:val="0"/>
          <w:iCs w:val="0"/>
          <w:color w:val="auto"/>
          <w:sz w:val="28"/>
          <w:szCs w:val="28"/>
        </w:rPr>
        <w:t>的预防、预警和应急处置能力，建立健全应急响应机制，最大限度地预防、减少和消除</w:t>
      </w:r>
      <w:r>
        <w:rPr>
          <w:rFonts w:hint="eastAsia"/>
          <w:i w:val="0"/>
          <w:iCs w:val="0"/>
          <w:color w:val="auto"/>
          <w:sz w:val="28"/>
          <w:szCs w:val="28"/>
          <w:lang w:eastAsia="zh-CN"/>
        </w:rPr>
        <w:t>突发生态环境事件</w:t>
      </w:r>
      <w:r>
        <w:rPr>
          <w:i w:val="0"/>
          <w:iCs w:val="0"/>
          <w:color w:val="auto"/>
          <w:sz w:val="28"/>
          <w:szCs w:val="28"/>
        </w:rPr>
        <w:t>对饮用水水源地安全的威胁，保障公众饮水安全和身体健康，维护社会稳</w:t>
      </w:r>
      <w:r>
        <w:rPr>
          <w:rFonts w:hint="eastAsia"/>
          <w:i w:val="0"/>
          <w:iCs w:val="0"/>
          <w:color w:val="auto"/>
          <w:sz w:val="28"/>
          <w:szCs w:val="28"/>
          <w:lang w:val="en-US" w:eastAsia="zh-CN"/>
        </w:rPr>
        <w:t>定</w:t>
      </w:r>
      <w:r>
        <w:rPr>
          <w:i w:val="0"/>
          <w:iCs w:val="0"/>
          <w:color w:val="auto"/>
          <w:sz w:val="28"/>
          <w:szCs w:val="28"/>
        </w:rPr>
        <w:t>，</w:t>
      </w:r>
      <w:r>
        <w:rPr>
          <w:rFonts w:hint="eastAsia"/>
          <w:i w:val="0"/>
          <w:iCs w:val="0"/>
          <w:color w:val="auto"/>
          <w:sz w:val="28"/>
          <w:szCs w:val="28"/>
          <w:lang w:val="en-US" w:eastAsia="zh-CN"/>
        </w:rPr>
        <w:t>根据相关法律法规要求，对</w:t>
      </w:r>
      <w:r>
        <w:rPr>
          <w:i w:val="0"/>
          <w:iCs w:val="0"/>
          <w:color w:val="auto"/>
          <w:sz w:val="28"/>
          <w:szCs w:val="28"/>
        </w:rPr>
        <w:t>预案</w:t>
      </w:r>
      <w:r>
        <w:rPr>
          <w:rFonts w:hint="eastAsia"/>
          <w:i w:val="0"/>
          <w:iCs w:val="0"/>
          <w:color w:val="auto"/>
          <w:sz w:val="28"/>
          <w:szCs w:val="28"/>
          <w:lang w:val="en-US" w:eastAsia="zh-CN"/>
        </w:rPr>
        <w:t>进行了修订</w:t>
      </w:r>
      <w:r>
        <w:rPr>
          <w:i w:val="0"/>
          <w:iCs w:val="0"/>
          <w:color w:val="auto"/>
          <w:sz w:val="28"/>
          <w:szCs w:val="28"/>
        </w:rPr>
        <w:t>。</w:t>
      </w:r>
    </w:p>
    <w:p>
      <w:pPr>
        <w:pStyle w:val="3"/>
        <w:snapToGrid w:val="0"/>
        <w:rPr>
          <w:i w:val="0"/>
          <w:iCs w:val="0"/>
          <w:color w:val="auto"/>
          <w:szCs w:val="28"/>
        </w:rPr>
      </w:pPr>
      <w:bookmarkStart w:id="5" w:name="_Toc137"/>
      <w:r>
        <w:rPr>
          <w:i w:val="0"/>
          <w:iCs w:val="0"/>
          <w:color w:val="auto"/>
          <w:szCs w:val="28"/>
        </w:rPr>
        <w:t>1.2 编制依据</w:t>
      </w:r>
      <w:bookmarkEnd w:id="5"/>
    </w:p>
    <w:p>
      <w:pPr>
        <w:pStyle w:val="4"/>
        <w:snapToGrid w:val="0"/>
        <w:rPr>
          <w:i w:val="0"/>
          <w:iCs w:val="0"/>
          <w:color w:val="auto"/>
          <w:sz w:val="28"/>
          <w:szCs w:val="28"/>
        </w:rPr>
      </w:pPr>
      <w:bookmarkStart w:id="6" w:name="_Toc5114"/>
      <w:r>
        <w:rPr>
          <w:i w:val="0"/>
          <w:iCs w:val="0"/>
          <w:color w:val="auto"/>
          <w:sz w:val="28"/>
          <w:szCs w:val="28"/>
        </w:rPr>
        <w:t xml:space="preserve">1.2.1 </w:t>
      </w:r>
      <w:r>
        <w:rPr>
          <w:rFonts w:hint="eastAsia"/>
          <w:i w:val="0"/>
          <w:iCs w:val="0"/>
          <w:color w:val="auto"/>
          <w:sz w:val="28"/>
          <w:szCs w:val="28"/>
          <w:lang w:eastAsia="zh-CN"/>
        </w:rPr>
        <w:t>法律法规</w:t>
      </w:r>
      <w:r>
        <w:rPr>
          <w:i w:val="0"/>
          <w:iCs w:val="0"/>
          <w:color w:val="auto"/>
          <w:sz w:val="28"/>
          <w:szCs w:val="28"/>
        </w:rPr>
        <w:t>和规章</w:t>
      </w:r>
      <w:bookmarkEnd w:id="6"/>
    </w:p>
    <w:p>
      <w:pPr>
        <w:snapToGrid w:val="0"/>
        <w:ind w:firstLine="560"/>
        <w:rPr>
          <w:i w:val="0"/>
          <w:iCs w:val="0"/>
          <w:color w:val="auto"/>
          <w:sz w:val="28"/>
          <w:szCs w:val="24"/>
        </w:rPr>
      </w:pPr>
      <w:r>
        <w:rPr>
          <w:rFonts w:hint="eastAsia"/>
          <w:i w:val="0"/>
          <w:iCs w:val="0"/>
          <w:color w:val="auto"/>
          <w:sz w:val="28"/>
          <w:szCs w:val="24"/>
        </w:rPr>
        <w:t>（1）《中华人民共和国生态环境法典》（2026 年 8 月 15 日起施行）；</w:t>
      </w:r>
    </w:p>
    <w:p>
      <w:pPr>
        <w:snapToGrid w:val="0"/>
        <w:ind w:firstLine="560"/>
        <w:rPr>
          <w:i w:val="0"/>
          <w:iCs w:val="0"/>
          <w:color w:val="auto"/>
          <w:sz w:val="28"/>
          <w:szCs w:val="24"/>
        </w:rPr>
      </w:pPr>
      <w:r>
        <w:rPr>
          <w:rFonts w:hint="eastAsia"/>
          <w:i w:val="0"/>
          <w:iCs w:val="0"/>
          <w:color w:val="auto"/>
          <w:sz w:val="28"/>
          <w:szCs w:val="24"/>
        </w:rPr>
        <w:t>（2）《中华人民共和国突发事件应对法》（20</w:t>
      </w:r>
      <w:r>
        <w:rPr>
          <w:rFonts w:hint="eastAsia"/>
          <w:i w:val="0"/>
          <w:iCs w:val="0"/>
          <w:color w:val="auto"/>
          <w:sz w:val="28"/>
          <w:szCs w:val="24"/>
          <w:lang w:val="en-US" w:eastAsia="zh-CN"/>
        </w:rPr>
        <w:t>24</w:t>
      </w:r>
      <w:r>
        <w:rPr>
          <w:rFonts w:hint="eastAsia"/>
          <w:i w:val="0"/>
          <w:iCs w:val="0"/>
          <w:color w:val="auto"/>
          <w:sz w:val="28"/>
          <w:szCs w:val="24"/>
        </w:rPr>
        <w:t>年11月1日起施行）；</w:t>
      </w:r>
    </w:p>
    <w:p>
      <w:pPr>
        <w:snapToGrid w:val="0"/>
        <w:ind w:firstLine="560"/>
        <w:rPr>
          <w:i w:val="0"/>
          <w:iCs w:val="0"/>
          <w:color w:val="auto"/>
          <w:sz w:val="28"/>
          <w:szCs w:val="24"/>
        </w:rPr>
      </w:pPr>
      <w:r>
        <w:rPr>
          <w:rFonts w:hint="eastAsia"/>
          <w:i w:val="0"/>
          <w:iCs w:val="0"/>
          <w:color w:val="auto"/>
          <w:sz w:val="28"/>
          <w:szCs w:val="24"/>
        </w:rPr>
        <w:t>（</w:t>
      </w:r>
      <w:r>
        <w:rPr>
          <w:rFonts w:hint="eastAsia"/>
          <w:i w:val="0"/>
          <w:iCs w:val="0"/>
          <w:color w:val="auto"/>
          <w:sz w:val="28"/>
          <w:szCs w:val="24"/>
          <w:lang w:val="en-US" w:eastAsia="zh-CN"/>
        </w:rPr>
        <w:t>3</w:t>
      </w:r>
      <w:r>
        <w:rPr>
          <w:rFonts w:hint="eastAsia"/>
          <w:i w:val="0"/>
          <w:iCs w:val="0"/>
          <w:color w:val="auto"/>
          <w:sz w:val="28"/>
          <w:szCs w:val="24"/>
        </w:rPr>
        <w:t>）</w:t>
      </w:r>
      <w:r>
        <w:rPr>
          <w:rFonts w:hint="eastAsia"/>
          <w:i w:val="0"/>
          <w:iCs w:val="0"/>
          <w:color w:val="auto"/>
          <w:sz w:val="28"/>
          <w:szCs w:val="24"/>
          <w:lang w:val="en-US" w:eastAsia="zh-CN"/>
        </w:rPr>
        <w:t>《饮用水水源保护区污染防治管理规定》（2010修正）</w:t>
      </w:r>
      <w:r>
        <w:rPr>
          <w:rFonts w:hint="eastAsia"/>
          <w:i w:val="0"/>
          <w:iCs w:val="0"/>
          <w:color w:val="auto"/>
          <w:sz w:val="28"/>
          <w:szCs w:val="24"/>
        </w:rPr>
        <w:t>；</w:t>
      </w:r>
    </w:p>
    <w:p>
      <w:pPr>
        <w:snapToGrid w:val="0"/>
        <w:ind w:firstLine="560"/>
        <w:rPr>
          <w:i w:val="0"/>
          <w:iCs w:val="0"/>
          <w:color w:val="auto"/>
          <w:sz w:val="28"/>
          <w:szCs w:val="24"/>
        </w:rPr>
      </w:pPr>
      <w:r>
        <w:rPr>
          <w:rFonts w:hint="eastAsia"/>
          <w:i w:val="0"/>
          <w:iCs w:val="0"/>
          <w:color w:val="auto"/>
          <w:sz w:val="28"/>
          <w:szCs w:val="24"/>
        </w:rPr>
        <w:t>（</w:t>
      </w:r>
      <w:r>
        <w:rPr>
          <w:rFonts w:hint="eastAsia"/>
          <w:i w:val="0"/>
          <w:iCs w:val="0"/>
          <w:color w:val="auto"/>
          <w:sz w:val="28"/>
          <w:szCs w:val="24"/>
          <w:lang w:val="en-US" w:eastAsia="zh-CN"/>
        </w:rPr>
        <w:t>4</w:t>
      </w:r>
      <w:r>
        <w:rPr>
          <w:rFonts w:hint="eastAsia"/>
          <w:i w:val="0"/>
          <w:iCs w:val="0"/>
          <w:color w:val="auto"/>
          <w:sz w:val="28"/>
          <w:szCs w:val="24"/>
        </w:rPr>
        <w:t>）《突发环境事件信息报告办法》（环境保护部令第17号）；</w:t>
      </w:r>
    </w:p>
    <w:p>
      <w:pPr>
        <w:snapToGrid w:val="0"/>
        <w:ind w:firstLine="560"/>
        <w:rPr>
          <w:i w:val="0"/>
          <w:iCs w:val="0"/>
          <w:color w:val="auto"/>
          <w:sz w:val="28"/>
          <w:szCs w:val="24"/>
        </w:rPr>
      </w:pPr>
      <w:r>
        <w:rPr>
          <w:rFonts w:hint="eastAsia"/>
          <w:i w:val="0"/>
          <w:iCs w:val="0"/>
          <w:color w:val="auto"/>
          <w:sz w:val="28"/>
          <w:szCs w:val="24"/>
        </w:rPr>
        <w:t>（</w:t>
      </w:r>
      <w:r>
        <w:rPr>
          <w:rFonts w:hint="eastAsia"/>
          <w:i w:val="0"/>
          <w:iCs w:val="0"/>
          <w:color w:val="auto"/>
          <w:sz w:val="28"/>
          <w:szCs w:val="24"/>
          <w:lang w:val="en-US" w:eastAsia="zh-CN"/>
        </w:rPr>
        <w:t>5</w:t>
      </w:r>
      <w:r>
        <w:rPr>
          <w:rFonts w:hint="eastAsia"/>
          <w:i w:val="0"/>
          <w:iCs w:val="0"/>
          <w:color w:val="auto"/>
          <w:sz w:val="28"/>
          <w:szCs w:val="24"/>
        </w:rPr>
        <w:t>）《突发环境事件调查处理办法》（环境保护部令第32号）；</w:t>
      </w:r>
    </w:p>
    <w:p>
      <w:pPr>
        <w:snapToGrid w:val="0"/>
        <w:ind w:firstLine="560"/>
        <w:rPr>
          <w:i w:val="0"/>
          <w:iCs w:val="0"/>
          <w:color w:val="auto"/>
          <w:sz w:val="28"/>
          <w:szCs w:val="24"/>
        </w:rPr>
      </w:pPr>
      <w:r>
        <w:rPr>
          <w:rFonts w:hint="eastAsia"/>
          <w:i w:val="0"/>
          <w:iCs w:val="0"/>
          <w:color w:val="auto"/>
          <w:sz w:val="28"/>
          <w:szCs w:val="24"/>
        </w:rPr>
        <w:t>（</w:t>
      </w:r>
      <w:r>
        <w:rPr>
          <w:rFonts w:hint="eastAsia"/>
          <w:i w:val="0"/>
          <w:iCs w:val="0"/>
          <w:color w:val="auto"/>
          <w:sz w:val="28"/>
          <w:szCs w:val="24"/>
          <w:lang w:val="en-US" w:eastAsia="zh-CN"/>
        </w:rPr>
        <w:t>6</w:t>
      </w:r>
      <w:r>
        <w:rPr>
          <w:rFonts w:hint="eastAsia"/>
          <w:i w:val="0"/>
          <w:iCs w:val="0"/>
          <w:color w:val="auto"/>
          <w:sz w:val="28"/>
          <w:szCs w:val="24"/>
        </w:rPr>
        <w:t>）《突发环境事件应急管理办法》（环境保护部令第34号）；</w:t>
      </w:r>
    </w:p>
    <w:p>
      <w:pPr>
        <w:snapToGrid w:val="0"/>
        <w:ind w:firstLine="560"/>
        <w:rPr>
          <w:i w:val="0"/>
          <w:iCs w:val="0"/>
          <w:color w:val="auto"/>
          <w:sz w:val="28"/>
          <w:szCs w:val="24"/>
        </w:rPr>
      </w:pPr>
      <w:r>
        <w:rPr>
          <w:rFonts w:hint="eastAsia"/>
          <w:i w:val="0"/>
          <w:iCs w:val="0"/>
          <w:color w:val="auto"/>
          <w:sz w:val="28"/>
          <w:szCs w:val="24"/>
        </w:rPr>
        <w:t>（</w:t>
      </w:r>
      <w:r>
        <w:rPr>
          <w:rFonts w:hint="eastAsia"/>
          <w:i w:val="0"/>
          <w:iCs w:val="0"/>
          <w:color w:val="auto"/>
          <w:sz w:val="28"/>
          <w:szCs w:val="24"/>
          <w:lang w:val="en-US" w:eastAsia="zh-CN"/>
        </w:rPr>
        <w:t>7</w:t>
      </w:r>
      <w:r>
        <w:rPr>
          <w:rFonts w:hint="eastAsia"/>
          <w:i w:val="0"/>
          <w:iCs w:val="0"/>
          <w:color w:val="auto"/>
          <w:sz w:val="28"/>
          <w:szCs w:val="24"/>
        </w:rPr>
        <w:t>）《城市供水水质管理规定》（中华人民共和国建设部令第156号）；</w:t>
      </w:r>
    </w:p>
    <w:p>
      <w:pPr>
        <w:snapToGrid w:val="0"/>
        <w:ind w:firstLine="560"/>
        <w:rPr>
          <w:i w:val="0"/>
          <w:iCs w:val="0"/>
          <w:color w:val="auto"/>
          <w:sz w:val="28"/>
          <w:szCs w:val="24"/>
        </w:rPr>
      </w:pPr>
      <w:r>
        <w:rPr>
          <w:rFonts w:hint="eastAsia"/>
          <w:i w:val="0"/>
          <w:iCs w:val="0"/>
          <w:color w:val="auto"/>
          <w:sz w:val="28"/>
          <w:szCs w:val="24"/>
        </w:rPr>
        <w:t>（</w:t>
      </w:r>
      <w:r>
        <w:rPr>
          <w:rFonts w:hint="eastAsia"/>
          <w:i w:val="0"/>
          <w:iCs w:val="0"/>
          <w:color w:val="auto"/>
          <w:sz w:val="28"/>
          <w:szCs w:val="24"/>
          <w:lang w:val="en-US" w:eastAsia="zh-CN"/>
        </w:rPr>
        <w:t>8</w:t>
      </w:r>
      <w:r>
        <w:rPr>
          <w:rFonts w:hint="eastAsia"/>
          <w:i w:val="0"/>
          <w:iCs w:val="0"/>
          <w:color w:val="auto"/>
          <w:sz w:val="28"/>
          <w:szCs w:val="24"/>
        </w:rPr>
        <w:t>）《生活饮用水卫生监督管理办法》</w:t>
      </w:r>
      <w:r>
        <w:rPr>
          <w:rFonts w:hint="eastAsia"/>
          <w:i w:val="0"/>
          <w:iCs w:val="0"/>
          <w:color w:val="auto"/>
          <w:sz w:val="28"/>
          <w:szCs w:val="24"/>
          <w:lang w:val="en-US" w:eastAsia="zh-CN"/>
        </w:rPr>
        <w:t>（2016年修改）</w:t>
      </w:r>
      <w:r>
        <w:rPr>
          <w:rFonts w:hint="eastAsia"/>
          <w:i w:val="0"/>
          <w:iCs w:val="0"/>
          <w:color w:val="auto"/>
          <w:sz w:val="28"/>
          <w:szCs w:val="24"/>
        </w:rPr>
        <w:t>；</w:t>
      </w:r>
    </w:p>
    <w:p>
      <w:pPr>
        <w:snapToGrid w:val="0"/>
        <w:ind w:firstLine="560"/>
        <w:rPr>
          <w:i w:val="0"/>
          <w:iCs w:val="0"/>
          <w:color w:val="auto"/>
          <w:sz w:val="28"/>
          <w:szCs w:val="24"/>
        </w:rPr>
      </w:pPr>
      <w:r>
        <w:rPr>
          <w:rFonts w:hint="eastAsia"/>
          <w:i w:val="0"/>
          <w:iCs w:val="0"/>
          <w:color w:val="auto"/>
          <w:sz w:val="28"/>
          <w:szCs w:val="24"/>
        </w:rPr>
        <w:t>（</w:t>
      </w:r>
      <w:r>
        <w:rPr>
          <w:rFonts w:hint="eastAsia"/>
          <w:i w:val="0"/>
          <w:iCs w:val="0"/>
          <w:color w:val="auto"/>
          <w:sz w:val="28"/>
          <w:szCs w:val="24"/>
          <w:lang w:val="en-US" w:eastAsia="zh-CN"/>
        </w:rPr>
        <w:t>9</w:t>
      </w:r>
      <w:r>
        <w:rPr>
          <w:rFonts w:hint="eastAsia"/>
          <w:i w:val="0"/>
          <w:iCs w:val="0"/>
          <w:color w:val="auto"/>
          <w:sz w:val="28"/>
          <w:szCs w:val="24"/>
        </w:rPr>
        <w:t>）《广东省水污染防治条例》（</w:t>
      </w:r>
      <w:r>
        <w:rPr>
          <w:rFonts w:hint="eastAsia"/>
          <w:i w:val="0"/>
          <w:iCs w:val="0"/>
          <w:color w:val="auto"/>
          <w:sz w:val="28"/>
          <w:szCs w:val="24"/>
          <w:lang w:val="en-US" w:eastAsia="zh-CN"/>
        </w:rPr>
        <w:t>2021年9月29日起施行</w:t>
      </w:r>
      <w:r>
        <w:rPr>
          <w:rFonts w:hint="eastAsia"/>
          <w:i w:val="0"/>
          <w:iCs w:val="0"/>
          <w:color w:val="auto"/>
          <w:sz w:val="28"/>
          <w:szCs w:val="24"/>
        </w:rPr>
        <w:t>）；</w:t>
      </w:r>
    </w:p>
    <w:p>
      <w:pPr>
        <w:snapToGrid w:val="0"/>
        <w:ind w:firstLine="560"/>
        <w:rPr>
          <w:i w:val="0"/>
          <w:iCs w:val="0"/>
          <w:color w:val="auto"/>
          <w:sz w:val="28"/>
          <w:szCs w:val="24"/>
        </w:rPr>
      </w:pPr>
      <w:r>
        <w:rPr>
          <w:rFonts w:hint="eastAsia"/>
          <w:i w:val="0"/>
          <w:iCs w:val="0"/>
          <w:color w:val="auto"/>
          <w:sz w:val="28"/>
          <w:szCs w:val="24"/>
        </w:rPr>
        <w:t>（1</w:t>
      </w:r>
      <w:r>
        <w:rPr>
          <w:rFonts w:hint="eastAsia"/>
          <w:i w:val="0"/>
          <w:iCs w:val="0"/>
          <w:color w:val="auto"/>
          <w:sz w:val="28"/>
          <w:szCs w:val="24"/>
          <w:lang w:val="en-US" w:eastAsia="zh-CN"/>
        </w:rPr>
        <w:t>0</w:t>
      </w:r>
      <w:r>
        <w:rPr>
          <w:rFonts w:hint="eastAsia"/>
          <w:i w:val="0"/>
          <w:iCs w:val="0"/>
          <w:color w:val="auto"/>
          <w:sz w:val="28"/>
          <w:szCs w:val="24"/>
        </w:rPr>
        <w:t>）《广东省突发事件应急预案管理办法》（粤府办〔2008〕36号）；</w:t>
      </w:r>
    </w:p>
    <w:p>
      <w:pPr>
        <w:snapToGrid w:val="0"/>
        <w:ind w:firstLine="560"/>
        <w:rPr>
          <w:i w:val="0"/>
          <w:iCs w:val="0"/>
          <w:color w:val="auto"/>
          <w:sz w:val="28"/>
          <w:szCs w:val="24"/>
        </w:rPr>
      </w:pPr>
      <w:r>
        <w:rPr>
          <w:rFonts w:hint="eastAsia"/>
          <w:i w:val="0"/>
          <w:iCs w:val="0"/>
          <w:color w:val="auto"/>
          <w:sz w:val="28"/>
          <w:szCs w:val="24"/>
        </w:rPr>
        <w:t>（1</w:t>
      </w:r>
      <w:r>
        <w:rPr>
          <w:rFonts w:hint="eastAsia"/>
          <w:i w:val="0"/>
          <w:iCs w:val="0"/>
          <w:color w:val="auto"/>
          <w:sz w:val="28"/>
          <w:szCs w:val="24"/>
          <w:lang w:val="en-US" w:eastAsia="zh-CN"/>
        </w:rPr>
        <w:t>1</w:t>
      </w:r>
      <w:r>
        <w:rPr>
          <w:rFonts w:hint="eastAsia"/>
          <w:i w:val="0"/>
          <w:iCs w:val="0"/>
          <w:color w:val="auto"/>
          <w:sz w:val="28"/>
          <w:szCs w:val="24"/>
        </w:rPr>
        <w:t>）《广东省突发事件应对条例》（2026年1月1日起施行）。</w:t>
      </w:r>
    </w:p>
    <w:p>
      <w:pPr>
        <w:pStyle w:val="4"/>
        <w:snapToGrid w:val="0"/>
        <w:rPr>
          <w:i w:val="0"/>
          <w:iCs w:val="0"/>
          <w:color w:val="auto"/>
          <w:sz w:val="28"/>
          <w:szCs w:val="28"/>
        </w:rPr>
      </w:pPr>
      <w:bookmarkStart w:id="7" w:name="_Toc27208"/>
      <w:r>
        <w:rPr>
          <w:i w:val="0"/>
          <w:iCs w:val="0"/>
          <w:color w:val="auto"/>
          <w:sz w:val="28"/>
          <w:szCs w:val="28"/>
        </w:rPr>
        <w:t>1.2.2 有关预案、标准规范和规范性文件</w:t>
      </w:r>
      <w:bookmarkEnd w:id="7"/>
    </w:p>
    <w:p>
      <w:pPr>
        <w:snapToGrid w:val="0"/>
        <w:ind w:firstLine="560"/>
        <w:rPr>
          <w:i w:val="0"/>
          <w:iCs w:val="0"/>
          <w:color w:val="auto"/>
          <w:sz w:val="28"/>
          <w:szCs w:val="24"/>
        </w:rPr>
      </w:pPr>
      <w:r>
        <w:rPr>
          <w:i w:val="0"/>
          <w:iCs w:val="0"/>
          <w:color w:val="auto"/>
          <w:sz w:val="28"/>
          <w:szCs w:val="24"/>
        </w:rPr>
        <w:t>（1）《国家突发环境事件应急预案》（国办函〔2014〕119号）；</w:t>
      </w:r>
    </w:p>
    <w:p>
      <w:pPr>
        <w:snapToGrid w:val="0"/>
        <w:ind w:firstLine="560"/>
        <w:rPr>
          <w:i w:val="0"/>
          <w:iCs w:val="0"/>
          <w:color w:val="auto"/>
          <w:sz w:val="28"/>
          <w:szCs w:val="24"/>
        </w:rPr>
      </w:pPr>
      <w:r>
        <w:rPr>
          <w:i w:val="0"/>
          <w:iCs w:val="0"/>
          <w:color w:val="auto"/>
          <w:sz w:val="28"/>
          <w:szCs w:val="24"/>
        </w:rPr>
        <w:t>（2）《</w:t>
      </w:r>
      <w:r>
        <w:rPr>
          <w:rFonts w:hint="eastAsia"/>
          <w:i w:val="0"/>
          <w:iCs w:val="0"/>
          <w:color w:val="auto"/>
          <w:sz w:val="28"/>
          <w:szCs w:val="24"/>
        </w:rPr>
        <w:t>国家突发事件总体应急预案</w:t>
      </w:r>
      <w:r>
        <w:rPr>
          <w:i w:val="0"/>
          <w:iCs w:val="0"/>
          <w:color w:val="auto"/>
          <w:sz w:val="28"/>
          <w:szCs w:val="24"/>
        </w:rPr>
        <w:t>》（</w:t>
      </w:r>
      <w:r>
        <w:rPr>
          <w:rFonts w:hint="eastAsia"/>
          <w:i w:val="0"/>
          <w:iCs w:val="0"/>
          <w:color w:val="auto"/>
          <w:sz w:val="28"/>
          <w:szCs w:val="24"/>
        </w:rPr>
        <w:fldChar w:fldCharType="begin"/>
      </w:r>
      <w:r>
        <w:rPr>
          <w:rFonts w:hint="eastAsia"/>
          <w:i w:val="0"/>
          <w:iCs w:val="0"/>
          <w:color w:val="auto"/>
          <w:sz w:val="28"/>
          <w:szCs w:val="24"/>
        </w:rPr>
        <w:instrText xml:space="preserve"> HYPERLINK "https://www.gov.cn/gongbao/2025/issue_11926/" </w:instrText>
      </w:r>
      <w:r>
        <w:rPr>
          <w:rFonts w:hint="eastAsia"/>
          <w:i w:val="0"/>
          <w:iCs w:val="0"/>
          <w:color w:val="auto"/>
          <w:sz w:val="28"/>
          <w:szCs w:val="24"/>
        </w:rPr>
        <w:fldChar w:fldCharType="separate"/>
      </w:r>
      <w:r>
        <w:rPr>
          <w:rFonts w:hint="eastAsia"/>
          <w:i w:val="0"/>
          <w:iCs w:val="0"/>
          <w:color w:val="auto"/>
          <w:sz w:val="28"/>
          <w:szCs w:val="24"/>
        </w:rPr>
        <w:t>2025年第8号</w:t>
      </w:r>
      <w:r>
        <w:rPr>
          <w:rFonts w:hint="eastAsia"/>
          <w:i w:val="0"/>
          <w:iCs w:val="0"/>
          <w:color w:val="auto"/>
          <w:sz w:val="28"/>
          <w:szCs w:val="24"/>
        </w:rPr>
        <w:fldChar w:fldCharType="end"/>
      </w:r>
      <w:r>
        <w:rPr>
          <w:i w:val="0"/>
          <w:iCs w:val="0"/>
          <w:color w:val="auto"/>
          <w:sz w:val="28"/>
          <w:szCs w:val="24"/>
        </w:rPr>
        <w:t>）；</w:t>
      </w:r>
    </w:p>
    <w:p>
      <w:pPr>
        <w:snapToGrid w:val="0"/>
        <w:ind w:firstLine="560"/>
        <w:rPr>
          <w:i w:val="0"/>
          <w:iCs w:val="0"/>
          <w:color w:val="auto"/>
          <w:sz w:val="28"/>
          <w:szCs w:val="24"/>
        </w:rPr>
      </w:pPr>
      <w:r>
        <w:rPr>
          <w:i w:val="0"/>
          <w:iCs w:val="0"/>
          <w:color w:val="auto"/>
          <w:sz w:val="28"/>
          <w:szCs w:val="24"/>
        </w:rPr>
        <w:t>（3）《突发环境事件应急监测技术规范》（HJ589-20</w:t>
      </w:r>
      <w:r>
        <w:rPr>
          <w:rFonts w:hint="eastAsia"/>
          <w:i w:val="0"/>
          <w:iCs w:val="0"/>
          <w:color w:val="auto"/>
          <w:sz w:val="28"/>
          <w:szCs w:val="24"/>
          <w:lang w:val="en-US" w:eastAsia="zh-CN"/>
        </w:rPr>
        <w:t>21</w:t>
      </w:r>
      <w:r>
        <w:rPr>
          <w:i w:val="0"/>
          <w:iCs w:val="0"/>
          <w:color w:val="auto"/>
          <w:sz w:val="28"/>
          <w:szCs w:val="24"/>
        </w:rPr>
        <w:t>）；</w:t>
      </w:r>
    </w:p>
    <w:p>
      <w:pPr>
        <w:snapToGrid w:val="0"/>
        <w:ind w:firstLine="560"/>
        <w:rPr>
          <w:i w:val="0"/>
          <w:iCs w:val="0"/>
          <w:color w:val="auto"/>
          <w:sz w:val="28"/>
          <w:szCs w:val="24"/>
        </w:rPr>
      </w:pPr>
      <w:r>
        <w:rPr>
          <w:i w:val="0"/>
          <w:iCs w:val="0"/>
          <w:color w:val="auto"/>
          <w:sz w:val="28"/>
          <w:szCs w:val="24"/>
        </w:rPr>
        <w:t>（</w:t>
      </w:r>
      <w:r>
        <w:rPr>
          <w:rFonts w:hint="eastAsia"/>
          <w:i w:val="0"/>
          <w:iCs w:val="0"/>
          <w:color w:val="auto"/>
          <w:sz w:val="28"/>
          <w:szCs w:val="24"/>
          <w:lang w:val="en-US" w:eastAsia="zh-CN"/>
        </w:rPr>
        <w:t>4</w:t>
      </w:r>
      <w:r>
        <w:rPr>
          <w:i w:val="0"/>
          <w:iCs w:val="0"/>
          <w:color w:val="auto"/>
          <w:sz w:val="28"/>
          <w:szCs w:val="24"/>
        </w:rPr>
        <w:t>）《广东省突发环境事件应急预案》（粤府函〔2022〕54号）；</w:t>
      </w:r>
    </w:p>
    <w:p>
      <w:pPr>
        <w:snapToGrid w:val="0"/>
        <w:ind w:firstLine="560"/>
        <w:rPr>
          <w:i w:val="0"/>
          <w:iCs w:val="0"/>
          <w:color w:val="auto"/>
          <w:sz w:val="28"/>
          <w:szCs w:val="24"/>
        </w:rPr>
      </w:pPr>
      <w:r>
        <w:rPr>
          <w:i w:val="0"/>
          <w:iCs w:val="0"/>
          <w:color w:val="auto"/>
          <w:sz w:val="28"/>
          <w:szCs w:val="24"/>
        </w:rPr>
        <w:t>（5）《清远市突发环境事件应急预案》（清府函〔2018〕327号）；</w:t>
      </w:r>
    </w:p>
    <w:p>
      <w:pPr>
        <w:snapToGrid w:val="0"/>
        <w:ind w:firstLine="560"/>
        <w:rPr>
          <w:i w:val="0"/>
          <w:iCs w:val="0"/>
          <w:color w:val="auto"/>
          <w:sz w:val="28"/>
          <w:szCs w:val="24"/>
        </w:rPr>
      </w:pPr>
      <w:r>
        <w:rPr>
          <w:i w:val="0"/>
          <w:iCs w:val="0"/>
          <w:color w:val="auto"/>
          <w:sz w:val="28"/>
          <w:szCs w:val="24"/>
        </w:rPr>
        <w:t>（6）</w:t>
      </w:r>
      <w:r>
        <w:rPr>
          <w:rFonts w:hint="eastAsia"/>
          <w:i w:val="0"/>
          <w:iCs w:val="0"/>
          <w:color w:val="auto"/>
          <w:sz w:val="28"/>
          <w:szCs w:val="24"/>
          <w:lang w:val="en-US" w:eastAsia="zh-CN"/>
        </w:rPr>
        <w:t xml:space="preserve"> </w:t>
      </w:r>
      <w:r>
        <w:rPr>
          <w:i w:val="0"/>
          <w:iCs w:val="0"/>
          <w:color w:val="auto"/>
          <w:sz w:val="28"/>
          <w:szCs w:val="24"/>
          <w:lang w:val="en-US" w:eastAsia="zh-CN"/>
        </w:rPr>
        <w:t>《清远市</w:t>
      </w:r>
      <w:r>
        <w:rPr>
          <w:rFonts w:hint="default"/>
          <w:i w:val="0"/>
          <w:iCs w:val="0"/>
          <w:color w:val="auto"/>
          <w:sz w:val="28"/>
          <w:szCs w:val="24"/>
          <w:lang w:val="en-US" w:eastAsia="zh-CN"/>
        </w:rPr>
        <w:t>清新区突发事件总体应急预案》</w:t>
      </w:r>
      <w:r>
        <w:rPr>
          <w:i w:val="0"/>
          <w:iCs w:val="0"/>
          <w:color w:val="auto"/>
          <w:sz w:val="28"/>
          <w:szCs w:val="24"/>
        </w:rPr>
        <w:t>（</w:t>
      </w:r>
      <w:r>
        <w:rPr>
          <w:i w:val="0"/>
          <w:iCs w:val="0"/>
          <w:color w:val="auto"/>
          <w:sz w:val="28"/>
          <w:szCs w:val="24"/>
          <w:lang w:val="en-US" w:eastAsia="zh-CN"/>
        </w:rPr>
        <w:t>清新府函〔2023〕9 号</w:t>
      </w:r>
      <w:r>
        <w:rPr>
          <w:i w:val="0"/>
          <w:iCs w:val="0"/>
          <w:color w:val="auto"/>
          <w:sz w:val="28"/>
          <w:szCs w:val="24"/>
        </w:rPr>
        <w:t>）；</w:t>
      </w:r>
    </w:p>
    <w:p>
      <w:pPr>
        <w:snapToGrid w:val="0"/>
        <w:ind w:firstLine="560"/>
        <w:rPr>
          <w:i w:val="0"/>
          <w:iCs w:val="0"/>
          <w:color w:val="auto"/>
          <w:sz w:val="28"/>
          <w:szCs w:val="24"/>
        </w:rPr>
      </w:pPr>
      <w:r>
        <w:rPr>
          <w:i w:val="0"/>
          <w:iCs w:val="0"/>
          <w:color w:val="auto"/>
          <w:sz w:val="28"/>
          <w:szCs w:val="24"/>
        </w:rPr>
        <w:t>（7）</w:t>
      </w:r>
      <w:r>
        <w:rPr>
          <w:rFonts w:hint="eastAsia"/>
          <w:i w:val="0"/>
          <w:iCs w:val="0"/>
          <w:color w:val="auto"/>
          <w:sz w:val="28"/>
          <w:szCs w:val="24"/>
          <w:lang w:val="en-US" w:eastAsia="zh-CN"/>
        </w:rPr>
        <w:t xml:space="preserve"> </w:t>
      </w:r>
      <w:r>
        <w:rPr>
          <w:i w:val="0"/>
          <w:iCs w:val="0"/>
          <w:color w:val="auto"/>
          <w:sz w:val="28"/>
          <w:szCs w:val="24"/>
        </w:rPr>
        <w:t>《清远市清新区突发环境事件应急预案》（清新府办〔2025〕9号）；</w:t>
      </w:r>
    </w:p>
    <w:p>
      <w:pPr>
        <w:snapToGrid w:val="0"/>
        <w:ind w:firstLine="560"/>
        <w:rPr>
          <w:i w:val="0"/>
          <w:iCs w:val="0"/>
          <w:color w:val="auto"/>
          <w:sz w:val="28"/>
          <w:szCs w:val="24"/>
        </w:rPr>
      </w:pPr>
      <w:r>
        <w:rPr>
          <w:i w:val="0"/>
          <w:iCs w:val="0"/>
          <w:color w:val="auto"/>
          <w:sz w:val="28"/>
          <w:szCs w:val="24"/>
        </w:rPr>
        <w:t>（8）</w:t>
      </w:r>
      <w:r>
        <w:rPr>
          <w:rFonts w:hint="eastAsia"/>
          <w:i w:val="0"/>
          <w:iCs w:val="0"/>
          <w:color w:val="auto"/>
          <w:sz w:val="28"/>
          <w:szCs w:val="24"/>
          <w:lang w:val="en-US" w:eastAsia="zh-CN"/>
        </w:rPr>
        <w:t xml:space="preserve"> </w:t>
      </w:r>
      <w:r>
        <w:rPr>
          <w:i w:val="0"/>
          <w:iCs w:val="0"/>
          <w:color w:val="auto"/>
          <w:sz w:val="28"/>
          <w:szCs w:val="24"/>
        </w:rPr>
        <w:t>《集中式饮用水水源环境保护指南（试行）》（环办</w:t>
      </w:r>
      <w:r>
        <w:rPr>
          <w:rFonts w:hint="eastAsia"/>
          <w:i w:val="0"/>
          <w:iCs w:val="0"/>
          <w:color w:val="auto"/>
          <w:sz w:val="28"/>
          <w:szCs w:val="24"/>
          <w:lang w:eastAsia="zh-CN"/>
        </w:rPr>
        <w:t>〔2012〕50号</w:t>
      </w:r>
      <w:r>
        <w:rPr>
          <w:i w:val="0"/>
          <w:iCs w:val="0"/>
          <w:color w:val="auto"/>
          <w:sz w:val="28"/>
          <w:szCs w:val="24"/>
        </w:rPr>
        <w:t>）；</w:t>
      </w:r>
    </w:p>
    <w:p>
      <w:pPr>
        <w:snapToGrid w:val="0"/>
        <w:ind w:firstLine="560"/>
        <w:rPr>
          <w:i w:val="0"/>
          <w:iCs w:val="0"/>
          <w:color w:val="auto"/>
          <w:sz w:val="28"/>
          <w:szCs w:val="24"/>
        </w:rPr>
      </w:pPr>
      <w:r>
        <w:rPr>
          <w:i w:val="0"/>
          <w:iCs w:val="0"/>
          <w:color w:val="auto"/>
          <w:sz w:val="28"/>
          <w:szCs w:val="24"/>
        </w:rPr>
        <w:t>（</w:t>
      </w:r>
      <w:r>
        <w:rPr>
          <w:rFonts w:hint="eastAsia"/>
          <w:i w:val="0"/>
          <w:iCs w:val="0"/>
          <w:color w:val="auto"/>
          <w:sz w:val="28"/>
          <w:szCs w:val="24"/>
          <w:lang w:val="en-US" w:eastAsia="zh-CN"/>
        </w:rPr>
        <w:t>9</w:t>
      </w:r>
      <w:r>
        <w:rPr>
          <w:i w:val="0"/>
          <w:iCs w:val="0"/>
          <w:color w:val="auto"/>
          <w:sz w:val="28"/>
          <w:szCs w:val="24"/>
        </w:rPr>
        <w:t>）《集中式地表水饮用水水源地突发环境事件应急预案编制指南》（生态环境部公告 2018年第1号）；</w:t>
      </w:r>
    </w:p>
    <w:p>
      <w:pPr>
        <w:snapToGrid w:val="0"/>
        <w:ind w:firstLine="560"/>
        <w:rPr>
          <w:i w:val="0"/>
          <w:iCs w:val="0"/>
          <w:color w:val="auto"/>
          <w:sz w:val="28"/>
          <w:szCs w:val="24"/>
          <w:lang w:val="en-US"/>
        </w:rPr>
      </w:pPr>
      <w:r>
        <w:rPr>
          <w:i w:val="0"/>
          <w:iCs w:val="0"/>
          <w:color w:val="auto"/>
          <w:sz w:val="28"/>
          <w:szCs w:val="24"/>
          <w:lang w:val="en-US"/>
        </w:rPr>
        <w:t>（1</w:t>
      </w:r>
      <w:r>
        <w:rPr>
          <w:rFonts w:hint="eastAsia"/>
          <w:i w:val="0"/>
          <w:iCs w:val="0"/>
          <w:color w:val="auto"/>
          <w:sz w:val="28"/>
          <w:szCs w:val="24"/>
          <w:lang w:val="en-US" w:eastAsia="zh-CN"/>
        </w:rPr>
        <w:t>0</w:t>
      </w:r>
      <w:r>
        <w:rPr>
          <w:i w:val="0"/>
          <w:iCs w:val="0"/>
          <w:color w:val="auto"/>
          <w:sz w:val="28"/>
          <w:szCs w:val="24"/>
          <w:lang w:val="en-US"/>
        </w:rPr>
        <w:t>）《企业突发环境事件风险评估指南（试行）》（环办</w:t>
      </w:r>
      <w:r>
        <w:rPr>
          <w:i w:val="0"/>
          <w:iCs w:val="0"/>
          <w:color w:val="auto"/>
          <w:sz w:val="28"/>
          <w:szCs w:val="24"/>
        </w:rPr>
        <w:t>〔</w:t>
      </w:r>
      <w:r>
        <w:rPr>
          <w:i w:val="0"/>
          <w:iCs w:val="0"/>
          <w:color w:val="auto"/>
          <w:sz w:val="28"/>
          <w:szCs w:val="24"/>
          <w:lang w:val="en-US"/>
        </w:rPr>
        <w:t>2014</w:t>
      </w:r>
      <w:r>
        <w:rPr>
          <w:i w:val="0"/>
          <w:iCs w:val="0"/>
          <w:color w:val="auto"/>
          <w:sz w:val="28"/>
          <w:szCs w:val="24"/>
        </w:rPr>
        <w:t>〕</w:t>
      </w:r>
      <w:r>
        <w:rPr>
          <w:i w:val="0"/>
          <w:iCs w:val="0"/>
          <w:color w:val="auto"/>
          <w:sz w:val="28"/>
          <w:szCs w:val="24"/>
          <w:lang w:val="en-US"/>
        </w:rPr>
        <w:t>34号）；</w:t>
      </w:r>
    </w:p>
    <w:p>
      <w:pPr>
        <w:snapToGrid w:val="0"/>
        <w:ind w:firstLine="560"/>
        <w:rPr>
          <w:i w:val="0"/>
          <w:iCs w:val="0"/>
          <w:color w:val="auto"/>
          <w:sz w:val="28"/>
          <w:szCs w:val="24"/>
          <w:lang w:val="en-US"/>
        </w:rPr>
      </w:pPr>
      <w:r>
        <w:rPr>
          <w:i w:val="0"/>
          <w:iCs w:val="0"/>
          <w:color w:val="auto"/>
          <w:sz w:val="28"/>
          <w:szCs w:val="24"/>
          <w:lang w:val="en-US"/>
        </w:rPr>
        <w:t>（1</w:t>
      </w:r>
      <w:r>
        <w:rPr>
          <w:rFonts w:hint="eastAsia"/>
          <w:i w:val="0"/>
          <w:iCs w:val="0"/>
          <w:color w:val="auto"/>
          <w:sz w:val="28"/>
          <w:szCs w:val="24"/>
          <w:lang w:val="en-US" w:eastAsia="zh-CN"/>
        </w:rPr>
        <w:t>1</w:t>
      </w:r>
      <w:r>
        <w:rPr>
          <w:i w:val="0"/>
          <w:iCs w:val="0"/>
          <w:color w:val="auto"/>
          <w:sz w:val="28"/>
          <w:szCs w:val="24"/>
          <w:lang w:val="en-US"/>
        </w:rPr>
        <w:t>）《企业突发环境事件风险分级方法》（HJ 941-2018）；</w:t>
      </w:r>
    </w:p>
    <w:p>
      <w:pPr>
        <w:snapToGrid w:val="0"/>
        <w:ind w:firstLine="560"/>
        <w:rPr>
          <w:i w:val="0"/>
          <w:iCs w:val="0"/>
          <w:color w:val="auto"/>
          <w:sz w:val="28"/>
          <w:szCs w:val="24"/>
        </w:rPr>
      </w:pPr>
      <w:r>
        <w:rPr>
          <w:i w:val="0"/>
          <w:iCs w:val="0"/>
          <w:color w:val="auto"/>
          <w:sz w:val="28"/>
          <w:szCs w:val="24"/>
        </w:rPr>
        <w:t>（1</w:t>
      </w:r>
      <w:r>
        <w:rPr>
          <w:rFonts w:hint="eastAsia"/>
          <w:i w:val="0"/>
          <w:iCs w:val="0"/>
          <w:color w:val="auto"/>
          <w:sz w:val="28"/>
          <w:szCs w:val="24"/>
          <w:lang w:val="en-US" w:eastAsia="zh-CN"/>
        </w:rPr>
        <w:t>2</w:t>
      </w:r>
      <w:r>
        <w:rPr>
          <w:i w:val="0"/>
          <w:iCs w:val="0"/>
          <w:color w:val="auto"/>
          <w:sz w:val="28"/>
          <w:szCs w:val="24"/>
        </w:rPr>
        <w:t>）《企业事业单位突发环境事件应急预案备案管理办法（试行）》（环发〔2015〕4号）；</w:t>
      </w:r>
    </w:p>
    <w:p>
      <w:pPr>
        <w:snapToGrid w:val="0"/>
        <w:ind w:firstLine="560"/>
        <w:rPr>
          <w:i w:val="0"/>
          <w:iCs w:val="0"/>
          <w:color w:val="auto"/>
          <w:sz w:val="28"/>
          <w:szCs w:val="24"/>
        </w:rPr>
      </w:pPr>
      <w:r>
        <w:rPr>
          <w:i w:val="0"/>
          <w:iCs w:val="0"/>
          <w:color w:val="auto"/>
          <w:sz w:val="28"/>
          <w:szCs w:val="24"/>
        </w:rPr>
        <w:t>（1</w:t>
      </w:r>
      <w:r>
        <w:rPr>
          <w:rFonts w:hint="eastAsia"/>
          <w:i w:val="0"/>
          <w:iCs w:val="0"/>
          <w:color w:val="auto"/>
          <w:sz w:val="28"/>
          <w:szCs w:val="24"/>
          <w:lang w:val="en-US" w:eastAsia="zh-CN"/>
        </w:rPr>
        <w:t>3</w:t>
      </w:r>
      <w:r>
        <w:rPr>
          <w:i w:val="0"/>
          <w:iCs w:val="0"/>
          <w:color w:val="auto"/>
          <w:sz w:val="28"/>
          <w:szCs w:val="24"/>
        </w:rPr>
        <w:t>）《行政区域突发环境事件风险评估推荐方法》（环办应急〔2018〕9号）；</w:t>
      </w:r>
    </w:p>
    <w:p>
      <w:pPr>
        <w:snapToGrid w:val="0"/>
        <w:ind w:firstLine="560"/>
        <w:rPr>
          <w:i w:val="0"/>
          <w:iCs w:val="0"/>
          <w:color w:val="auto"/>
          <w:sz w:val="28"/>
          <w:szCs w:val="24"/>
        </w:rPr>
      </w:pPr>
      <w:r>
        <w:rPr>
          <w:i w:val="0"/>
          <w:iCs w:val="0"/>
          <w:color w:val="auto"/>
          <w:sz w:val="28"/>
          <w:szCs w:val="24"/>
        </w:rPr>
        <w:t>（1</w:t>
      </w:r>
      <w:r>
        <w:rPr>
          <w:rFonts w:hint="eastAsia"/>
          <w:i w:val="0"/>
          <w:iCs w:val="0"/>
          <w:color w:val="auto"/>
          <w:sz w:val="28"/>
          <w:szCs w:val="24"/>
          <w:lang w:val="en-US" w:eastAsia="zh-CN"/>
        </w:rPr>
        <w:t>4</w:t>
      </w:r>
      <w:r>
        <w:rPr>
          <w:i w:val="0"/>
          <w:iCs w:val="0"/>
          <w:color w:val="auto"/>
          <w:sz w:val="28"/>
          <w:szCs w:val="24"/>
        </w:rPr>
        <w:t>）《突发环境事件应急处置阶段环境损害评估推荐方法》（环办〔2014〕118号）；</w:t>
      </w:r>
    </w:p>
    <w:p>
      <w:pPr>
        <w:snapToGrid w:val="0"/>
        <w:ind w:firstLine="560"/>
        <w:rPr>
          <w:rFonts w:hint="eastAsia" w:eastAsia="宋体"/>
          <w:i w:val="0"/>
          <w:iCs w:val="0"/>
          <w:color w:val="auto"/>
          <w:sz w:val="28"/>
          <w:szCs w:val="24"/>
          <w:lang w:val="en-US" w:eastAsia="zh-CN"/>
        </w:rPr>
      </w:pPr>
      <w:r>
        <w:rPr>
          <w:rFonts w:hint="eastAsia"/>
          <w:i w:val="0"/>
          <w:iCs w:val="0"/>
          <w:color w:val="auto"/>
          <w:sz w:val="28"/>
          <w:szCs w:val="24"/>
        </w:rPr>
        <w:t>（1</w:t>
      </w:r>
      <w:r>
        <w:rPr>
          <w:rFonts w:hint="eastAsia"/>
          <w:i w:val="0"/>
          <w:iCs w:val="0"/>
          <w:color w:val="auto"/>
          <w:sz w:val="28"/>
          <w:szCs w:val="24"/>
          <w:lang w:val="en-US" w:eastAsia="zh-CN"/>
        </w:rPr>
        <w:t>5</w:t>
      </w:r>
      <w:r>
        <w:rPr>
          <w:rFonts w:hint="eastAsia"/>
          <w:i w:val="0"/>
          <w:iCs w:val="0"/>
          <w:color w:val="auto"/>
          <w:sz w:val="28"/>
          <w:szCs w:val="24"/>
        </w:rPr>
        <w:t>）《广东省企业事业单位突发环境事件应急预案编制指南（试行））》（粤环办〔20</w:t>
      </w:r>
      <w:r>
        <w:rPr>
          <w:rFonts w:hint="eastAsia"/>
          <w:i w:val="0"/>
          <w:iCs w:val="0"/>
          <w:color w:val="auto"/>
          <w:sz w:val="28"/>
          <w:szCs w:val="24"/>
          <w:lang w:val="en-US" w:eastAsia="zh-CN"/>
        </w:rPr>
        <w:t>20</w:t>
      </w:r>
      <w:r>
        <w:rPr>
          <w:rFonts w:hint="eastAsia"/>
          <w:i w:val="0"/>
          <w:iCs w:val="0"/>
          <w:color w:val="auto"/>
          <w:sz w:val="28"/>
          <w:szCs w:val="24"/>
        </w:rPr>
        <w:t>〕</w:t>
      </w:r>
      <w:r>
        <w:rPr>
          <w:rFonts w:hint="eastAsia"/>
          <w:i w:val="0"/>
          <w:iCs w:val="0"/>
          <w:color w:val="auto"/>
          <w:sz w:val="28"/>
          <w:szCs w:val="24"/>
          <w:lang w:val="en-US" w:eastAsia="zh-CN"/>
        </w:rPr>
        <w:t>51</w:t>
      </w:r>
      <w:r>
        <w:rPr>
          <w:rFonts w:hint="eastAsia"/>
          <w:i w:val="0"/>
          <w:iCs w:val="0"/>
          <w:color w:val="auto"/>
          <w:sz w:val="28"/>
          <w:szCs w:val="24"/>
        </w:rPr>
        <w:t>号）</w:t>
      </w:r>
      <w:r>
        <w:rPr>
          <w:rFonts w:hint="eastAsia"/>
          <w:i w:val="0"/>
          <w:iCs w:val="0"/>
          <w:color w:val="auto"/>
          <w:sz w:val="28"/>
          <w:szCs w:val="24"/>
          <w:lang w:eastAsia="zh-CN"/>
        </w:rPr>
        <w:t>；</w:t>
      </w:r>
    </w:p>
    <w:p>
      <w:pPr>
        <w:snapToGrid w:val="0"/>
        <w:ind w:firstLine="560"/>
        <w:rPr>
          <w:rFonts w:hint="eastAsia"/>
          <w:i w:val="0"/>
          <w:iCs w:val="0"/>
          <w:color w:val="auto"/>
          <w:sz w:val="28"/>
          <w:szCs w:val="24"/>
        </w:rPr>
      </w:pPr>
      <w:r>
        <w:rPr>
          <w:rFonts w:hint="eastAsia"/>
          <w:i w:val="0"/>
          <w:iCs w:val="0"/>
          <w:color w:val="auto"/>
          <w:sz w:val="28"/>
          <w:szCs w:val="24"/>
        </w:rPr>
        <w:t>（1</w:t>
      </w:r>
      <w:r>
        <w:rPr>
          <w:rFonts w:hint="eastAsia"/>
          <w:i w:val="0"/>
          <w:iCs w:val="0"/>
          <w:color w:val="auto"/>
          <w:sz w:val="28"/>
          <w:szCs w:val="24"/>
          <w:lang w:val="en-US" w:eastAsia="zh-CN"/>
        </w:rPr>
        <w:t>6</w:t>
      </w:r>
      <w:r>
        <w:rPr>
          <w:rFonts w:hint="eastAsia"/>
          <w:i w:val="0"/>
          <w:iCs w:val="0"/>
          <w:color w:val="auto"/>
          <w:sz w:val="28"/>
          <w:szCs w:val="24"/>
        </w:rPr>
        <w:t>）《危险化学品目录（2022调整版）》（2023年1月1日起实施）；</w:t>
      </w:r>
    </w:p>
    <w:p>
      <w:pPr>
        <w:snapToGrid w:val="0"/>
        <w:ind w:firstLine="560"/>
        <w:rPr>
          <w:rFonts w:hint="eastAsia"/>
          <w:i w:val="0"/>
          <w:iCs w:val="0"/>
          <w:color w:val="auto"/>
          <w:sz w:val="28"/>
          <w:szCs w:val="24"/>
          <w:lang w:eastAsia="zh-CN"/>
        </w:rPr>
      </w:pPr>
      <w:r>
        <w:rPr>
          <w:rFonts w:hint="eastAsia"/>
          <w:i w:val="0"/>
          <w:iCs w:val="0"/>
          <w:color w:val="auto"/>
          <w:sz w:val="28"/>
          <w:szCs w:val="24"/>
        </w:rPr>
        <w:t>（1</w:t>
      </w:r>
      <w:r>
        <w:rPr>
          <w:rFonts w:hint="eastAsia"/>
          <w:i w:val="0"/>
          <w:iCs w:val="0"/>
          <w:color w:val="auto"/>
          <w:sz w:val="28"/>
          <w:szCs w:val="24"/>
          <w:lang w:val="en-US" w:eastAsia="zh-CN"/>
        </w:rPr>
        <w:t>7</w:t>
      </w:r>
      <w:r>
        <w:rPr>
          <w:rFonts w:hint="eastAsia"/>
          <w:i w:val="0"/>
          <w:iCs w:val="0"/>
          <w:color w:val="auto"/>
          <w:sz w:val="28"/>
          <w:szCs w:val="24"/>
        </w:rPr>
        <w:t>）《国家危险废物名录（2025年版）》（2025年1月1日起实施）</w:t>
      </w:r>
      <w:r>
        <w:rPr>
          <w:rFonts w:hint="eastAsia"/>
          <w:i w:val="0"/>
          <w:iCs w:val="0"/>
          <w:color w:val="auto"/>
          <w:sz w:val="28"/>
          <w:szCs w:val="24"/>
          <w:lang w:eastAsia="zh-CN"/>
        </w:rPr>
        <w:t>；</w:t>
      </w:r>
    </w:p>
    <w:p>
      <w:pPr>
        <w:snapToGrid w:val="0"/>
        <w:ind w:firstLine="560"/>
        <w:rPr>
          <w:rFonts w:hint="eastAsia"/>
          <w:i w:val="0"/>
          <w:iCs w:val="0"/>
          <w:color w:val="auto"/>
          <w:sz w:val="28"/>
          <w:szCs w:val="24"/>
          <w:lang w:eastAsia="zh-CN"/>
        </w:rPr>
      </w:pPr>
      <w:r>
        <w:rPr>
          <w:rFonts w:hint="eastAsia"/>
          <w:i w:val="0"/>
          <w:iCs w:val="0"/>
          <w:color w:val="auto"/>
          <w:sz w:val="28"/>
          <w:szCs w:val="24"/>
          <w:lang w:eastAsia="zh-CN"/>
        </w:rPr>
        <w:t>（</w:t>
      </w:r>
      <w:r>
        <w:rPr>
          <w:rFonts w:hint="eastAsia"/>
          <w:i w:val="0"/>
          <w:iCs w:val="0"/>
          <w:color w:val="auto"/>
          <w:sz w:val="28"/>
          <w:szCs w:val="24"/>
          <w:lang w:val="en-US" w:eastAsia="zh-CN"/>
        </w:rPr>
        <w:t>18</w:t>
      </w:r>
      <w:r>
        <w:rPr>
          <w:rFonts w:hint="eastAsia"/>
          <w:i w:val="0"/>
          <w:iCs w:val="0"/>
          <w:color w:val="auto"/>
          <w:sz w:val="28"/>
          <w:szCs w:val="24"/>
          <w:lang w:eastAsia="zh-CN"/>
        </w:rPr>
        <w:t>）《城市供水系统应急净水技术指导手册》（</w:t>
      </w:r>
      <w:r>
        <w:rPr>
          <w:rFonts w:hint="eastAsia"/>
          <w:i w:val="0"/>
          <w:iCs w:val="0"/>
          <w:color w:val="auto"/>
          <w:sz w:val="28"/>
          <w:szCs w:val="24"/>
          <w:lang w:val="en-US" w:eastAsia="zh-CN"/>
        </w:rPr>
        <w:t>2009</w:t>
      </w:r>
      <w:r>
        <w:rPr>
          <w:rFonts w:hint="eastAsia"/>
          <w:i w:val="0"/>
          <w:iCs w:val="0"/>
          <w:color w:val="auto"/>
          <w:sz w:val="28"/>
          <w:szCs w:val="24"/>
          <w:lang w:eastAsia="zh-CN"/>
        </w:rPr>
        <w:t>）。</w:t>
      </w:r>
    </w:p>
    <w:p>
      <w:pPr>
        <w:snapToGrid w:val="0"/>
        <w:ind w:firstLine="560"/>
        <w:rPr>
          <w:rFonts w:hint="eastAsia"/>
          <w:i w:val="0"/>
          <w:iCs w:val="0"/>
          <w:color w:val="auto"/>
          <w:sz w:val="28"/>
          <w:szCs w:val="24"/>
          <w:lang w:eastAsia="zh-CN"/>
        </w:rPr>
      </w:pPr>
      <w:r>
        <w:rPr>
          <w:rFonts w:hint="eastAsia"/>
          <w:i w:val="0"/>
          <w:iCs w:val="0"/>
          <w:color w:val="auto"/>
          <w:sz w:val="28"/>
          <w:szCs w:val="24"/>
          <w:lang w:eastAsia="zh-CN"/>
        </w:rPr>
        <w:t>（</w:t>
      </w:r>
      <w:r>
        <w:rPr>
          <w:rFonts w:hint="eastAsia"/>
          <w:i w:val="0"/>
          <w:iCs w:val="0"/>
          <w:color w:val="auto"/>
          <w:sz w:val="28"/>
          <w:szCs w:val="24"/>
          <w:lang w:val="en-US" w:eastAsia="zh-CN"/>
        </w:rPr>
        <w:t>19</w:t>
      </w:r>
      <w:r>
        <w:rPr>
          <w:rFonts w:hint="eastAsia"/>
          <w:i w:val="0"/>
          <w:iCs w:val="0"/>
          <w:color w:val="auto"/>
          <w:sz w:val="28"/>
          <w:szCs w:val="24"/>
          <w:lang w:eastAsia="zh-CN"/>
        </w:rPr>
        <w:t>）《广东省县级以上城市饮用水水源保护区名录》（2023年）</w:t>
      </w:r>
    </w:p>
    <w:p>
      <w:pPr>
        <w:pStyle w:val="4"/>
        <w:snapToGrid w:val="0"/>
        <w:rPr>
          <w:rFonts w:hint="eastAsia"/>
          <w:i w:val="0"/>
          <w:iCs w:val="0"/>
          <w:color w:val="auto"/>
          <w:sz w:val="28"/>
          <w:szCs w:val="28"/>
          <w:lang w:val="en-US" w:eastAsia="zh-CN"/>
        </w:rPr>
      </w:pPr>
      <w:bookmarkStart w:id="8" w:name="_Toc16366"/>
      <w:r>
        <w:rPr>
          <w:i w:val="0"/>
          <w:iCs w:val="0"/>
          <w:color w:val="auto"/>
          <w:sz w:val="28"/>
          <w:szCs w:val="28"/>
        </w:rPr>
        <w:t>1.2.</w:t>
      </w:r>
      <w:r>
        <w:rPr>
          <w:rFonts w:hint="eastAsia"/>
          <w:i w:val="0"/>
          <w:iCs w:val="0"/>
          <w:color w:val="auto"/>
          <w:sz w:val="28"/>
          <w:szCs w:val="28"/>
          <w:lang w:val="en-US" w:eastAsia="zh-CN"/>
        </w:rPr>
        <w:t>3</w:t>
      </w:r>
      <w:r>
        <w:rPr>
          <w:i w:val="0"/>
          <w:iCs w:val="0"/>
          <w:color w:val="auto"/>
          <w:sz w:val="28"/>
          <w:szCs w:val="28"/>
        </w:rPr>
        <w:t xml:space="preserve"> </w:t>
      </w:r>
      <w:r>
        <w:rPr>
          <w:rFonts w:hint="eastAsia"/>
          <w:i w:val="0"/>
          <w:iCs w:val="0"/>
          <w:color w:val="auto"/>
          <w:sz w:val="28"/>
          <w:szCs w:val="28"/>
          <w:lang w:val="en-US" w:eastAsia="zh-CN"/>
        </w:rPr>
        <w:t>其他资料</w:t>
      </w:r>
      <w:bookmarkEnd w:id="8"/>
    </w:p>
    <w:p>
      <w:pPr>
        <w:rPr>
          <w:rFonts w:hint="default"/>
          <w:i w:val="0"/>
          <w:iCs w:val="0"/>
          <w:color w:val="auto"/>
          <w:lang w:val="en-US" w:eastAsia="zh-CN"/>
        </w:rPr>
      </w:pPr>
      <w:r>
        <w:rPr>
          <w:rFonts w:hint="eastAsia"/>
          <w:i w:val="0"/>
          <w:iCs w:val="0"/>
          <w:color w:val="auto"/>
          <w:sz w:val="28"/>
          <w:szCs w:val="28"/>
          <w:lang w:val="en-US" w:eastAsia="zh-CN"/>
        </w:rPr>
        <w:t>（1）《清远市清新区人民政府办公室印发</w:t>
      </w:r>
      <w:r>
        <w:rPr>
          <w:rFonts w:hint="eastAsia" w:ascii="仿宋_GB2312" w:hAnsi="仿宋_GB2312" w:eastAsia="仿宋_GB2312" w:cs="仿宋_GB2312"/>
          <w:i w:val="0"/>
          <w:iCs w:val="0"/>
          <w:color w:val="auto"/>
          <w:sz w:val="28"/>
          <w:szCs w:val="28"/>
          <w:lang w:val="en-US" w:eastAsia="zh-CN"/>
        </w:rPr>
        <w:t>〈</w:t>
      </w:r>
      <w:r>
        <w:rPr>
          <w:rFonts w:hint="eastAsia"/>
          <w:i w:val="0"/>
          <w:iCs w:val="0"/>
          <w:color w:val="auto"/>
          <w:sz w:val="28"/>
          <w:szCs w:val="28"/>
          <w:lang w:val="en-US" w:eastAsia="zh-CN"/>
        </w:rPr>
        <w:t>清远市清新区滨江河三坑滩饮用水水源地突发环境事件应急预案</w:t>
      </w:r>
      <w:r>
        <w:rPr>
          <w:rFonts w:hint="eastAsia" w:ascii="仿宋_GB2312" w:hAnsi="仿宋_GB2312" w:eastAsia="仿宋_GB2312" w:cs="仿宋_GB2312"/>
          <w:i w:val="0"/>
          <w:iCs w:val="0"/>
          <w:color w:val="auto"/>
          <w:sz w:val="28"/>
          <w:szCs w:val="28"/>
          <w:lang w:val="en-US" w:eastAsia="zh-CN"/>
        </w:rPr>
        <w:t>〉</w:t>
      </w:r>
      <w:r>
        <w:rPr>
          <w:rFonts w:hint="eastAsia"/>
          <w:i w:val="0"/>
          <w:iCs w:val="0"/>
          <w:color w:val="auto"/>
          <w:sz w:val="28"/>
          <w:szCs w:val="28"/>
          <w:lang w:val="en-US" w:eastAsia="zh-CN"/>
        </w:rPr>
        <w:t>等9份应急预案的通知》（清新府办函〔2020〕62号）；</w:t>
      </w:r>
      <w:r>
        <w:rPr>
          <w:rFonts w:hint="eastAsia"/>
          <w:i w:val="0"/>
          <w:iCs w:val="0"/>
          <w:color w:val="auto"/>
          <w:sz w:val="28"/>
          <w:szCs w:val="28"/>
          <w:lang w:val="en-US" w:eastAsia="zh-CN"/>
        </w:rPr>
        <w:br w:type="textWrapping"/>
      </w:r>
      <w:r>
        <w:rPr>
          <w:rFonts w:hint="eastAsia"/>
          <w:i w:val="0"/>
          <w:iCs w:val="0"/>
          <w:color w:val="auto"/>
          <w:sz w:val="28"/>
          <w:szCs w:val="28"/>
          <w:lang w:val="en-US" w:eastAsia="zh-CN"/>
        </w:rPr>
        <w:t xml:space="preserve">   （2）清新区范围内水源地上游环境风险等级较大以上企业突发环境应急预案。</w:t>
      </w:r>
    </w:p>
    <w:p>
      <w:pPr>
        <w:pStyle w:val="3"/>
        <w:snapToGrid w:val="0"/>
        <w:rPr>
          <w:i w:val="0"/>
          <w:iCs w:val="0"/>
          <w:color w:val="auto"/>
          <w:szCs w:val="28"/>
        </w:rPr>
      </w:pPr>
      <w:bookmarkStart w:id="9" w:name="_Toc22011"/>
      <w:r>
        <w:rPr>
          <w:i w:val="0"/>
          <w:iCs w:val="0"/>
          <w:color w:val="auto"/>
          <w:szCs w:val="28"/>
        </w:rPr>
        <w:t>1.3 适用范围</w:t>
      </w:r>
      <w:bookmarkEnd w:id="9"/>
    </w:p>
    <w:p>
      <w:pPr>
        <w:snapToGrid w:val="0"/>
        <w:ind w:firstLine="560"/>
        <w:rPr>
          <w:i w:val="0"/>
          <w:iCs w:val="0"/>
          <w:color w:val="auto"/>
          <w:sz w:val="28"/>
          <w:szCs w:val="28"/>
        </w:rPr>
      </w:pPr>
      <w:r>
        <w:rPr>
          <w:rFonts w:hint="eastAsia"/>
          <w:i w:val="0"/>
          <w:iCs w:val="0"/>
          <w:color w:val="auto"/>
          <w:sz w:val="28"/>
          <w:szCs w:val="28"/>
          <w:lang w:val="en-US" w:eastAsia="zh-CN"/>
        </w:rPr>
        <w:t>本预案</w:t>
      </w:r>
      <w:r>
        <w:rPr>
          <w:i w:val="0"/>
          <w:iCs w:val="0"/>
          <w:color w:val="auto"/>
          <w:sz w:val="28"/>
          <w:szCs w:val="28"/>
        </w:rPr>
        <w:t>适用于</w:t>
      </w:r>
      <w:r>
        <w:rPr>
          <w:rFonts w:hint="eastAsia"/>
          <w:i w:val="0"/>
          <w:iCs w:val="0"/>
          <w:color w:val="auto"/>
          <w:sz w:val="28"/>
          <w:szCs w:val="28"/>
          <w:lang w:eastAsia="zh-CN"/>
        </w:rPr>
        <w:t>清远市滨江河三坑滩饮用水水源保护区</w:t>
      </w:r>
      <w:r>
        <w:rPr>
          <w:i w:val="0"/>
          <w:iCs w:val="0"/>
          <w:color w:val="auto"/>
          <w:sz w:val="28"/>
          <w:szCs w:val="28"/>
        </w:rPr>
        <w:t>地域范围内发生</w:t>
      </w:r>
      <w:r>
        <w:rPr>
          <w:rFonts w:hint="eastAsia"/>
          <w:i w:val="0"/>
          <w:iCs w:val="0"/>
          <w:color w:val="auto"/>
          <w:sz w:val="28"/>
          <w:szCs w:val="28"/>
          <w:lang w:eastAsia="zh-CN"/>
        </w:rPr>
        <w:t>突发生态环境事件</w:t>
      </w:r>
      <w:r>
        <w:rPr>
          <w:i w:val="0"/>
          <w:iCs w:val="0"/>
          <w:color w:val="auto"/>
          <w:sz w:val="28"/>
          <w:szCs w:val="28"/>
        </w:rPr>
        <w:t>的控制和处置行为，除放射性事故外，均适用本预案的规定，地域范围与</w:t>
      </w:r>
      <w:r>
        <w:rPr>
          <w:rFonts w:hint="eastAsia"/>
          <w:i w:val="0"/>
          <w:iCs w:val="0"/>
          <w:color w:val="auto"/>
          <w:sz w:val="28"/>
          <w:szCs w:val="28"/>
          <w:lang w:eastAsia="zh-CN"/>
        </w:rPr>
        <w:t>突发生态环境事件</w:t>
      </w:r>
      <w:r>
        <w:rPr>
          <w:i w:val="0"/>
          <w:iCs w:val="0"/>
          <w:color w:val="auto"/>
          <w:sz w:val="28"/>
          <w:szCs w:val="28"/>
        </w:rPr>
        <w:t>类型如下：</w:t>
      </w:r>
    </w:p>
    <w:p>
      <w:pPr>
        <w:snapToGrid w:val="0"/>
        <w:ind w:firstLine="562"/>
        <w:rPr>
          <w:i w:val="0"/>
          <w:iCs w:val="0"/>
          <w:color w:val="auto"/>
          <w:sz w:val="28"/>
          <w:szCs w:val="28"/>
        </w:rPr>
      </w:pPr>
      <w:r>
        <w:rPr>
          <w:b/>
          <w:i w:val="0"/>
          <w:iCs w:val="0"/>
          <w:color w:val="auto"/>
          <w:sz w:val="28"/>
          <w:szCs w:val="28"/>
        </w:rPr>
        <w:t>（1）地域范围：</w:t>
      </w:r>
      <w:r>
        <w:rPr>
          <w:rFonts w:hint="eastAsia"/>
          <w:i w:val="0"/>
          <w:iCs w:val="0"/>
          <w:color w:val="auto"/>
          <w:sz w:val="28"/>
          <w:szCs w:val="28"/>
        </w:rPr>
        <w:t>水源保护区</w:t>
      </w:r>
      <w:r>
        <w:rPr>
          <w:i w:val="0"/>
          <w:iCs w:val="0"/>
          <w:color w:val="auto"/>
          <w:sz w:val="28"/>
          <w:szCs w:val="28"/>
        </w:rPr>
        <w:t>、水源保护区边界向上游连接水体及周边汇水区域上溯24小时流程范围内的水域和分水岭内的陆域（最大不超过汇水区域的范围）。</w:t>
      </w:r>
    </w:p>
    <w:p>
      <w:pPr>
        <w:snapToGrid w:val="0"/>
        <w:ind w:firstLine="562"/>
        <w:rPr>
          <w:b/>
          <w:i w:val="0"/>
          <w:iCs w:val="0"/>
          <w:color w:val="auto"/>
          <w:sz w:val="28"/>
          <w:szCs w:val="28"/>
        </w:rPr>
      </w:pPr>
      <w:r>
        <w:rPr>
          <w:b/>
          <w:i w:val="0"/>
          <w:iCs w:val="0"/>
          <w:color w:val="auto"/>
          <w:sz w:val="28"/>
          <w:szCs w:val="28"/>
        </w:rPr>
        <w:t>（2）</w:t>
      </w:r>
      <w:r>
        <w:rPr>
          <w:rFonts w:hint="eastAsia"/>
          <w:b/>
          <w:i w:val="0"/>
          <w:iCs w:val="0"/>
          <w:color w:val="auto"/>
          <w:sz w:val="28"/>
          <w:szCs w:val="28"/>
          <w:lang w:eastAsia="zh-CN"/>
        </w:rPr>
        <w:t>突发生态环境事件</w:t>
      </w:r>
      <w:r>
        <w:rPr>
          <w:b/>
          <w:i w:val="0"/>
          <w:iCs w:val="0"/>
          <w:color w:val="auto"/>
          <w:sz w:val="28"/>
          <w:szCs w:val="28"/>
        </w:rPr>
        <w:t>类型：</w:t>
      </w:r>
    </w:p>
    <w:p>
      <w:pPr>
        <w:snapToGrid w:val="0"/>
        <w:ind w:firstLine="560"/>
        <w:rPr>
          <w:i w:val="0"/>
          <w:iCs w:val="0"/>
          <w:color w:val="auto"/>
          <w:sz w:val="28"/>
          <w:szCs w:val="28"/>
        </w:rPr>
      </w:pPr>
      <w:r>
        <w:rPr>
          <w:rFonts w:hint="eastAsia"/>
          <w:i w:val="0"/>
          <w:iCs w:val="0"/>
          <w:color w:val="auto"/>
          <w:sz w:val="28"/>
          <w:szCs w:val="28"/>
          <w:lang w:eastAsia="zh-CN"/>
        </w:rPr>
        <w:t>①</w:t>
      </w:r>
      <w:r>
        <w:rPr>
          <w:i w:val="0"/>
          <w:iCs w:val="0"/>
          <w:color w:val="auto"/>
          <w:sz w:val="28"/>
          <w:szCs w:val="28"/>
        </w:rPr>
        <w:t>固定源</w:t>
      </w:r>
      <w:r>
        <w:rPr>
          <w:rFonts w:hint="eastAsia"/>
          <w:i w:val="0"/>
          <w:iCs w:val="0"/>
          <w:color w:val="auto"/>
          <w:sz w:val="28"/>
          <w:szCs w:val="28"/>
          <w:lang w:eastAsia="zh-CN"/>
        </w:rPr>
        <w:t>突发生态环境事件</w:t>
      </w:r>
      <w:r>
        <w:rPr>
          <w:i w:val="0"/>
          <w:iCs w:val="0"/>
          <w:color w:val="auto"/>
          <w:sz w:val="28"/>
          <w:szCs w:val="28"/>
        </w:rPr>
        <w:t>。可能发生</w:t>
      </w:r>
      <w:r>
        <w:rPr>
          <w:rFonts w:hint="eastAsia"/>
          <w:i w:val="0"/>
          <w:iCs w:val="0"/>
          <w:color w:val="auto"/>
          <w:sz w:val="28"/>
          <w:szCs w:val="28"/>
          <w:lang w:eastAsia="zh-CN"/>
        </w:rPr>
        <w:t>突发生态环境事件</w:t>
      </w:r>
      <w:r>
        <w:rPr>
          <w:i w:val="0"/>
          <w:iCs w:val="0"/>
          <w:color w:val="auto"/>
          <w:sz w:val="28"/>
          <w:szCs w:val="28"/>
        </w:rPr>
        <w:t>的排放污染物企业事业单位，生产、储存、运输、使用危险化学品的企业，产生、收集、贮存、运输、利用、处置危险废物的企业等固定源，因自然灾害、生产安全事故、违法排污等原因，导致水源地风险物质直接或间接排入水源保护区或其上游连接水体，造成水质污染的事件。</w:t>
      </w:r>
    </w:p>
    <w:p>
      <w:pPr>
        <w:snapToGrid w:val="0"/>
        <w:ind w:firstLine="560"/>
        <w:rPr>
          <w:i w:val="0"/>
          <w:iCs w:val="0"/>
          <w:color w:val="auto"/>
          <w:sz w:val="28"/>
          <w:szCs w:val="28"/>
        </w:rPr>
      </w:pPr>
      <w:r>
        <w:rPr>
          <w:rFonts w:hint="eastAsia"/>
          <w:i w:val="0"/>
          <w:iCs w:val="0"/>
          <w:color w:val="auto"/>
          <w:sz w:val="28"/>
          <w:szCs w:val="28"/>
          <w:lang w:eastAsia="zh-CN"/>
        </w:rPr>
        <w:t>②</w:t>
      </w:r>
      <w:r>
        <w:rPr>
          <w:i w:val="0"/>
          <w:iCs w:val="0"/>
          <w:color w:val="auto"/>
          <w:sz w:val="28"/>
          <w:szCs w:val="28"/>
        </w:rPr>
        <w:t>流动源</w:t>
      </w:r>
      <w:r>
        <w:rPr>
          <w:rFonts w:hint="eastAsia"/>
          <w:i w:val="0"/>
          <w:iCs w:val="0"/>
          <w:color w:val="auto"/>
          <w:sz w:val="28"/>
          <w:szCs w:val="28"/>
          <w:lang w:eastAsia="zh-CN"/>
        </w:rPr>
        <w:t>突发生态环境事件</w:t>
      </w:r>
      <w:r>
        <w:rPr>
          <w:i w:val="0"/>
          <w:iCs w:val="0"/>
          <w:color w:val="auto"/>
          <w:sz w:val="28"/>
          <w:szCs w:val="28"/>
        </w:rPr>
        <w:t>。在公路或水路运输过程中，由于交通事故等原因，导致油品、化学品或其他有毒有害物质进入水源保护区或其上游连接水体，造成水质污染的事件。</w:t>
      </w:r>
    </w:p>
    <w:p>
      <w:pPr>
        <w:snapToGrid w:val="0"/>
        <w:ind w:firstLine="560"/>
        <w:rPr>
          <w:i w:val="0"/>
          <w:iCs w:val="0"/>
          <w:color w:val="auto"/>
          <w:sz w:val="28"/>
          <w:szCs w:val="28"/>
        </w:rPr>
      </w:pPr>
      <w:r>
        <w:rPr>
          <w:rFonts w:hint="eastAsia"/>
          <w:i w:val="0"/>
          <w:iCs w:val="0"/>
          <w:color w:val="auto"/>
          <w:sz w:val="28"/>
          <w:szCs w:val="28"/>
          <w:lang w:eastAsia="zh-CN"/>
        </w:rPr>
        <w:t>③</w:t>
      </w:r>
      <w:r>
        <w:rPr>
          <w:i w:val="0"/>
          <w:iCs w:val="0"/>
          <w:color w:val="auto"/>
          <w:sz w:val="28"/>
          <w:szCs w:val="28"/>
        </w:rPr>
        <w:t>非点源</w:t>
      </w:r>
      <w:r>
        <w:rPr>
          <w:rFonts w:hint="eastAsia"/>
          <w:i w:val="0"/>
          <w:iCs w:val="0"/>
          <w:color w:val="auto"/>
          <w:sz w:val="28"/>
          <w:szCs w:val="28"/>
          <w:lang w:eastAsia="zh-CN"/>
        </w:rPr>
        <w:t>突发生态环境事件</w:t>
      </w:r>
      <w:r>
        <w:rPr>
          <w:i w:val="0"/>
          <w:iCs w:val="0"/>
          <w:color w:val="auto"/>
          <w:sz w:val="28"/>
          <w:szCs w:val="28"/>
        </w:rPr>
        <w:t>。主要包括以下两种情形：一是暴雨冲刷畜禽养殖废物、农田</w:t>
      </w:r>
      <w:r>
        <w:rPr>
          <w:rFonts w:hint="eastAsia"/>
          <w:i w:val="0"/>
          <w:iCs w:val="0"/>
          <w:color w:val="auto"/>
          <w:sz w:val="28"/>
          <w:szCs w:val="28"/>
        </w:rPr>
        <w:t>、</w:t>
      </w:r>
      <w:r>
        <w:rPr>
          <w:i w:val="0"/>
          <w:iCs w:val="0"/>
          <w:color w:val="auto"/>
          <w:sz w:val="28"/>
          <w:szCs w:val="28"/>
        </w:rPr>
        <w:t>果园</w:t>
      </w:r>
      <w:r>
        <w:rPr>
          <w:rFonts w:hint="eastAsia"/>
          <w:i w:val="0"/>
          <w:iCs w:val="0"/>
          <w:color w:val="auto"/>
          <w:sz w:val="28"/>
          <w:szCs w:val="28"/>
        </w:rPr>
        <w:t>或</w:t>
      </w:r>
      <w:r>
        <w:rPr>
          <w:i w:val="0"/>
          <w:iCs w:val="0"/>
          <w:color w:val="auto"/>
          <w:sz w:val="28"/>
          <w:szCs w:val="28"/>
        </w:rPr>
        <w:t>林园土壤，导致大量细菌、农药、化肥等随地表或地下径流进入水源保护区或其上游连接水体，造成水质污染的事件；二是闸坝调控等原因，导致坝前污水短期内集中排放造成水源保护区或其上游连接水体水质污染的事件。</w:t>
      </w:r>
    </w:p>
    <w:p>
      <w:pPr>
        <w:snapToGrid w:val="0"/>
        <w:ind w:firstLine="560"/>
        <w:rPr>
          <w:i w:val="0"/>
          <w:iCs w:val="0"/>
          <w:color w:val="auto"/>
          <w:sz w:val="28"/>
          <w:szCs w:val="28"/>
          <w:lang w:val="en-US" w:eastAsia="zh-CN"/>
        </w:rPr>
      </w:pPr>
      <w:r>
        <w:rPr>
          <w:rFonts w:hint="eastAsia"/>
          <w:i w:val="0"/>
          <w:iCs w:val="0"/>
          <w:color w:val="auto"/>
          <w:sz w:val="28"/>
          <w:szCs w:val="28"/>
          <w:lang w:val="en-US" w:eastAsia="zh-CN"/>
        </w:rPr>
        <w:t>④水华灾害事件</w:t>
      </w:r>
      <w:r>
        <w:rPr>
          <w:i w:val="0"/>
          <w:iCs w:val="0"/>
          <w:color w:val="auto"/>
          <w:sz w:val="28"/>
          <w:szCs w:val="28"/>
        </w:rPr>
        <w:t>。</w:t>
      </w:r>
      <w:r>
        <w:rPr>
          <w:i w:val="0"/>
          <w:iCs w:val="0"/>
          <w:color w:val="auto"/>
          <w:sz w:val="28"/>
          <w:szCs w:val="28"/>
          <w:lang w:val="en-US" w:eastAsia="zh-CN"/>
        </w:rPr>
        <w:t>在营养条件、水动力条件、光热条件等适宜情况下，浮游藻类大量繁殖并聚集，使得水体色度发生变化、水体</w:t>
      </w:r>
      <w:r>
        <w:rPr>
          <w:rFonts w:hint="eastAsia"/>
          <w:i w:val="0"/>
          <w:iCs w:val="0"/>
          <w:color w:val="auto"/>
          <w:sz w:val="28"/>
          <w:szCs w:val="28"/>
          <w:lang w:val="en-US" w:eastAsia="zh-CN"/>
        </w:rPr>
        <w:t>溶解氧</w:t>
      </w:r>
      <w:r>
        <w:rPr>
          <w:i w:val="0"/>
          <w:iCs w:val="0"/>
          <w:color w:val="auto"/>
          <w:sz w:val="28"/>
          <w:szCs w:val="28"/>
          <w:lang w:val="en-US" w:eastAsia="zh-CN"/>
        </w:rPr>
        <w:t>降低、藻类厌氧分解产生异味或毒性物质，导致水华灾害的事件。</w:t>
      </w:r>
    </w:p>
    <w:p>
      <w:pPr>
        <w:pStyle w:val="3"/>
        <w:snapToGrid w:val="0"/>
        <w:rPr>
          <w:i w:val="0"/>
          <w:iCs w:val="0"/>
          <w:color w:val="auto"/>
          <w:szCs w:val="28"/>
        </w:rPr>
      </w:pPr>
      <w:bookmarkStart w:id="10" w:name="_Toc11463"/>
      <w:r>
        <w:rPr>
          <w:i w:val="0"/>
          <w:iCs w:val="0"/>
          <w:color w:val="auto"/>
          <w:szCs w:val="28"/>
        </w:rPr>
        <w:t>1.4 事件分级</w:t>
      </w:r>
      <w:bookmarkEnd w:id="10"/>
    </w:p>
    <w:p>
      <w:pPr>
        <w:snapToGrid w:val="0"/>
        <w:ind w:firstLine="560"/>
        <w:rPr>
          <w:i w:val="0"/>
          <w:iCs w:val="0"/>
          <w:color w:val="auto"/>
          <w:sz w:val="28"/>
          <w:szCs w:val="28"/>
        </w:rPr>
      </w:pPr>
      <w:r>
        <w:rPr>
          <w:i w:val="0"/>
          <w:iCs w:val="0"/>
          <w:color w:val="auto"/>
          <w:sz w:val="28"/>
          <w:szCs w:val="28"/>
        </w:rPr>
        <w:t>参考《广东省突发环境事件应急预案</w:t>
      </w:r>
      <w:r>
        <w:rPr>
          <w:rFonts w:hint="eastAsia"/>
          <w:i w:val="0"/>
          <w:iCs w:val="0"/>
          <w:color w:val="auto"/>
          <w:sz w:val="28"/>
          <w:szCs w:val="28"/>
          <w:lang w:eastAsia="zh-CN"/>
        </w:rPr>
        <w:t>》《</w:t>
      </w:r>
      <w:r>
        <w:rPr>
          <w:i w:val="0"/>
          <w:iCs w:val="0"/>
          <w:color w:val="auto"/>
          <w:sz w:val="28"/>
          <w:szCs w:val="28"/>
        </w:rPr>
        <w:t>清远市突发环境事件应急预案</w:t>
      </w:r>
      <w:r>
        <w:rPr>
          <w:rFonts w:hint="eastAsia"/>
          <w:i w:val="0"/>
          <w:iCs w:val="0"/>
          <w:color w:val="auto"/>
          <w:sz w:val="28"/>
          <w:szCs w:val="28"/>
          <w:lang w:eastAsia="zh-CN"/>
        </w:rPr>
        <w:t>》《</w:t>
      </w:r>
      <w:r>
        <w:rPr>
          <w:i w:val="0"/>
          <w:iCs w:val="0"/>
          <w:color w:val="auto"/>
          <w:sz w:val="28"/>
          <w:szCs w:val="28"/>
        </w:rPr>
        <w:t>清远市清新区突发环境事件应急预案》相关要求，结合事件的严重性和紧急程度，将水源地</w:t>
      </w:r>
      <w:r>
        <w:rPr>
          <w:rFonts w:hint="eastAsia"/>
          <w:i w:val="0"/>
          <w:iCs w:val="0"/>
          <w:color w:val="auto"/>
          <w:sz w:val="28"/>
          <w:szCs w:val="28"/>
          <w:lang w:eastAsia="zh-CN"/>
        </w:rPr>
        <w:t>突发生态环境事件</w:t>
      </w:r>
      <w:r>
        <w:rPr>
          <w:i w:val="0"/>
          <w:iCs w:val="0"/>
          <w:color w:val="auto"/>
          <w:sz w:val="28"/>
          <w:szCs w:val="28"/>
        </w:rPr>
        <w:t>分为特别重大饮用水水源地</w:t>
      </w:r>
      <w:r>
        <w:rPr>
          <w:rFonts w:hint="eastAsia"/>
          <w:i w:val="0"/>
          <w:iCs w:val="0"/>
          <w:color w:val="auto"/>
          <w:sz w:val="28"/>
          <w:szCs w:val="28"/>
          <w:lang w:eastAsia="zh-CN"/>
        </w:rPr>
        <w:t>突发生态环境事件</w:t>
      </w:r>
      <w:r>
        <w:rPr>
          <w:i w:val="0"/>
          <w:iCs w:val="0"/>
          <w:color w:val="auto"/>
          <w:sz w:val="28"/>
          <w:szCs w:val="28"/>
        </w:rPr>
        <w:t>（I级）、重大饮用水水源地</w:t>
      </w:r>
      <w:r>
        <w:rPr>
          <w:rFonts w:hint="eastAsia"/>
          <w:i w:val="0"/>
          <w:iCs w:val="0"/>
          <w:color w:val="auto"/>
          <w:sz w:val="28"/>
          <w:szCs w:val="28"/>
          <w:lang w:eastAsia="zh-CN"/>
        </w:rPr>
        <w:t>突发生态环境事件</w:t>
      </w:r>
      <w:r>
        <w:rPr>
          <w:i w:val="0"/>
          <w:iCs w:val="0"/>
          <w:color w:val="auto"/>
          <w:sz w:val="28"/>
          <w:szCs w:val="28"/>
        </w:rPr>
        <w:t>（II级）、较大饮用水水源地</w:t>
      </w:r>
      <w:r>
        <w:rPr>
          <w:rFonts w:hint="eastAsia"/>
          <w:i w:val="0"/>
          <w:iCs w:val="0"/>
          <w:color w:val="auto"/>
          <w:sz w:val="28"/>
          <w:szCs w:val="28"/>
          <w:lang w:eastAsia="zh-CN"/>
        </w:rPr>
        <w:t>突发生态环境事件</w:t>
      </w:r>
      <w:r>
        <w:rPr>
          <w:i w:val="0"/>
          <w:iCs w:val="0"/>
          <w:color w:val="auto"/>
          <w:sz w:val="28"/>
          <w:szCs w:val="28"/>
        </w:rPr>
        <w:t>（III级）和一般饮用水水源地</w:t>
      </w:r>
      <w:r>
        <w:rPr>
          <w:rFonts w:hint="eastAsia"/>
          <w:i w:val="0"/>
          <w:iCs w:val="0"/>
          <w:color w:val="auto"/>
          <w:sz w:val="28"/>
          <w:szCs w:val="28"/>
          <w:lang w:eastAsia="zh-CN"/>
        </w:rPr>
        <w:t>突发生态环境事件</w:t>
      </w:r>
      <w:r>
        <w:rPr>
          <w:i w:val="0"/>
          <w:iCs w:val="0"/>
          <w:color w:val="auto"/>
          <w:sz w:val="28"/>
          <w:szCs w:val="28"/>
        </w:rPr>
        <w:t>（IV级），分别如下：</w:t>
      </w:r>
    </w:p>
    <w:p>
      <w:pPr>
        <w:pStyle w:val="4"/>
        <w:snapToGrid w:val="0"/>
        <w:rPr>
          <w:i w:val="0"/>
          <w:iCs w:val="0"/>
          <w:color w:val="auto"/>
          <w:sz w:val="28"/>
          <w:szCs w:val="28"/>
        </w:rPr>
      </w:pPr>
      <w:bookmarkStart w:id="11" w:name="_Toc951"/>
      <w:r>
        <w:rPr>
          <w:i w:val="0"/>
          <w:iCs w:val="0"/>
          <w:color w:val="auto"/>
          <w:sz w:val="28"/>
          <w:szCs w:val="28"/>
        </w:rPr>
        <w:t>1.4.1 特别重大饮用水水源地</w:t>
      </w:r>
      <w:r>
        <w:rPr>
          <w:rFonts w:hint="eastAsia"/>
          <w:i w:val="0"/>
          <w:iCs w:val="0"/>
          <w:color w:val="auto"/>
          <w:sz w:val="28"/>
          <w:szCs w:val="28"/>
          <w:lang w:eastAsia="zh-CN"/>
        </w:rPr>
        <w:t>突发生态环境事件</w:t>
      </w:r>
      <w:r>
        <w:rPr>
          <w:i w:val="0"/>
          <w:iCs w:val="0"/>
          <w:color w:val="auto"/>
          <w:sz w:val="28"/>
          <w:szCs w:val="28"/>
        </w:rPr>
        <w:t>（I级）</w:t>
      </w:r>
      <w:bookmarkEnd w:id="11"/>
    </w:p>
    <w:p>
      <w:pPr>
        <w:snapToGrid w:val="0"/>
        <w:ind w:firstLine="560"/>
        <w:rPr>
          <w:i w:val="0"/>
          <w:iCs w:val="0"/>
          <w:color w:val="auto"/>
          <w:sz w:val="28"/>
          <w:szCs w:val="28"/>
        </w:rPr>
      </w:pPr>
      <w:r>
        <w:rPr>
          <w:i w:val="0"/>
          <w:iCs w:val="0"/>
          <w:color w:val="auto"/>
          <w:sz w:val="28"/>
          <w:szCs w:val="28"/>
        </w:rPr>
        <w:t>凡符合下列情形之一的，为特别重大饮用水水源地</w:t>
      </w:r>
      <w:r>
        <w:rPr>
          <w:rFonts w:hint="eastAsia"/>
          <w:i w:val="0"/>
          <w:iCs w:val="0"/>
          <w:color w:val="auto"/>
          <w:sz w:val="28"/>
          <w:szCs w:val="28"/>
          <w:lang w:eastAsia="zh-CN"/>
        </w:rPr>
        <w:t>突发生态环境事件</w:t>
      </w:r>
      <w:r>
        <w:rPr>
          <w:i w:val="0"/>
          <w:iCs w:val="0"/>
          <w:color w:val="auto"/>
          <w:sz w:val="28"/>
          <w:szCs w:val="28"/>
        </w:rPr>
        <w:t>：</w:t>
      </w:r>
    </w:p>
    <w:p>
      <w:pPr>
        <w:snapToGrid w:val="0"/>
        <w:ind w:firstLine="560"/>
        <w:rPr>
          <w:i w:val="0"/>
          <w:iCs w:val="0"/>
          <w:color w:val="auto"/>
          <w:sz w:val="28"/>
          <w:szCs w:val="28"/>
        </w:rPr>
      </w:pPr>
      <w:r>
        <w:rPr>
          <w:i w:val="0"/>
          <w:iCs w:val="0"/>
          <w:color w:val="auto"/>
          <w:sz w:val="28"/>
          <w:szCs w:val="28"/>
        </w:rPr>
        <w:t>（1）因</w:t>
      </w:r>
      <w:r>
        <w:rPr>
          <w:rFonts w:hint="eastAsia"/>
          <w:i w:val="0"/>
          <w:iCs w:val="0"/>
          <w:color w:val="auto"/>
          <w:sz w:val="28"/>
          <w:szCs w:val="28"/>
        </w:rPr>
        <w:t>水源地</w:t>
      </w:r>
      <w:r>
        <w:rPr>
          <w:i w:val="0"/>
          <w:iCs w:val="0"/>
          <w:color w:val="auto"/>
          <w:sz w:val="28"/>
          <w:szCs w:val="28"/>
        </w:rPr>
        <w:t>环境污染直接导致30人以上死亡或100人以上中毒或重伤的；</w:t>
      </w:r>
    </w:p>
    <w:p>
      <w:pPr>
        <w:snapToGrid w:val="0"/>
        <w:ind w:firstLine="560"/>
        <w:rPr>
          <w:i w:val="0"/>
          <w:iCs w:val="0"/>
          <w:color w:val="auto"/>
          <w:sz w:val="28"/>
          <w:szCs w:val="28"/>
        </w:rPr>
      </w:pPr>
      <w:r>
        <w:rPr>
          <w:i w:val="0"/>
          <w:iCs w:val="0"/>
          <w:color w:val="auto"/>
          <w:sz w:val="28"/>
          <w:szCs w:val="28"/>
        </w:rPr>
        <w:t>（2）因</w:t>
      </w:r>
      <w:r>
        <w:rPr>
          <w:rFonts w:hint="eastAsia"/>
          <w:i w:val="0"/>
          <w:iCs w:val="0"/>
          <w:color w:val="auto"/>
          <w:sz w:val="28"/>
          <w:szCs w:val="28"/>
        </w:rPr>
        <w:t>水源地</w:t>
      </w:r>
      <w:r>
        <w:rPr>
          <w:i w:val="0"/>
          <w:iCs w:val="0"/>
          <w:color w:val="auto"/>
          <w:sz w:val="28"/>
          <w:szCs w:val="28"/>
        </w:rPr>
        <w:t>环境污染疏散、转移人员5万人以上的；</w:t>
      </w:r>
    </w:p>
    <w:p>
      <w:pPr>
        <w:snapToGrid w:val="0"/>
        <w:ind w:firstLine="560"/>
        <w:rPr>
          <w:i w:val="0"/>
          <w:iCs w:val="0"/>
          <w:color w:val="auto"/>
          <w:sz w:val="28"/>
          <w:szCs w:val="28"/>
        </w:rPr>
      </w:pPr>
      <w:r>
        <w:rPr>
          <w:i w:val="0"/>
          <w:iCs w:val="0"/>
          <w:color w:val="auto"/>
          <w:sz w:val="28"/>
          <w:szCs w:val="28"/>
        </w:rPr>
        <w:t>（3）因</w:t>
      </w:r>
      <w:r>
        <w:rPr>
          <w:rFonts w:hint="eastAsia"/>
          <w:i w:val="0"/>
          <w:iCs w:val="0"/>
          <w:color w:val="auto"/>
          <w:sz w:val="28"/>
          <w:szCs w:val="28"/>
        </w:rPr>
        <w:t>水源地</w:t>
      </w:r>
      <w:r>
        <w:rPr>
          <w:i w:val="0"/>
          <w:iCs w:val="0"/>
          <w:color w:val="auto"/>
          <w:sz w:val="28"/>
          <w:szCs w:val="28"/>
        </w:rPr>
        <w:t>环境污染造成直接经济损失1亿元以上的；</w:t>
      </w:r>
    </w:p>
    <w:p>
      <w:pPr>
        <w:snapToGrid w:val="0"/>
        <w:ind w:firstLine="560"/>
        <w:rPr>
          <w:i w:val="0"/>
          <w:iCs w:val="0"/>
          <w:color w:val="auto"/>
          <w:sz w:val="28"/>
          <w:szCs w:val="28"/>
        </w:rPr>
      </w:pPr>
      <w:r>
        <w:rPr>
          <w:i w:val="0"/>
          <w:iCs w:val="0"/>
          <w:color w:val="auto"/>
          <w:sz w:val="28"/>
          <w:szCs w:val="28"/>
        </w:rPr>
        <w:t>（4）因</w:t>
      </w:r>
      <w:r>
        <w:rPr>
          <w:rFonts w:hint="eastAsia"/>
          <w:i w:val="0"/>
          <w:iCs w:val="0"/>
          <w:color w:val="auto"/>
          <w:sz w:val="28"/>
          <w:szCs w:val="28"/>
        </w:rPr>
        <w:t>水源地</w:t>
      </w:r>
      <w:r>
        <w:rPr>
          <w:i w:val="0"/>
          <w:iCs w:val="0"/>
          <w:color w:val="auto"/>
          <w:sz w:val="28"/>
          <w:szCs w:val="28"/>
        </w:rPr>
        <w:t>环境污染造成区域生态功能丧失或区域国家重点保护物种灭绝的</w:t>
      </w:r>
      <w:r>
        <w:rPr>
          <w:rFonts w:hint="eastAsia"/>
          <w:i w:val="0"/>
          <w:iCs w:val="0"/>
          <w:color w:val="auto"/>
          <w:sz w:val="28"/>
          <w:szCs w:val="28"/>
        </w:rPr>
        <w:t>；</w:t>
      </w:r>
    </w:p>
    <w:p>
      <w:pPr>
        <w:snapToGrid w:val="0"/>
        <w:ind w:firstLine="560"/>
        <w:rPr>
          <w:i w:val="0"/>
          <w:iCs w:val="0"/>
          <w:color w:val="auto"/>
          <w:sz w:val="28"/>
          <w:szCs w:val="28"/>
        </w:rPr>
      </w:pPr>
      <w:r>
        <w:rPr>
          <w:i w:val="0"/>
          <w:iCs w:val="0"/>
          <w:color w:val="auto"/>
          <w:sz w:val="28"/>
          <w:szCs w:val="28"/>
        </w:rPr>
        <w:t>（5）因</w:t>
      </w:r>
      <w:r>
        <w:rPr>
          <w:rFonts w:hint="eastAsia"/>
          <w:i w:val="0"/>
          <w:iCs w:val="0"/>
          <w:color w:val="auto"/>
          <w:sz w:val="28"/>
          <w:szCs w:val="28"/>
        </w:rPr>
        <w:t>水源地</w:t>
      </w:r>
      <w:r>
        <w:rPr>
          <w:i w:val="0"/>
          <w:iCs w:val="0"/>
          <w:color w:val="auto"/>
          <w:sz w:val="28"/>
          <w:szCs w:val="28"/>
        </w:rPr>
        <w:t>环境污染造成</w:t>
      </w:r>
      <w:r>
        <w:rPr>
          <w:rFonts w:hint="eastAsia"/>
          <w:i w:val="0"/>
          <w:iCs w:val="0"/>
          <w:color w:val="auto"/>
          <w:sz w:val="28"/>
          <w:szCs w:val="28"/>
          <w:lang w:val="en-US" w:eastAsia="zh-CN"/>
        </w:rPr>
        <w:t>清远市</w:t>
      </w:r>
      <w:r>
        <w:rPr>
          <w:i w:val="0"/>
          <w:iCs w:val="0"/>
          <w:color w:val="auto"/>
          <w:sz w:val="28"/>
          <w:szCs w:val="28"/>
        </w:rPr>
        <w:t>滨江河</w:t>
      </w:r>
      <w:r>
        <w:rPr>
          <w:rFonts w:hint="eastAsia"/>
          <w:i w:val="0"/>
          <w:iCs w:val="0"/>
          <w:color w:val="auto"/>
          <w:sz w:val="28"/>
          <w:szCs w:val="28"/>
        </w:rPr>
        <w:t>三坑滩</w:t>
      </w:r>
      <w:r>
        <w:rPr>
          <w:i w:val="0"/>
          <w:iCs w:val="0"/>
          <w:color w:val="auto"/>
          <w:sz w:val="28"/>
          <w:szCs w:val="28"/>
        </w:rPr>
        <w:t>饮用水水源地取水中断的。</w:t>
      </w:r>
    </w:p>
    <w:p>
      <w:pPr>
        <w:pStyle w:val="4"/>
        <w:snapToGrid w:val="0"/>
        <w:rPr>
          <w:i w:val="0"/>
          <w:iCs w:val="0"/>
          <w:color w:val="auto"/>
          <w:sz w:val="28"/>
          <w:szCs w:val="28"/>
        </w:rPr>
      </w:pPr>
      <w:bookmarkStart w:id="12" w:name="_Toc14938"/>
      <w:r>
        <w:rPr>
          <w:i w:val="0"/>
          <w:iCs w:val="0"/>
          <w:color w:val="auto"/>
          <w:sz w:val="28"/>
          <w:szCs w:val="28"/>
        </w:rPr>
        <w:t>1.4.2 重大饮用水水源地</w:t>
      </w:r>
      <w:r>
        <w:rPr>
          <w:rFonts w:hint="eastAsia"/>
          <w:i w:val="0"/>
          <w:iCs w:val="0"/>
          <w:color w:val="auto"/>
          <w:sz w:val="28"/>
          <w:szCs w:val="28"/>
          <w:lang w:eastAsia="zh-CN"/>
        </w:rPr>
        <w:t>突发生态环境事件</w:t>
      </w:r>
      <w:r>
        <w:rPr>
          <w:i w:val="0"/>
          <w:iCs w:val="0"/>
          <w:color w:val="auto"/>
          <w:sz w:val="28"/>
          <w:szCs w:val="28"/>
        </w:rPr>
        <w:t>（II级）</w:t>
      </w:r>
      <w:bookmarkEnd w:id="12"/>
    </w:p>
    <w:p>
      <w:pPr>
        <w:snapToGrid w:val="0"/>
        <w:ind w:firstLine="560"/>
        <w:rPr>
          <w:i w:val="0"/>
          <w:iCs w:val="0"/>
          <w:color w:val="auto"/>
          <w:sz w:val="28"/>
          <w:szCs w:val="28"/>
        </w:rPr>
      </w:pPr>
      <w:r>
        <w:rPr>
          <w:i w:val="0"/>
          <w:iCs w:val="0"/>
          <w:color w:val="auto"/>
          <w:sz w:val="28"/>
          <w:szCs w:val="28"/>
        </w:rPr>
        <w:t>凡符合下列情况之一的，为重大饮用水水源地</w:t>
      </w:r>
      <w:r>
        <w:rPr>
          <w:rFonts w:hint="eastAsia"/>
          <w:i w:val="0"/>
          <w:iCs w:val="0"/>
          <w:color w:val="auto"/>
          <w:sz w:val="28"/>
          <w:szCs w:val="28"/>
          <w:lang w:eastAsia="zh-CN"/>
        </w:rPr>
        <w:t>突发生态环境事件</w:t>
      </w:r>
      <w:r>
        <w:rPr>
          <w:i w:val="0"/>
          <w:iCs w:val="0"/>
          <w:color w:val="auto"/>
          <w:sz w:val="28"/>
          <w:szCs w:val="28"/>
        </w:rPr>
        <w:t>：</w:t>
      </w:r>
    </w:p>
    <w:p>
      <w:pPr>
        <w:snapToGrid w:val="0"/>
        <w:ind w:firstLine="560"/>
        <w:rPr>
          <w:i w:val="0"/>
          <w:iCs w:val="0"/>
          <w:color w:val="auto"/>
          <w:sz w:val="28"/>
          <w:szCs w:val="28"/>
        </w:rPr>
      </w:pPr>
      <w:r>
        <w:rPr>
          <w:i w:val="0"/>
          <w:iCs w:val="0"/>
          <w:color w:val="auto"/>
          <w:sz w:val="28"/>
          <w:szCs w:val="28"/>
        </w:rPr>
        <w:t>（1）因</w:t>
      </w:r>
      <w:r>
        <w:rPr>
          <w:rFonts w:hint="eastAsia"/>
          <w:i w:val="0"/>
          <w:iCs w:val="0"/>
          <w:color w:val="auto"/>
          <w:sz w:val="28"/>
          <w:szCs w:val="28"/>
        </w:rPr>
        <w:t>水源地</w:t>
      </w:r>
      <w:r>
        <w:rPr>
          <w:i w:val="0"/>
          <w:iCs w:val="0"/>
          <w:color w:val="auto"/>
          <w:sz w:val="28"/>
          <w:szCs w:val="28"/>
        </w:rPr>
        <w:t>环境污染直接导致10人以上30人以下死亡或50人以上100人以下中毒或重伤的；</w:t>
      </w:r>
    </w:p>
    <w:p>
      <w:pPr>
        <w:snapToGrid w:val="0"/>
        <w:ind w:firstLine="560"/>
        <w:rPr>
          <w:i w:val="0"/>
          <w:iCs w:val="0"/>
          <w:color w:val="auto"/>
          <w:sz w:val="28"/>
          <w:szCs w:val="28"/>
        </w:rPr>
      </w:pPr>
      <w:r>
        <w:rPr>
          <w:i w:val="0"/>
          <w:iCs w:val="0"/>
          <w:color w:val="auto"/>
          <w:sz w:val="28"/>
          <w:szCs w:val="28"/>
        </w:rPr>
        <w:t>（2）因</w:t>
      </w:r>
      <w:r>
        <w:rPr>
          <w:rFonts w:hint="eastAsia"/>
          <w:i w:val="0"/>
          <w:iCs w:val="0"/>
          <w:color w:val="auto"/>
          <w:sz w:val="28"/>
          <w:szCs w:val="28"/>
        </w:rPr>
        <w:t>水源地</w:t>
      </w:r>
      <w:r>
        <w:rPr>
          <w:i w:val="0"/>
          <w:iCs w:val="0"/>
          <w:color w:val="auto"/>
          <w:sz w:val="28"/>
          <w:szCs w:val="28"/>
        </w:rPr>
        <w:t>环境污染疏散、转移人员1万人以上5万人以下的；</w:t>
      </w:r>
    </w:p>
    <w:p>
      <w:pPr>
        <w:snapToGrid w:val="0"/>
        <w:ind w:firstLine="560"/>
        <w:rPr>
          <w:i w:val="0"/>
          <w:iCs w:val="0"/>
          <w:color w:val="auto"/>
          <w:sz w:val="28"/>
          <w:szCs w:val="28"/>
        </w:rPr>
      </w:pPr>
      <w:r>
        <w:rPr>
          <w:i w:val="0"/>
          <w:iCs w:val="0"/>
          <w:color w:val="auto"/>
          <w:sz w:val="28"/>
          <w:szCs w:val="28"/>
        </w:rPr>
        <w:t>（3）因</w:t>
      </w:r>
      <w:r>
        <w:rPr>
          <w:rFonts w:hint="eastAsia"/>
          <w:i w:val="0"/>
          <w:iCs w:val="0"/>
          <w:color w:val="auto"/>
          <w:sz w:val="28"/>
          <w:szCs w:val="28"/>
        </w:rPr>
        <w:t>水源地</w:t>
      </w:r>
      <w:r>
        <w:rPr>
          <w:i w:val="0"/>
          <w:iCs w:val="0"/>
          <w:color w:val="auto"/>
          <w:sz w:val="28"/>
          <w:szCs w:val="28"/>
        </w:rPr>
        <w:t>环境污染造成直接经济损失2000万元以上1亿元以下的；</w:t>
      </w:r>
    </w:p>
    <w:p>
      <w:pPr>
        <w:snapToGrid w:val="0"/>
        <w:ind w:firstLine="560"/>
        <w:rPr>
          <w:i w:val="0"/>
          <w:iCs w:val="0"/>
          <w:color w:val="auto"/>
          <w:sz w:val="28"/>
          <w:szCs w:val="28"/>
        </w:rPr>
      </w:pPr>
      <w:r>
        <w:rPr>
          <w:i w:val="0"/>
          <w:iCs w:val="0"/>
          <w:color w:val="auto"/>
          <w:sz w:val="28"/>
          <w:szCs w:val="28"/>
        </w:rPr>
        <w:t>（4）因</w:t>
      </w:r>
      <w:r>
        <w:rPr>
          <w:rFonts w:hint="eastAsia"/>
          <w:i w:val="0"/>
          <w:iCs w:val="0"/>
          <w:color w:val="auto"/>
          <w:sz w:val="28"/>
          <w:szCs w:val="28"/>
        </w:rPr>
        <w:t>水源地</w:t>
      </w:r>
      <w:r>
        <w:rPr>
          <w:i w:val="0"/>
          <w:iCs w:val="0"/>
          <w:color w:val="auto"/>
          <w:sz w:val="28"/>
          <w:szCs w:val="28"/>
        </w:rPr>
        <w:t>环境污染造成区域生态功能部分丧失或区域国家重点保护野生动植物种群大批死亡的</w:t>
      </w:r>
      <w:r>
        <w:rPr>
          <w:rFonts w:hint="eastAsia"/>
          <w:i w:val="0"/>
          <w:iCs w:val="0"/>
          <w:color w:val="auto"/>
          <w:sz w:val="28"/>
          <w:szCs w:val="28"/>
        </w:rPr>
        <w:t>。</w:t>
      </w:r>
    </w:p>
    <w:p>
      <w:pPr>
        <w:pStyle w:val="4"/>
        <w:snapToGrid w:val="0"/>
        <w:rPr>
          <w:i w:val="0"/>
          <w:iCs w:val="0"/>
          <w:color w:val="auto"/>
          <w:sz w:val="28"/>
          <w:szCs w:val="28"/>
        </w:rPr>
      </w:pPr>
      <w:bookmarkStart w:id="13" w:name="_Toc15308"/>
      <w:r>
        <w:rPr>
          <w:i w:val="0"/>
          <w:iCs w:val="0"/>
          <w:color w:val="auto"/>
          <w:sz w:val="28"/>
          <w:szCs w:val="28"/>
        </w:rPr>
        <w:t>1.4.3 较大饮用水水源地</w:t>
      </w:r>
      <w:r>
        <w:rPr>
          <w:rFonts w:hint="eastAsia"/>
          <w:i w:val="0"/>
          <w:iCs w:val="0"/>
          <w:color w:val="auto"/>
          <w:sz w:val="28"/>
          <w:szCs w:val="28"/>
          <w:lang w:eastAsia="zh-CN"/>
        </w:rPr>
        <w:t>突发生态环境事件</w:t>
      </w:r>
      <w:r>
        <w:rPr>
          <w:i w:val="0"/>
          <w:iCs w:val="0"/>
          <w:color w:val="auto"/>
          <w:sz w:val="28"/>
          <w:szCs w:val="28"/>
        </w:rPr>
        <w:t>（III级）</w:t>
      </w:r>
      <w:bookmarkEnd w:id="13"/>
    </w:p>
    <w:p>
      <w:pPr>
        <w:snapToGrid w:val="0"/>
        <w:ind w:firstLine="560"/>
        <w:rPr>
          <w:i w:val="0"/>
          <w:iCs w:val="0"/>
          <w:color w:val="auto"/>
          <w:sz w:val="28"/>
          <w:szCs w:val="28"/>
        </w:rPr>
      </w:pPr>
      <w:r>
        <w:rPr>
          <w:i w:val="0"/>
          <w:iCs w:val="0"/>
          <w:color w:val="auto"/>
          <w:sz w:val="28"/>
          <w:szCs w:val="28"/>
        </w:rPr>
        <w:t>凡符合下列情形之一的，为较大饮用水水源地</w:t>
      </w:r>
      <w:r>
        <w:rPr>
          <w:rFonts w:hint="eastAsia"/>
          <w:i w:val="0"/>
          <w:iCs w:val="0"/>
          <w:color w:val="auto"/>
          <w:sz w:val="28"/>
          <w:szCs w:val="28"/>
          <w:lang w:eastAsia="zh-CN"/>
        </w:rPr>
        <w:t>突发生态环境事件</w:t>
      </w:r>
      <w:r>
        <w:rPr>
          <w:i w:val="0"/>
          <w:iCs w:val="0"/>
          <w:color w:val="auto"/>
          <w:sz w:val="28"/>
          <w:szCs w:val="28"/>
        </w:rPr>
        <w:t>：</w:t>
      </w:r>
    </w:p>
    <w:p>
      <w:pPr>
        <w:snapToGrid w:val="0"/>
        <w:ind w:firstLine="560"/>
        <w:rPr>
          <w:i w:val="0"/>
          <w:iCs w:val="0"/>
          <w:color w:val="auto"/>
          <w:sz w:val="28"/>
          <w:szCs w:val="28"/>
        </w:rPr>
      </w:pPr>
      <w:r>
        <w:rPr>
          <w:i w:val="0"/>
          <w:iCs w:val="0"/>
          <w:color w:val="auto"/>
          <w:sz w:val="28"/>
          <w:szCs w:val="28"/>
        </w:rPr>
        <w:t>（1）因</w:t>
      </w:r>
      <w:r>
        <w:rPr>
          <w:rFonts w:hint="eastAsia"/>
          <w:i w:val="0"/>
          <w:iCs w:val="0"/>
          <w:color w:val="auto"/>
          <w:sz w:val="28"/>
          <w:szCs w:val="28"/>
        </w:rPr>
        <w:t>水源地</w:t>
      </w:r>
      <w:r>
        <w:rPr>
          <w:i w:val="0"/>
          <w:iCs w:val="0"/>
          <w:color w:val="auto"/>
          <w:sz w:val="28"/>
          <w:szCs w:val="28"/>
        </w:rPr>
        <w:t>环境污染直接导致3人以上10人以下死亡或10人以上50人以下中毒或重伤的；</w:t>
      </w:r>
    </w:p>
    <w:p>
      <w:pPr>
        <w:snapToGrid w:val="0"/>
        <w:ind w:firstLine="560"/>
        <w:rPr>
          <w:i w:val="0"/>
          <w:iCs w:val="0"/>
          <w:color w:val="auto"/>
          <w:sz w:val="28"/>
          <w:szCs w:val="28"/>
        </w:rPr>
      </w:pPr>
      <w:r>
        <w:rPr>
          <w:i w:val="0"/>
          <w:iCs w:val="0"/>
          <w:color w:val="auto"/>
          <w:sz w:val="28"/>
          <w:szCs w:val="28"/>
        </w:rPr>
        <w:t>（2）因</w:t>
      </w:r>
      <w:r>
        <w:rPr>
          <w:rFonts w:hint="eastAsia"/>
          <w:i w:val="0"/>
          <w:iCs w:val="0"/>
          <w:color w:val="auto"/>
          <w:sz w:val="28"/>
          <w:szCs w:val="28"/>
        </w:rPr>
        <w:t>水源地</w:t>
      </w:r>
      <w:r>
        <w:rPr>
          <w:i w:val="0"/>
          <w:iCs w:val="0"/>
          <w:color w:val="auto"/>
          <w:sz w:val="28"/>
          <w:szCs w:val="28"/>
        </w:rPr>
        <w:t>环境污染疏散、转移人员5000人以上1万人以下的；</w:t>
      </w:r>
    </w:p>
    <w:p>
      <w:pPr>
        <w:snapToGrid w:val="0"/>
        <w:ind w:firstLine="560"/>
        <w:rPr>
          <w:i w:val="0"/>
          <w:iCs w:val="0"/>
          <w:color w:val="auto"/>
          <w:sz w:val="28"/>
          <w:szCs w:val="28"/>
        </w:rPr>
      </w:pPr>
      <w:r>
        <w:rPr>
          <w:i w:val="0"/>
          <w:iCs w:val="0"/>
          <w:color w:val="auto"/>
          <w:sz w:val="28"/>
          <w:szCs w:val="28"/>
        </w:rPr>
        <w:t>（3）因</w:t>
      </w:r>
      <w:r>
        <w:rPr>
          <w:rFonts w:hint="eastAsia"/>
          <w:i w:val="0"/>
          <w:iCs w:val="0"/>
          <w:color w:val="auto"/>
          <w:sz w:val="28"/>
          <w:szCs w:val="28"/>
        </w:rPr>
        <w:t>水源地</w:t>
      </w:r>
      <w:r>
        <w:rPr>
          <w:i w:val="0"/>
          <w:iCs w:val="0"/>
          <w:color w:val="auto"/>
          <w:sz w:val="28"/>
          <w:szCs w:val="28"/>
        </w:rPr>
        <w:t>环境污染造成直接经济损失500万元以上2000万元以下的；</w:t>
      </w:r>
    </w:p>
    <w:p>
      <w:pPr>
        <w:snapToGrid w:val="0"/>
        <w:ind w:firstLine="560"/>
        <w:rPr>
          <w:i w:val="0"/>
          <w:iCs w:val="0"/>
          <w:color w:val="auto"/>
          <w:sz w:val="28"/>
          <w:szCs w:val="28"/>
        </w:rPr>
      </w:pPr>
      <w:r>
        <w:rPr>
          <w:i w:val="0"/>
          <w:iCs w:val="0"/>
          <w:color w:val="auto"/>
          <w:sz w:val="28"/>
          <w:szCs w:val="28"/>
        </w:rPr>
        <w:t>（4）因</w:t>
      </w:r>
      <w:r>
        <w:rPr>
          <w:rFonts w:hint="eastAsia"/>
          <w:i w:val="0"/>
          <w:iCs w:val="0"/>
          <w:color w:val="auto"/>
          <w:sz w:val="28"/>
          <w:szCs w:val="28"/>
        </w:rPr>
        <w:t>水源地</w:t>
      </w:r>
      <w:r>
        <w:rPr>
          <w:i w:val="0"/>
          <w:iCs w:val="0"/>
          <w:color w:val="auto"/>
          <w:sz w:val="28"/>
          <w:szCs w:val="28"/>
        </w:rPr>
        <w:t>环境污染造成国家重点保护的动植物物种受到破坏的</w:t>
      </w:r>
      <w:r>
        <w:rPr>
          <w:rFonts w:hint="eastAsia"/>
          <w:i w:val="0"/>
          <w:iCs w:val="0"/>
          <w:color w:val="auto"/>
          <w:sz w:val="28"/>
          <w:szCs w:val="28"/>
        </w:rPr>
        <w:t>。</w:t>
      </w:r>
    </w:p>
    <w:p>
      <w:pPr>
        <w:pStyle w:val="4"/>
        <w:snapToGrid w:val="0"/>
        <w:rPr>
          <w:i w:val="0"/>
          <w:iCs w:val="0"/>
          <w:color w:val="auto"/>
          <w:sz w:val="28"/>
          <w:szCs w:val="28"/>
        </w:rPr>
      </w:pPr>
      <w:bookmarkStart w:id="14" w:name="_Toc87"/>
      <w:r>
        <w:rPr>
          <w:i w:val="0"/>
          <w:iCs w:val="0"/>
          <w:color w:val="auto"/>
          <w:sz w:val="28"/>
          <w:szCs w:val="28"/>
        </w:rPr>
        <w:t>1.4.4 一般饮用水水源地</w:t>
      </w:r>
      <w:r>
        <w:rPr>
          <w:rFonts w:hint="eastAsia"/>
          <w:i w:val="0"/>
          <w:iCs w:val="0"/>
          <w:color w:val="auto"/>
          <w:sz w:val="28"/>
          <w:szCs w:val="28"/>
          <w:lang w:eastAsia="zh-CN"/>
        </w:rPr>
        <w:t>突发生态环境事件</w:t>
      </w:r>
      <w:r>
        <w:rPr>
          <w:i w:val="0"/>
          <w:iCs w:val="0"/>
          <w:color w:val="auto"/>
          <w:sz w:val="28"/>
          <w:szCs w:val="28"/>
        </w:rPr>
        <w:t>（IV级）</w:t>
      </w:r>
      <w:bookmarkEnd w:id="14"/>
    </w:p>
    <w:p>
      <w:pPr>
        <w:snapToGrid w:val="0"/>
        <w:ind w:firstLine="560"/>
        <w:rPr>
          <w:i w:val="0"/>
          <w:iCs w:val="0"/>
          <w:color w:val="auto"/>
          <w:sz w:val="28"/>
          <w:szCs w:val="28"/>
        </w:rPr>
      </w:pPr>
      <w:r>
        <w:rPr>
          <w:i w:val="0"/>
          <w:iCs w:val="0"/>
          <w:color w:val="auto"/>
          <w:sz w:val="28"/>
          <w:szCs w:val="28"/>
        </w:rPr>
        <w:t>凡符合下列情形之一的，为一般饮用水水源地</w:t>
      </w:r>
      <w:r>
        <w:rPr>
          <w:rFonts w:hint="eastAsia"/>
          <w:i w:val="0"/>
          <w:iCs w:val="0"/>
          <w:color w:val="auto"/>
          <w:sz w:val="28"/>
          <w:szCs w:val="28"/>
          <w:lang w:eastAsia="zh-CN"/>
        </w:rPr>
        <w:t>突发生态环境事件</w:t>
      </w:r>
      <w:r>
        <w:rPr>
          <w:i w:val="0"/>
          <w:iCs w:val="0"/>
          <w:color w:val="auto"/>
          <w:sz w:val="28"/>
          <w:szCs w:val="28"/>
        </w:rPr>
        <w:t>：</w:t>
      </w:r>
    </w:p>
    <w:p>
      <w:pPr>
        <w:snapToGrid w:val="0"/>
        <w:ind w:firstLine="560"/>
        <w:rPr>
          <w:i w:val="0"/>
          <w:iCs w:val="0"/>
          <w:color w:val="auto"/>
          <w:sz w:val="28"/>
          <w:szCs w:val="28"/>
        </w:rPr>
      </w:pPr>
      <w:r>
        <w:rPr>
          <w:i w:val="0"/>
          <w:iCs w:val="0"/>
          <w:color w:val="auto"/>
          <w:sz w:val="28"/>
          <w:szCs w:val="28"/>
        </w:rPr>
        <w:t>（1）因</w:t>
      </w:r>
      <w:r>
        <w:rPr>
          <w:rFonts w:hint="eastAsia"/>
          <w:i w:val="0"/>
          <w:iCs w:val="0"/>
          <w:color w:val="auto"/>
          <w:sz w:val="28"/>
          <w:szCs w:val="28"/>
        </w:rPr>
        <w:t>水源地</w:t>
      </w:r>
      <w:r>
        <w:rPr>
          <w:i w:val="0"/>
          <w:iCs w:val="0"/>
          <w:color w:val="auto"/>
          <w:sz w:val="28"/>
          <w:szCs w:val="28"/>
        </w:rPr>
        <w:t>环境污染直接导致3人以下死亡或10人以下中毒或重伤的；</w:t>
      </w:r>
    </w:p>
    <w:p>
      <w:pPr>
        <w:snapToGrid w:val="0"/>
        <w:ind w:firstLine="560"/>
        <w:rPr>
          <w:i w:val="0"/>
          <w:iCs w:val="0"/>
          <w:color w:val="auto"/>
          <w:sz w:val="28"/>
          <w:szCs w:val="28"/>
        </w:rPr>
      </w:pPr>
      <w:r>
        <w:rPr>
          <w:i w:val="0"/>
          <w:iCs w:val="0"/>
          <w:color w:val="auto"/>
          <w:sz w:val="28"/>
          <w:szCs w:val="28"/>
        </w:rPr>
        <w:t>（2）因</w:t>
      </w:r>
      <w:r>
        <w:rPr>
          <w:rFonts w:hint="eastAsia"/>
          <w:i w:val="0"/>
          <w:iCs w:val="0"/>
          <w:color w:val="auto"/>
          <w:sz w:val="28"/>
          <w:szCs w:val="28"/>
        </w:rPr>
        <w:t>水源地</w:t>
      </w:r>
      <w:r>
        <w:rPr>
          <w:i w:val="0"/>
          <w:iCs w:val="0"/>
          <w:color w:val="auto"/>
          <w:sz w:val="28"/>
          <w:szCs w:val="28"/>
        </w:rPr>
        <w:t>环境污染疏散、转移人员5000人以下的；</w:t>
      </w:r>
    </w:p>
    <w:p>
      <w:pPr>
        <w:snapToGrid w:val="0"/>
        <w:ind w:firstLine="560"/>
        <w:rPr>
          <w:i w:val="0"/>
          <w:iCs w:val="0"/>
          <w:color w:val="auto"/>
          <w:sz w:val="28"/>
          <w:szCs w:val="28"/>
        </w:rPr>
      </w:pPr>
      <w:r>
        <w:rPr>
          <w:i w:val="0"/>
          <w:iCs w:val="0"/>
          <w:color w:val="auto"/>
          <w:sz w:val="28"/>
          <w:szCs w:val="28"/>
        </w:rPr>
        <w:t>（3）因</w:t>
      </w:r>
      <w:r>
        <w:rPr>
          <w:rFonts w:hint="eastAsia"/>
          <w:i w:val="0"/>
          <w:iCs w:val="0"/>
          <w:color w:val="auto"/>
          <w:sz w:val="28"/>
          <w:szCs w:val="28"/>
        </w:rPr>
        <w:t>水源地</w:t>
      </w:r>
      <w:r>
        <w:rPr>
          <w:i w:val="0"/>
          <w:iCs w:val="0"/>
          <w:color w:val="auto"/>
          <w:sz w:val="28"/>
          <w:szCs w:val="28"/>
        </w:rPr>
        <w:t>环境污染造成直接经济损失500万元以下的；</w:t>
      </w:r>
    </w:p>
    <w:p>
      <w:pPr>
        <w:snapToGrid w:val="0"/>
        <w:ind w:firstLine="560"/>
        <w:rPr>
          <w:i w:val="0"/>
          <w:iCs w:val="0"/>
          <w:color w:val="auto"/>
          <w:sz w:val="28"/>
          <w:szCs w:val="28"/>
        </w:rPr>
      </w:pPr>
      <w:r>
        <w:rPr>
          <w:i w:val="0"/>
          <w:iCs w:val="0"/>
          <w:color w:val="auto"/>
          <w:sz w:val="28"/>
          <w:szCs w:val="28"/>
        </w:rPr>
        <w:t>（4）对环境造成一定影响，尚未达到较大</w:t>
      </w:r>
      <w:r>
        <w:rPr>
          <w:rFonts w:hint="eastAsia"/>
          <w:i w:val="0"/>
          <w:iCs w:val="0"/>
          <w:color w:val="auto"/>
          <w:sz w:val="28"/>
          <w:szCs w:val="28"/>
          <w:lang w:eastAsia="zh-CN"/>
        </w:rPr>
        <w:t>突发生态环境事件</w:t>
      </w:r>
      <w:r>
        <w:rPr>
          <w:i w:val="0"/>
          <w:iCs w:val="0"/>
          <w:color w:val="auto"/>
          <w:sz w:val="28"/>
          <w:szCs w:val="28"/>
        </w:rPr>
        <w:t>级别的。</w:t>
      </w:r>
    </w:p>
    <w:p>
      <w:pPr>
        <w:snapToGrid w:val="0"/>
        <w:ind w:firstLine="560"/>
        <w:rPr>
          <w:i w:val="0"/>
          <w:iCs w:val="0"/>
          <w:color w:val="auto"/>
          <w:sz w:val="28"/>
          <w:szCs w:val="28"/>
        </w:rPr>
      </w:pPr>
      <w:r>
        <w:rPr>
          <w:i w:val="0"/>
          <w:iCs w:val="0"/>
          <w:color w:val="auto"/>
          <w:sz w:val="28"/>
          <w:szCs w:val="28"/>
        </w:rPr>
        <w:t>上述分级标准有关数量的表述中，“以上”含本数，“以下”不含本数。</w:t>
      </w:r>
    </w:p>
    <w:p>
      <w:pPr>
        <w:pStyle w:val="3"/>
        <w:snapToGrid w:val="0"/>
        <w:rPr>
          <w:i w:val="0"/>
          <w:iCs w:val="0"/>
          <w:color w:val="auto"/>
          <w:szCs w:val="28"/>
        </w:rPr>
      </w:pPr>
      <w:bookmarkStart w:id="15" w:name="_Toc27964"/>
      <w:r>
        <w:rPr>
          <w:i w:val="0"/>
          <w:iCs w:val="0"/>
          <w:color w:val="auto"/>
          <w:szCs w:val="28"/>
        </w:rPr>
        <w:t>1.5 预案衔接</w:t>
      </w:r>
      <w:bookmarkEnd w:id="15"/>
    </w:p>
    <w:p>
      <w:pPr>
        <w:widowControl/>
        <w:shd w:val="clear" w:color="auto" w:fill="FFFFFF"/>
        <w:snapToGrid w:val="0"/>
        <w:ind w:firstLine="560"/>
        <w:rPr>
          <w:i w:val="0"/>
          <w:iCs w:val="0"/>
          <w:color w:val="auto"/>
          <w:kern w:val="0"/>
          <w:sz w:val="28"/>
          <w:szCs w:val="28"/>
        </w:rPr>
      </w:pPr>
      <w:r>
        <w:rPr>
          <w:i w:val="0"/>
          <w:iCs w:val="0"/>
          <w:color w:val="auto"/>
          <w:kern w:val="0"/>
          <w:sz w:val="28"/>
          <w:szCs w:val="28"/>
        </w:rPr>
        <w:t>在与政府和部门预案衔接方面，本预案主要根据《广东省突发环境事件应急预案》《清远市突发环境事件应急预案</w:t>
      </w:r>
      <w:r>
        <w:rPr>
          <w:rFonts w:hint="eastAsia"/>
          <w:i w:val="0"/>
          <w:iCs w:val="0"/>
          <w:color w:val="auto"/>
          <w:kern w:val="0"/>
          <w:sz w:val="28"/>
          <w:szCs w:val="28"/>
          <w:lang w:eastAsia="zh-CN"/>
        </w:rPr>
        <w:t>》《</w:t>
      </w:r>
      <w:r>
        <w:rPr>
          <w:i w:val="0"/>
          <w:iCs w:val="0"/>
          <w:color w:val="auto"/>
          <w:kern w:val="0"/>
          <w:sz w:val="28"/>
          <w:szCs w:val="28"/>
        </w:rPr>
        <w:t>清远市清新区突发环境事件应急预案》等相关预案内容，在组织指挥体系、适用的地域范围、预警分级、信息报告、应急保障等方面进行衔接，确保</w:t>
      </w:r>
      <w:r>
        <w:rPr>
          <w:rFonts w:hint="eastAsia"/>
          <w:i w:val="0"/>
          <w:iCs w:val="0"/>
          <w:color w:val="auto"/>
          <w:kern w:val="0"/>
          <w:sz w:val="28"/>
          <w:szCs w:val="28"/>
          <w:lang w:eastAsia="zh-CN"/>
        </w:rPr>
        <w:t>突发生态环境事件</w:t>
      </w:r>
      <w:r>
        <w:rPr>
          <w:i w:val="0"/>
          <w:iCs w:val="0"/>
          <w:color w:val="auto"/>
          <w:kern w:val="0"/>
          <w:sz w:val="28"/>
          <w:szCs w:val="28"/>
        </w:rPr>
        <w:t>的应急组织指挥方式协调一致。</w:t>
      </w:r>
    </w:p>
    <w:p>
      <w:pPr>
        <w:widowControl/>
        <w:shd w:val="clear" w:color="auto" w:fill="FFFFFF"/>
        <w:snapToGrid w:val="0"/>
        <w:ind w:firstLine="560"/>
        <w:rPr>
          <w:i w:val="0"/>
          <w:iCs w:val="0"/>
          <w:color w:val="auto"/>
          <w:kern w:val="0"/>
          <w:sz w:val="28"/>
          <w:szCs w:val="28"/>
        </w:rPr>
      </w:pPr>
      <w:r>
        <w:rPr>
          <w:i w:val="0"/>
          <w:iCs w:val="0"/>
          <w:color w:val="auto"/>
          <w:kern w:val="0"/>
          <w:sz w:val="28"/>
          <w:szCs w:val="28"/>
        </w:rPr>
        <w:t>《清远市突发环境事件应急预案》适用于清远市较大突发环境事件的应急处置工作。《清远市清新区突发环境事件应急预案》适用于清新区行政区域一般</w:t>
      </w:r>
      <w:r>
        <w:rPr>
          <w:rFonts w:hint="eastAsia"/>
          <w:i w:val="0"/>
          <w:iCs w:val="0"/>
          <w:color w:val="auto"/>
          <w:kern w:val="0"/>
          <w:sz w:val="28"/>
          <w:szCs w:val="28"/>
          <w:lang w:eastAsia="zh-CN"/>
        </w:rPr>
        <w:t>突发生态环境事件</w:t>
      </w:r>
      <w:r>
        <w:rPr>
          <w:i w:val="0"/>
          <w:iCs w:val="0"/>
          <w:color w:val="auto"/>
          <w:kern w:val="0"/>
          <w:sz w:val="28"/>
          <w:szCs w:val="28"/>
        </w:rPr>
        <w:t>的应急处置工作。若清新区发生一般</w:t>
      </w:r>
      <w:r>
        <w:rPr>
          <w:rFonts w:hint="eastAsia"/>
          <w:i w:val="0"/>
          <w:iCs w:val="0"/>
          <w:color w:val="auto"/>
          <w:kern w:val="0"/>
          <w:sz w:val="28"/>
          <w:szCs w:val="28"/>
          <w:lang w:eastAsia="zh-CN"/>
        </w:rPr>
        <w:t>突发生态环境事件</w:t>
      </w:r>
      <w:r>
        <w:rPr>
          <w:i w:val="0"/>
          <w:iCs w:val="0"/>
          <w:color w:val="auto"/>
          <w:kern w:val="0"/>
          <w:sz w:val="28"/>
          <w:szCs w:val="28"/>
        </w:rPr>
        <w:t>时，首先启动《清远市清新区突发环境事件应急预案》，一旦污染物迁移到水源地地域范围</w:t>
      </w:r>
      <w:r>
        <w:rPr>
          <w:rFonts w:hint="eastAsia"/>
          <w:i w:val="0"/>
          <w:iCs w:val="0"/>
          <w:color w:val="auto"/>
          <w:kern w:val="0"/>
          <w:sz w:val="28"/>
          <w:szCs w:val="28"/>
        </w:rPr>
        <w:t>，</w:t>
      </w:r>
      <w:r>
        <w:rPr>
          <w:i w:val="0"/>
          <w:iCs w:val="0"/>
          <w:color w:val="auto"/>
          <w:kern w:val="0"/>
          <w:sz w:val="28"/>
          <w:szCs w:val="28"/>
        </w:rPr>
        <w:t>影响到水源地的水质安全</w:t>
      </w:r>
      <w:r>
        <w:rPr>
          <w:rFonts w:hint="eastAsia"/>
          <w:i w:val="0"/>
          <w:iCs w:val="0"/>
          <w:color w:val="auto"/>
          <w:kern w:val="0"/>
          <w:sz w:val="28"/>
          <w:szCs w:val="28"/>
        </w:rPr>
        <w:t>且</w:t>
      </w:r>
      <w:r>
        <w:rPr>
          <w:i w:val="0"/>
          <w:iCs w:val="0"/>
          <w:color w:val="auto"/>
          <w:kern w:val="0"/>
          <w:sz w:val="28"/>
          <w:szCs w:val="28"/>
        </w:rPr>
        <w:t>达到</w:t>
      </w:r>
      <w:r>
        <w:rPr>
          <w:rFonts w:hint="eastAsia"/>
          <w:i w:val="0"/>
          <w:iCs w:val="0"/>
          <w:color w:val="auto"/>
          <w:kern w:val="0"/>
          <w:sz w:val="28"/>
          <w:szCs w:val="28"/>
        </w:rPr>
        <w:t>预警</w:t>
      </w:r>
      <w:r>
        <w:rPr>
          <w:i w:val="0"/>
          <w:iCs w:val="0"/>
          <w:color w:val="auto"/>
          <w:kern w:val="0"/>
          <w:sz w:val="28"/>
          <w:szCs w:val="28"/>
        </w:rPr>
        <w:t>要求时，则应启动本预案。启动本预案后，由</w:t>
      </w:r>
      <w:r>
        <w:rPr>
          <w:rFonts w:hint="eastAsia"/>
          <w:i w:val="0"/>
          <w:iCs w:val="0"/>
          <w:color w:val="auto"/>
          <w:kern w:val="0"/>
          <w:sz w:val="28"/>
          <w:szCs w:val="28"/>
          <w:lang w:val="en-US" w:eastAsia="zh-CN"/>
        </w:rPr>
        <w:t>清新</w:t>
      </w:r>
      <w:r>
        <w:rPr>
          <w:i w:val="0"/>
          <w:iCs w:val="0"/>
          <w:color w:val="auto"/>
          <w:kern w:val="0"/>
          <w:sz w:val="28"/>
          <w:szCs w:val="28"/>
        </w:rPr>
        <w:t>区</w:t>
      </w:r>
      <w:r>
        <w:rPr>
          <w:rFonts w:hint="eastAsia"/>
          <w:i w:val="0"/>
          <w:iCs w:val="0"/>
          <w:color w:val="auto"/>
          <w:kern w:val="0"/>
          <w:sz w:val="28"/>
          <w:szCs w:val="28"/>
          <w:lang w:val="en-US" w:eastAsia="zh-CN"/>
        </w:rPr>
        <w:t>人民</w:t>
      </w:r>
      <w:r>
        <w:rPr>
          <w:i w:val="0"/>
          <w:iCs w:val="0"/>
          <w:color w:val="auto"/>
          <w:kern w:val="0"/>
          <w:sz w:val="28"/>
          <w:szCs w:val="28"/>
        </w:rPr>
        <w:t>政府成立的水源地应急指挥部开展应急处置工作，同时第一时间通知供水单位</w:t>
      </w:r>
      <w:r>
        <w:rPr>
          <w:rFonts w:hint="eastAsia"/>
          <w:i w:val="0"/>
          <w:iCs w:val="0"/>
          <w:color w:val="auto"/>
          <w:kern w:val="0"/>
          <w:sz w:val="28"/>
          <w:szCs w:val="28"/>
        </w:rPr>
        <w:t>（清远市清新区太和供水有限公司</w:t>
      </w:r>
      <w:r>
        <w:rPr>
          <w:rFonts w:hint="eastAsia"/>
          <w:i w:val="0"/>
          <w:iCs w:val="0"/>
          <w:color w:val="auto"/>
          <w:kern w:val="0"/>
          <w:sz w:val="28"/>
          <w:szCs w:val="28"/>
          <w:lang w:eastAsia="zh-CN"/>
        </w:rPr>
        <w:t>、清新区迳口自来水厂</w:t>
      </w:r>
      <w:r>
        <w:rPr>
          <w:rFonts w:hint="eastAsia"/>
          <w:i w:val="0"/>
          <w:iCs w:val="0"/>
          <w:color w:val="auto"/>
          <w:kern w:val="0"/>
          <w:sz w:val="28"/>
          <w:szCs w:val="28"/>
        </w:rPr>
        <w:t>）</w:t>
      </w:r>
      <w:r>
        <w:rPr>
          <w:i w:val="0"/>
          <w:iCs w:val="0"/>
          <w:color w:val="auto"/>
          <w:kern w:val="0"/>
          <w:sz w:val="28"/>
          <w:szCs w:val="28"/>
        </w:rPr>
        <w:t>，并通报应急监测信息。供水单位应根据污染物的种类、浓度、可能影响取水口的时间，根据实际情况启动供水单位</w:t>
      </w:r>
      <w:r>
        <w:rPr>
          <w:rFonts w:hint="eastAsia"/>
          <w:i w:val="0"/>
          <w:iCs w:val="0"/>
          <w:color w:val="auto"/>
          <w:kern w:val="0"/>
          <w:sz w:val="28"/>
          <w:szCs w:val="28"/>
          <w:lang w:eastAsia="zh-CN"/>
        </w:rPr>
        <w:t>突发生态环境事件</w:t>
      </w:r>
      <w:r>
        <w:rPr>
          <w:i w:val="0"/>
          <w:iCs w:val="0"/>
          <w:color w:val="auto"/>
          <w:kern w:val="0"/>
          <w:sz w:val="28"/>
          <w:szCs w:val="28"/>
        </w:rPr>
        <w:t>应急预案。当发生的水源地</w:t>
      </w:r>
      <w:r>
        <w:rPr>
          <w:rFonts w:hint="eastAsia"/>
          <w:i w:val="0"/>
          <w:iCs w:val="0"/>
          <w:color w:val="auto"/>
          <w:kern w:val="0"/>
          <w:sz w:val="28"/>
          <w:szCs w:val="28"/>
          <w:lang w:eastAsia="zh-CN"/>
        </w:rPr>
        <w:t>突发生态环境事件</w:t>
      </w:r>
      <w:r>
        <w:rPr>
          <w:i w:val="0"/>
          <w:iCs w:val="0"/>
          <w:color w:val="auto"/>
          <w:kern w:val="0"/>
          <w:sz w:val="28"/>
          <w:szCs w:val="28"/>
        </w:rPr>
        <w:t>影响到下游水体，造成跨县（市、区）界</w:t>
      </w:r>
      <w:r>
        <w:rPr>
          <w:rFonts w:hint="eastAsia"/>
          <w:i w:val="0"/>
          <w:iCs w:val="0"/>
          <w:color w:val="auto"/>
          <w:kern w:val="0"/>
          <w:sz w:val="28"/>
          <w:szCs w:val="28"/>
          <w:lang w:eastAsia="zh-CN"/>
        </w:rPr>
        <w:t>突发生态环境事件</w:t>
      </w:r>
      <w:r>
        <w:rPr>
          <w:i w:val="0"/>
          <w:iCs w:val="0"/>
          <w:color w:val="auto"/>
          <w:kern w:val="0"/>
          <w:sz w:val="28"/>
          <w:szCs w:val="28"/>
        </w:rPr>
        <w:t>时，则由区政府上报市政府，由市政府组织开展应急处置工作，并启动《清远市突发环境事件应急预案》。</w:t>
      </w:r>
    </w:p>
    <w:p>
      <w:pPr>
        <w:widowControl/>
        <w:shd w:val="clear" w:color="auto" w:fill="FFFFFF"/>
        <w:snapToGrid w:val="0"/>
        <w:ind w:firstLine="560"/>
        <w:rPr>
          <w:i w:val="0"/>
          <w:iCs w:val="0"/>
          <w:color w:val="auto"/>
          <w:kern w:val="0"/>
          <w:sz w:val="28"/>
          <w:szCs w:val="28"/>
        </w:rPr>
      </w:pPr>
      <w:r>
        <w:rPr>
          <w:rFonts w:hint="eastAsia"/>
          <w:i w:val="0"/>
          <w:iCs w:val="0"/>
          <w:color w:val="auto"/>
          <w:kern w:val="0"/>
          <w:sz w:val="28"/>
          <w:szCs w:val="28"/>
        </w:rPr>
        <w:t>根据水源地</w:t>
      </w:r>
      <w:r>
        <w:rPr>
          <w:rFonts w:hint="eastAsia"/>
          <w:i w:val="0"/>
          <w:iCs w:val="0"/>
          <w:color w:val="auto"/>
          <w:kern w:val="0"/>
          <w:sz w:val="28"/>
          <w:szCs w:val="28"/>
          <w:lang w:eastAsia="zh-CN"/>
        </w:rPr>
        <w:t>突发生态环境事件</w:t>
      </w:r>
      <w:r>
        <w:rPr>
          <w:rFonts w:hint="eastAsia"/>
          <w:i w:val="0"/>
          <w:iCs w:val="0"/>
          <w:color w:val="auto"/>
          <w:kern w:val="0"/>
          <w:sz w:val="28"/>
          <w:szCs w:val="28"/>
        </w:rPr>
        <w:t>的类型和情景，区应急管理局</w:t>
      </w:r>
      <w:r>
        <w:rPr>
          <w:rFonts w:hint="eastAsia"/>
          <w:i w:val="0"/>
          <w:iCs w:val="0"/>
          <w:color w:val="auto"/>
          <w:kern w:val="0"/>
          <w:sz w:val="28"/>
          <w:szCs w:val="28"/>
          <w:lang w:val="en-US" w:eastAsia="zh-CN"/>
        </w:rPr>
        <w:t>和区消防救援局</w:t>
      </w:r>
      <w:r>
        <w:rPr>
          <w:rFonts w:hint="eastAsia"/>
          <w:i w:val="0"/>
          <w:iCs w:val="0"/>
          <w:color w:val="auto"/>
          <w:kern w:val="0"/>
          <w:sz w:val="28"/>
          <w:szCs w:val="28"/>
        </w:rPr>
        <w:t>（遇火灾</w:t>
      </w:r>
      <w:r>
        <w:rPr>
          <w:rFonts w:hint="eastAsia"/>
          <w:i w:val="0"/>
          <w:iCs w:val="0"/>
          <w:color w:val="auto"/>
          <w:kern w:val="0"/>
          <w:sz w:val="28"/>
          <w:szCs w:val="28"/>
          <w:lang w:eastAsia="zh-CN"/>
        </w:rPr>
        <w:t>、</w:t>
      </w:r>
      <w:r>
        <w:rPr>
          <w:rFonts w:hint="eastAsia"/>
          <w:i w:val="0"/>
          <w:iCs w:val="0"/>
          <w:color w:val="auto"/>
          <w:kern w:val="0"/>
          <w:sz w:val="28"/>
          <w:szCs w:val="28"/>
          <w:lang w:val="en-US" w:eastAsia="zh-CN"/>
        </w:rPr>
        <w:t>爆炸</w:t>
      </w:r>
      <w:r>
        <w:rPr>
          <w:rFonts w:hint="eastAsia"/>
          <w:i w:val="0"/>
          <w:iCs w:val="0"/>
          <w:color w:val="auto"/>
          <w:kern w:val="0"/>
          <w:sz w:val="28"/>
          <w:szCs w:val="28"/>
        </w:rPr>
        <w:t>事故）、</w:t>
      </w:r>
      <w:r>
        <w:rPr>
          <w:rFonts w:hint="eastAsia"/>
          <w:i w:val="0"/>
          <w:iCs w:val="0"/>
          <w:color w:val="auto"/>
          <w:kern w:val="0"/>
          <w:sz w:val="28"/>
          <w:szCs w:val="28"/>
          <w:lang w:val="en-US" w:eastAsia="zh-CN"/>
        </w:rPr>
        <w:t>清远市清新</w:t>
      </w:r>
      <w:r>
        <w:rPr>
          <w:rFonts w:hint="eastAsia"/>
          <w:i w:val="0"/>
          <w:iCs w:val="0"/>
          <w:color w:val="auto"/>
          <w:kern w:val="0"/>
          <w:sz w:val="28"/>
          <w:szCs w:val="28"/>
        </w:rPr>
        <w:t>区交通运输局（危险化学品道路及桥梁运输事故）、</w:t>
      </w:r>
      <w:r>
        <w:rPr>
          <w:rFonts w:hint="eastAsia"/>
          <w:i w:val="0"/>
          <w:iCs w:val="0"/>
          <w:color w:val="auto"/>
          <w:kern w:val="0"/>
          <w:sz w:val="28"/>
          <w:szCs w:val="28"/>
          <w:lang w:val="en-US" w:eastAsia="zh-CN"/>
        </w:rPr>
        <w:t>清远市</w:t>
      </w:r>
      <w:r>
        <w:rPr>
          <w:rFonts w:hint="eastAsia"/>
          <w:i w:val="0"/>
          <w:iCs w:val="0"/>
          <w:color w:val="auto"/>
          <w:kern w:val="0"/>
          <w:sz w:val="28"/>
          <w:szCs w:val="28"/>
        </w:rPr>
        <w:t>公安局清新分局（遇火灾爆炸、道路及桥梁运输事故）、广东清连公路发展有限公司</w:t>
      </w:r>
      <w:r>
        <w:rPr>
          <w:rFonts w:hint="eastAsia"/>
          <w:i w:val="0"/>
          <w:iCs w:val="0"/>
          <w:color w:val="auto"/>
          <w:kern w:val="0"/>
          <w:sz w:val="28"/>
          <w:szCs w:val="28"/>
          <w:lang w:val="en-US" w:eastAsia="zh-CN"/>
        </w:rPr>
        <w:t>许广高速</w:t>
      </w:r>
      <w:r>
        <w:rPr>
          <w:rFonts w:hint="eastAsia"/>
          <w:i w:val="0"/>
          <w:iCs w:val="0"/>
          <w:color w:val="auto"/>
          <w:kern w:val="0"/>
          <w:sz w:val="28"/>
          <w:szCs w:val="28"/>
        </w:rPr>
        <w:t>（危险化学品道路及桥梁运输事故）等相关部门应</w:t>
      </w:r>
      <w:r>
        <w:rPr>
          <w:i w:val="0"/>
          <w:iCs w:val="0"/>
          <w:color w:val="auto"/>
          <w:kern w:val="0"/>
          <w:sz w:val="28"/>
          <w:szCs w:val="28"/>
        </w:rPr>
        <w:t>适</w:t>
      </w:r>
      <w:r>
        <w:rPr>
          <w:rFonts w:hint="eastAsia"/>
          <w:i w:val="0"/>
          <w:iCs w:val="0"/>
          <w:color w:val="auto"/>
          <w:kern w:val="0"/>
          <w:sz w:val="28"/>
          <w:szCs w:val="28"/>
        </w:rPr>
        <w:t>时</w:t>
      </w:r>
      <w:r>
        <w:rPr>
          <w:i w:val="0"/>
          <w:iCs w:val="0"/>
          <w:color w:val="auto"/>
          <w:kern w:val="0"/>
          <w:sz w:val="28"/>
          <w:szCs w:val="28"/>
        </w:rPr>
        <w:t>启动相关突发事件应急预案，</w:t>
      </w:r>
      <w:r>
        <w:rPr>
          <w:rFonts w:hint="eastAsia"/>
          <w:i w:val="0"/>
          <w:iCs w:val="0"/>
          <w:color w:val="auto"/>
          <w:kern w:val="0"/>
          <w:sz w:val="28"/>
          <w:szCs w:val="28"/>
        </w:rPr>
        <w:t>协调</w:t>
      </w:r>
      <w:r>
        <w:rPr>
          <w:i w:val="0"/>
          <w:iCs w:val="0"/>
          <w:color w:val="auto"/>
          <w:kern w:val="0"/>
          <w:sz w:val="28"/>
          <w:szCs w:val="28"/>
        </w:rPr>
        <w:t>、协助</w:t>
      </w:r>
      <w:r>
        <w:rPr>
          <w:rFonts w:hint="eastAsia"/>
          <w:i w:val="0"/>
          <w:iCs w:val="0"/>
          <w:color w:val="auto"/>
          <w:kern w:val="0"/>
          <w:sz w:val="28"/>
          <w:szCs w:val="28"/>
          <w:lang w:val="en-US" w:eastAsia="zh-CN"/>
        </w:rPr>
        <w:t>清新</w:t>
      </w:r>
      <w:r>
        <w:rPr>
          <w:rFonts w:hint="eastAsia"/>
          <w:i w:val="0"/>
          <w:iCs w:val="0"/>
          <w:color w:val="auto"/>
          <w:kern w:val="0"/>
          <w:sz w:val="28"/>
          <w:szCs w:val="28"/>
        </w:rPr>
        <w:t>区</w:t>
      </w:r>
      <w:r>
        <w:rPr>
          <w:i w:val="0"/>
          <w:iCs w:val="0"/>
          <w:color w:val="auto"/>
          <w:kern w:val="0"/>
          <w:sz w:val="28"/>
          <w:szCs w:val="28"/>
        </w:rPr>
        <w:t>政府完成水源地</w:t>
      </w:r>
      <w:r>
        <w:rPr>
          <w:rFonts w:hint="eastAsia"/>
          <w:i w:val="0"/>
          <w:iCs w:val="0"/>
          <w:color w:val="auto"/>
          <w:kern w:val="0"/>
          <w:sz w:val="28"/>
          <w:szCs w:val="28"/>
          <w:lang w:eastAsia="zh-CN"/>
        </w:rPr>
        <w:t>突发生态环境事件</w:t>
      </w:r>
      <w:r>
        <w:rPr>
          <w:i w:val="0"/>
          <w:iCs w:val="0"/>
          <w:color w:val="auto"/>
          <w:kern w:val="0"/>
          <w:sz w:val="28"/>
          <w:szCs w:val="28"/>
        </w:rPr>
        <w:t>应急处置。</w:t>
      </w:r>
    </w:p>
    <w:p>
      <w:pPr>
        <w:ind w:firstLine="0" w:firstLineChars="0"/>
        <w:jc w:val="center"/>
        <w:rPr>
          <w:i w:val="0"/>
          <w:iCs w:val="0"/>
          <w:color w:val="auto"/>
        </w:rPr>
      </w:pPr>
      <w:r>
        <w:rPr>
          <w:i w:val="0"/>
          <w:iCs w:val="0"/>
          <w:color w:val="auto"/>
        </w:rPr>
        <w:object>
          <v:shape id="_x0000_i1025" o:spt="75" type="#_x0000_t75" style="height:224.25pt;width:414.75pt;" o:ole="t" filled="f" o:preferrelative="t" stroked="f" coordsize="21600,21600">
            <v:path/>
            <v:fill on="f" focussize="0,0"/>
            <v:stroke on="f" joinstyle="miter"/>
            <v:imagedata r:id="rId13" o:title=""/>
            <o:lock v:ext="edit" aspectratio="t"/>
            <w10:wrap type="none"/>
            <w10:anchorlock/>
          </v:shape>
          <o:OLEObject Type="Embed" ProgID="Visio.Drawing.15" ShapeID="_x0000_i1025" DrawAspect="Content" ObjectID="_1468075725">
            <o:LockedField>false</o:LockedField>
          </o:OLEObject>
        </w:object>
      </w:r>
    </w:p>
    <w:p>
      <w:pPr>
        <w:spacing w:line="240" w:lineRule="auto"/>
        <w:ind w:left="140" w:leftChars="50" w:firstLine="0" w:firstLineChars="0"/>
        <w:jc w:val="center"/>
        <w:rPr>
          <w:rFonts w:eastAsia="黑体"/>
          <w:i w:val="0"/>
          <w:iCs w:val="0"/>
          <w:color w:val="auto"/>
          <w:szCs w:val="24"/>
        </w:rPr>
      </w:pPr>
      <w:r>
        <w:rPr>
          <w:rFonts w:eastAsia="黑体"/>
          <w:i w:val="0"/>
          <w:iCs w:val="0"/>
          <w:color w:val="auto"/>
          <w:szCs w:val="24"/>
        </w:rPr>
        <w:t>图1.6-1 预案体系图</w:t>
      </w:r>
    </w:p>
    <w:p>
      <w:pPr>
        <w:pStyle w:val="3"/>
        <w:snapToGrid w:val="0"/>
        <w:rPr>
          <w:i w:val="0"/>
          <w:iCs w:val="0"/>
          <w:color w:val="auto"/>
          <w:szCs w:val="28"/>
        </w:rPr>
      </w:pPr>
      <w:bookmarkStart w:id="16" w:name="_Toc30573"/>
      <w:r>
        <w:rPr>
          <w:i w:val="0"/>
          <w:iCs w:val="0"/>
          <w:color w:val="auto"/>
          <w:szCs w:val="28"/>
        </w:rPr>
        <w:t>1.6 工作原则</w:t>
      </w:r>
      <w:bookmarkEnd w:id="16"/>
    </w:p>
    <w:p>
      <w:pPr>
        <w:snapToGrid w:val="0"/>
        <w:ind w:firstLine="560"/>
        <w:rPr>
          <w:i w:val="0"/>
          <w:iCs w:val="0"/>
          <w:color w:val="auto"/>
          <w:sz w:val="28"/>
          <w:szCs w:val="28"/>
        </w:rPr>
      </w:pPr>
      <w:r>
        <w:rPr>
          <w:i w:val="0"/>
          <w:iCs w:val="0"/>
          <w:color w:val="auto"/>
          <w:sz w:val="28"/>
          <w:szCs w:val="28"/>
        </w:rPr>
        <w:t>（1）以人为本，预防为主。加强水源地的监测、监控、监督管理，构建水源地环境风险防范体系，将突发事件应对工作落实到日常管理，最大程度地保障公众供水安全。</w:t>
      </w:r>
    </w:p>
    <w:p>
      <w:pPr>
        <w:snapToGrid w:val="0"/>
        <w:ind w:firstLine="560"/>
        <w:rPr>
          <w:i w:val="0"/>
          <w:iCs w:val="0"/>
          <w:color w:val="auto"/>
          <w:sz w:val="28"/>
          <w:szCs w:val="28"/>
        </w:rPr>
      </w:pPr>
      <w:r>
        <w:rPr>
          <w:i w:val="0"/>
          <w:iCs w:val="0"/>
          <w:color w:val="auto"/>
          <w:sz w:val="28"/>
          <w:szCs w:val="28"/>
        </w:rPr>
        <w:t>（2）统一领导，部门协作。坚持应急指挥部统一领导，各部门密切配合，充分发挥专业优势，提高整体应急反应能力。</w:t>
      </w:r>
    </w:p>
    <w:p>
      <w:pPr>
        <w:snapToGrid w:val="0"/>
        <w:ind w:firstLine="560"/>
        <w:rPr>
          <w:i w:val="0"/>
          <w:iCs w:val="0"/>
          <w:color w:val="auto"/>
          <w:sz w:val="28"/>
          <w:szCs w:val="28"/>
        </w:rPr>
      </w:pPr>
      <w:r>
        <w:rPr>
          <w:i w:val="0"/>
          <w:iCs w:val="0"/>
          <w:color w:val="auto"/>
          <w:sz w:val="28"/>
          <w:szCs w:val="28"/>
        </w:rPr>
        <w:t>（3）平战结合，科学处置。做好应急物资和装备准备，加强培训演练，整合监测网络，鼓励一专多能，发挥应急救援力量的作用。</w:t>
      </w:r>
    </w:p>
    <w:p>
      <w:pPr>
        <w:snapToGrid w:val="0"/>
        <w:ind w:firstLine="560"/>
        <w:rPr>
          <w:i w:val="0"/>
          <w:iCs w:val="0"/>
          <w:color w:val="auto"/>
          <w:sz w:val="28"/>
          <w:szCs w:val="28"/>
        </w:rPr>
      </w:pPr>
      <w:r>
        <w:rPr>
          <w:i w:val="0"/>
          <w:iCs w:val="0"/>
          <w:color w:val="auto"/>
          <w:sz w:val="28"/>
          <w:szCs w:val="28"/>
        </w:rPr>
        <w:t>（4）快速反应，协同应对。加强应急处置队伍建设，建立部门联动机制，充分发挥企事业单位作用，形成统一指挥、功能齐全、运转高效的应急管理机制。</w:t>
      </w:r>
    </w:p>
    <w:p>
      <w:pPr>
        <w:pStyle w:val="3"/>
        <w:snapToGrid w:val="0"/>
        <w:rPr>
          <w:i w:val="0"/>
          <w:iCs w:val="0"/>
          <w:color w:val="auto"/>
          <w:szCs w:val="28"/>
        </w:rPr>
      </w:pPr>
      <w:bookmarkStart w:id="17" w:name="_Toc9451"/>
      <w:r>
        <w:rPr>
          <w:i w:val="0"/>
          <w:iCs w:val="0"/>
          <w:color w:val="auto"/>
          <w:szCs w:val="28"/>
        </w:rPr>
        <w:t xml:space="preserve">1.7 </w:t>
      </w:r>
      <w:r>
        <w:rPr>
          <w:rFonts w:hint="eastAsia"/>
          <w:i w:val="0"/>
          <w:iCs w:val="0"/>
          <w:color w:val="auto"/>
          <w:szCs w:val="28"/>
        </w:rPr>
        <w:t>水源地基本情况</w:t>
      </w:r>
      <w:bookmarkEnd w:id="17"/>
    </w:p>
    <w:p>
      <w:pPr>
        <w:snapToGrid w:val="0"/>
        <w:ind w:firstLine="560"/>
        <w:rPr>
          <w:i w:val="0"/>
          <w:iCs w:val="0"/>
          <w:color w:val="auto"/>
          <w:sz w:val="28"/>
          <w:szCs w:val="28"/>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26" w:charSpace="0"/>
        </w:sectPr>
      </w:pPr>
      <w:r>
        <w:rPr>
          <w:rFonts w:hint="eastAsia"/>
          <w:i w:val="0"/>
          <w:iCs w:val="0"/>
          <w:color w:val="auto"/>
          <w:sz w:val="28"/>
          <w:szCs w:val="28"/>
          <w:lang w:val="en-US" w:eastAsia="zh-CN"/>
        </w:rPr>
        <w:t>清远市</w:t>
      </w:r>
      <w:r>
        <w:rPr>
          <w:rFonts w:hint="eastAsia"/>
          <w:i w:val="0"/>
          <w:iCs w:val="0"/>
          <w:color w:val="auto"/>
          <w:sz w:val="28"/>
          <w:szCs w:val="28"/>
        </w:rPr>
        <w:t>滨江河三坑滩饮用水水源地为市级河流型饮用水水源地，位于</w:t>
      </w:r>
      <w:r>
        <w:rPr>
          <w:i w:val="0"/>
          <w:iCs w:val="0"/>
          <w:color w:val="auto"/>
          <w:sz w:val="28"/>
          <w:szCs w:val="28"/>
        </w:rPr>
        <w:t>清新区</w:t>
      </w:r>
      <w:r>
        <w:rPr>
          <w:rFonts w:hint="eastAsia"/>
          <w:i w:val="0"/>
          <w:iCs w:val="0"/>
          <w:color w:val="auto"/>
          <w:sz w:val="28"/>
          <w:szCs w:val="28"/>
          <w:lang w:val="en-US" w:eastAsia="zh-CN"/>
        </w:rPr>
        <w:t>太和镇</w:t>
      </w:r>
      <w:r>
        <w:rPr>
          <w:i w:val="0"/>
          <w:iCs w:val="0"/>
          <w:color w:val="auto"/>
          <w:sz w:val="28"/>
          <w:szCs w:val="28"/>
        </w:rPr>
        <w:t>。</w:t>
      </w:r>
      <w:r>
        <w:rPr>
          <w:rFonts w:hint="eastAsia"/>
          <w:i w:val="0"/>
          <w:iCs w:val="0"/>
          <w:color w:val="auto"/>
          <w:sz w:val="28"/>
          <w:szCs w:val="28"/>
        </w:rPr>
        <w:t>水域一级保护区范围为取水口上游1200m至下游100m河流正常水位线以下的全部水域，水质保护目标为II类。</w:t>
      </w:r>
      <w:r>
        <w:rPr>
          <w:i w:val="0"/>
          <w:iCs w:val="0"/>
          <w:color w:val="auto"/>
          <w:sz w:val="28"/>
          <w:szCs w:val="28"/>
        </w:rPr>
        <w:t>水域二级保护区</w:t>
      </w:r>
      <w:r>
        <w:rPr>
          <w:rFonts w:hint="eastAsia"/>
          <w:i w:val="0"/>
          <w:iCs w:val="0"/>
          <w:color w:val="auto"/>
          <w:sz w:val="28"/>
          <w:szCs w:val="28"/>
        </w:rPr>
        <w:t>范围为一级保护区上边界上溯2000m，下边界下溯200m河流正常水位线以下的全部水域，水质保护目标为</w:t>
      </w:r>
      <w:r>
        <w:rPr>
          <w:i w:val="0"/>
          <w:iCs w:val="0"/>
          <w:color w:val="auto"/>
          <w:sz w:val="28"/>
          <w:szCs w:val="28"/>
        </w:rPr>
        <w:t>III</w:t>
      </w:r>
      <w:r>
        <w:rPr>
          <w:rFonts w:hint="eastAsia"/>
          <w:i w:val="0"/>
          <w:iCs w:val="0"/>
          <w:color w:val="auto"/>
          <w:sz w:val="28"/>
          <w:szCs w:val="28"/>
        </w:rPr>
        <w:t>类。陆域一级保护区范围为相应一级保护区水域边界，左岸延伸至近水侧公路挡水墙墙顶，右岸延伸至高速公路近水侧路肩。陆域二级保护区范围为一级保护区陆域和二级保护区水域边界分别向两岸纵深至第一重山脊线。</w:t>
      </w:r>
      <w:r>
        <w:rPr>
          <w:rFonts w:hint="eastAsia"/>
          <w:i w:val="0"/>
          <w:iCs w:val="0"/>
          <w:color w:val="auto"/>
          <w:sz w:val="28"/>
          <w:szCs w:val="28"/>
          <w:lang w:val="en-US" w:eastAsia="zh-CN"/>
        </w:rPr>
        <w:t>清远市</w:t>
      </w:r>
      <w:r>
        <w:rPr>
          <w:rFonts w:hint="eastAsia"/>
          <w:i w:val="0"/>
          <w:iCs w:val="0"/>
          <w:color w:val="auto"/>
          <w:sz w:val="28"/>
          <w:szCs w:val="28"/>
        </w:rPr>
        <w:t>滨江河三坑滩饮用水</w:t>
      </w:r>
      <w:r>
        <w:rPr>
          <w:i w:val="0"/>
          <w:iCs w:val="0"/>
          <w:color w:val="auto"/>
          <w:sz w:val="28"/>
          <w:szCs w:val="28"/>
        </w:rPr>
        <w:t>水源地</w:t>
      </w:r>
      <w:r>
        <w:rPr>
          <w:rFonts w:hint="eastAsia"/>
          <w:i w:val="0"/>
          <w:iCs w:val="0"/>
          <w:color w:val="auto"/>
          <w:sz w:val="28"/>
          <w:szCs w:val="28"/>
        </w:rPr>
        <w:t>为</w:t>
      </w:r>
      <w:r>
        <w:rPr>
          <w:rFonts w:hint="eastAsia"/>
          <w:i w:val="0"/>
          <w:iCs w:val="0"/>
          <w:color w:val="auto"/>
          <w:kern w:val="0"/>
          <w:sz w:val="28"/>
          <w:szCs w:val="28"/>
        </w:rPr>
        <w:t>清远市清新区太和供水有限公司</w:t>
      </w:r>
      <w:r>
        <w:rPr>
          <w:rFonts w:hint="eastAsia"/>
          <w:i w:val="0"/>
          <w:iCs w:val="0"/>
          <w:color w:val="auto"/>
          <w:kern w:val="0"/>
          <w:sz w:val="28"/>
          <w:szCs w:val="28"/>
          <w:lang w:eastAsia="zh-CN"/>
        </w:rPr>
        <w:t>、清新区迳口自来水厂</w:t>
      </w:r>
      <w:r>
        <w:rPr>
          <w:rFonts w:hint="eastAsia"/>
          <w:i w:val="0"/>
          <w:iCs w:val="0"/>
          <w:color w:val="auto"/>
          <w:sz w:val="28"/>
          <w:szCs w:val="28"/>
        </w:rPr>
        <w:t>主要水源引水水源，年实际供水量</w:t>
      </w:r>
      <w:r>
        <w:rPr>
          <w:rFonts w:hint="eastAsia"/>
          <w:i w:val="0"/>
          <w:iCs w:val="0"/>
          <w:color w:val="auto"/>
          <w:sz w:val="28"/>
          <w:szCs w:val="28"/>
          <w:lang w:val="en-US" w:eastAsia="zh-CN"/>
        </w:rPr>
        <w:t>7629.49</w:t>
      </w:r>
      <w:r>
        <w:rPr>
          <w:rFonts w:hint="eastAsia"/>
          <w:i w:val="0"/>
          <w:iCs w:val="0"/>
          <w:color w:val="auto"/>
          <w:sz w:val="28"/>
          <w:szCs w:val="28"/>
        </w:rPr>
        <w:t>万立方米，日生产能力</w:t>
      </w:r>
      <w:r>
        <w:rPr>
          <w:rFonts w:hint="eastAsia"/>
          <w:i w:val="0"/>
          <w:iCs w:val="0"/>
          <w:color w:val="auto"/>
          <w:sz w:val="28"/>
          <w:szCs w:val="28"/>
          <w:lang w:val="en-US" w:eastAsia="zh-CN"/>
        </w:rPr>
        <w:t>约21</w:t>
      </w:r>
      <w:r>
        <w:rPr>
          <w:rFonts w:hint="eastAsia"/>
          <w:i w:val="0"/>
          <w:iCs w:val="0"/>
          <w:color w:val="auto"/>
          <w:sz w:val="28"/>
          <w:szCs w:val="28"/>
        </w:rPr>
        <w:t>万立方米，服务人口约</w:t>
      </w:r>
      <w:r>
        <w:rPr>
          <w:rFonts w:hint="eastAsia"/>
          <w:i w:val="0"/>
          <w:iCs w:val="0"/>
          <w:color w:val="auto"/>
          <w:sz w:val="28"/>
          <w:szCs w:val="28"/>
          <w:lang w:val="en-US" w:eastAsia="zh-CN"/>
        </w:rPr>
        <w:t>3</w:t>
      </w:r>
      <w:r>
        <w:rPr>
          <w:rFonts w:hint="eastAsia"/>
          <w:i w:val="0"/>
          <w:iCs w:val="0"/>
          <w:color w:val="auto"/>
          <w:sz w:val="28"/>
          <w:szCs w:val="28"/>
        </w:rPr>
        <w:t>5万人。</w:t>
      </w:r>
    </w:p>
    <w:p>
      <w:pPr>
        <w:pStyle w:val="2"/>
        <w:snapToGrid w:val="0"/>
        <w:jc w:val="both"/>
        <w:rPr>
          <w:color w:val="auto"/>
          <w:szCs w:val="32"/>
        </w:rPr>
      </w:pPr>
      <w:bookmarkStart w:id="18" w:name="_Toc15410"/>
      <w:r>
        <w:rPr>
          <w:color w:val="auto"/>
          <w:szCs w:val="32"/>
        </w:rPr>
        <w:t>2 应急组织指挥体系</w:t>
      </w:r>
      <w:bookmarkEnd w:id="18"/>
    </w:p>
    <w:p>
      <w:pPr>
        <w:snapToGrid w:val="0"/>
        <w:ind w:firstLine="560"/>
        <w:rPr>
          <w:color w:val="auto"/>
          <w:sz w:val="28"/>
          <w:szCs w:val="28"/>
        </w:rPr>
      </w:pPr>
      <w:r>
        <w:rPr>
          <w:color w:val="auto"/>
          <w:sz w:val="28"/>
          <w:szCs w:val="28"/>
        </w:rPr>
        <w:t>水源地</w:t>
      </w:r>
      <w:r>
        <w:rPr>
          <w:rFonts w:hint="eastAsia"/>
          <w:color w:val="auto"/>
          <w:sz w:val="28"/>
          <w:szCs w:val="28"/>
          <w:lang w:eastAsia="zh-CN"/>
        </w:rPr>
        <w:t>突发生态环境事件</w:t>
      </w:r>
      <w:r>
        <w:rPr>
          <w:color w:val="auto"/>
          <w:sz w:val="28"/>
          <w:szCs w:val="28"/>
        </w:rPr>
        <w:t>应急组织指挥体系主要分为清新区饮用水水源地</w:t>
      </w:r>
      <w:r>
        <w:rPr>
          <w:rFonts w:hint="eastAsia"/>
          <w:color w:val="auto"/>
          <w:sz w:val="28"/>
          <w:szCs w:val="28"/>
          <w:lang w:eastAsia="zh-CN"/>
        </w:rPr>
        <w:t>突发生态环境事件</w:t>
      </w:r>
      <w:r>
        <w:rPr>
          <w:color w:val="auto"/>
          <w:sz w:val="28"/>
          <w:szCs w:val="28"/>
        </w:rPr>
        <w:t>应急指挥部（以下简称“区应急指挥部”）、现场应急指挥部。其中区应急指挥部</w:t>
      </w:r>
      <w:r>
        <w:rPr>
          <w:rFonts w:hint="eastAsia"/>
          <w:color w:val="auto"/>
          <w:sz w:val="28"/>
          <w:szCs w:val="28"/>
          <w:lang w:val="en-US" w:eastAsia="zh-CN"/>
        </w:rPr>
        <w:t>由《清新区生态环境保护工作联席会议制度》确定的联席会议成员组成，</w:t>
      </w:r>
      <w:r>
        <w:rPr>
          <w:color w:val="auto"/>
          <w:sz w:val="28"/>
          <w:szCs w:val="28"/>
        </w:rPr>
        <w:t>现场应急指挥部下设7个现场应急工作组。</w:t>
      </w:r>
    </w:p>
    <w:p>
      <w:pPr>
        <w:pStyle w:val="3"/>
        <w:snapToGrid w:val="0"/>
        <w:rPr>
          <w:color w:val="auto"/>
          <w:szCs w:val="28"/>
        </w:rPr>
      </w:pPr>
      <w:bookmarkStart w:id="19" w:name="_Toc19279"/>
      <w:r>
        <w:rPr>
          <w:bCs w:val="0"/>
          <w:color w:val="auto"/>
        </w:rPr>
        <w:t xml:space="preserve">2.1 </w:t>
      </w:r>
      <w:r>
        <w:rPr>
          <w:color w:val="auto"/>
          <w:szCs w:val="28"/>
        </w:rPr>
        <w:t>应急组织指挥机构</w:t>
      </w:r>
      <w:bookmarkEnd w:id="19"/>
    </w:p>
    <w:p>
      <w:pPr>
        <w:snapToGrid w:val="0"/>
        <w:ind w:firstLine="560"/>
        <w:rPr>
          <w:color w:val="auto"/>
          <w:sz w:val="28"/>
          <w:szCs w:val="28"/>
        </w:rPr>
      </w:pPr>
      <w:r>
        <w:rPr>
          <w:rFonts w:hint="eastAsia"/>
          <w:color w:val="auto"/>
          <w:sz w:val="28"/>
          <w:szCs w:val="28"/>
          <w:lang w:val="en-US" w:eastAsia="zh-CN"/>
        </w:rPr>
        <w:t>由清新区生态环境保护工作联席会议</w:t>
      </w:r>
      <w:r>
        <w:rPr>
          <w:rFonts w:hint="eastAsia"/>
          <w:color w:val="auto"/>
          <w:sz w:val="28"/>
          <w:szCs w:val="28"/>
        </w:rPr>
        <w:t>（以下简称“</w:t>
      </w:r>
      <w:r>
        <w:rPr>
          <w:rFonts w:hint="eastAsia"/>
          <w:color w:val="auto"/>
          <w:sz w:val="28"/>
          <w:szCs w:val="28"/>
          <w:lang w:eastAsia="zh-CN"/>
        </w:rPr>
        <w:t>联席会议</w:t>
      </w:r>
      <w:r>
        <w:rPr>
          <w:rFonts w:hint="eastAsia"/>
          <w:color w:val="auto"/>
          <w:sz w:val="28"/>
          <w:szCs w:val="28"/>
        </w:rPr>
        <w:t>”）</w:t>
      </w:r>
      <w:r>
        <w:rPr>
          <w:color w:val="auto"/>
          <w:sz w:val="28"/>
          <w:szCs w:val="28"/>
        </w:rPr>
        <w:t>成立区应急指挥部，作为水源地</w:t>
      </w:r>
      <w:r>
        <w:rPr>
          <w:rFonts w:hint="eastAsia"/>
          <w:color w:val="auto"/>
          <w:sz w:val="28"/>
          <w:szCs w:val="28"/>
          <w:lang w:eastAsia="zh-CN"/>
        </w:rPr>
        <w:t>突发生态环境事件</w:t>
      </w:r>
      <w:r>
        <w:rPr>
          <w:color w:val="auto"/>
          <w:sz w:val="28"/>
          <w:szCs w:val="28"/>
        </w:rPr>
        <w:t>指挥和协调机构，负责水源地</w:t>
      </w:r>
      <w:r>
        <w:rPr>
          <w:rFonts w:hint="eastAsia"/>
          <w:color w:val="auto"/>
          <w:sz w:val="28"/>
          <w:szCs w:val="28"/>
          <w:lang w:eastAsia="zh-CN"/>
        </w:rPr>
        <w:t>突发生态环境事件</w:t>
      </w:r>
      <w:r>
        <w:rPr>
          <w:color w:val="auto"/>
          <w:sz w:val="28"/>
          <w:szCs w:val="28"/>
        </w:rPr>
        <w:t>的应急处置工作。</w:t>
      </w:r>
      <w:r>
        <w:rPr>
          <w:rFonts w:hint="eastAsia"/>
          <w:color w:val="auto"/>
          <w:sz w:val="28"/>
          <w:szCs w:val="28"/>
          <w:lang w:val="en-US" w:eastAsia="zh-CN"/>
        </w:rPr>
        <w:t>由区委副书记、区长担任</w:t>
      </w:r>
      <w:r>
        <w:rPr>
          <w:color w:val="auto"/>
          <w:sz w:val="28"/>
          <w:szCs w:val="28"/>
        </w:rPr>
        <w:t>总指挥，</w:t>
      </w:r>
      <w:r>
        <w:rPr>
          <w:rFonts w:hint="eastAsia"/>
          <w:color w:val="auto"/>
          <w:sz w:val="28"/>
          <w:szCs w:val="28"/>
          <w:lang w:val="en-US" w:eastAsia="zh-CN"/>
        </w:rPr>
        <w:t>由联系生态环境工作的区政府分管负责同志担任</w:t>
      </w:r>
      <w:r>
        <w:rPr>
          <w:color w:val="auto"/>
          <w:sz w:val="28"/>
          <w:szCs w:val="28"/>
        </w:rPr>
        <w:t>副总指挥。</w:t>
      </w:r>
    </w:p>
    <w:p>
      <w:pPr>
        <w:snapToGrid w:val="0"/>
        <w:ind w:firstLine="560"/>
        <w:rPr>
          <w:color w:val="auto"/>
          <w:sz w:val="28"/>
          <w:szCs w:val="28"/>
        </w:rPr>
      </w:pPr>
      <w:r>
        <w:rPr>
          <w:color w:val="auto"/>
          <w:sz w:val="28"/>
          <w:szCs w:val="28"/>
        </w:rPr>
        <w:t>成员单位包括：</w:t>
      </w:r>
      <w:r>
        <w:rPr>
          <w:rFonts w:hint="eastAsia"/>
          <w:color w:val="auto"/>
          <w:sz w:val="28"/>
          <w:szCs w:val="28"/>
          <w:lang w:val="en-US" w:eastAsia="zh-CN"/>
        </w:rPr>
        <w:t>区委宣传部、区发展改革局、市公安局清新分局、区工业和信息化局、区民政局、区司法局、区财政局、市自然资源局清新分局、市生态环境局清新分局、区住房城乡建设局、区交通运输局、区水利局、区农业农村局、区文化广电旅游体育局、区卫生健康局、区应急管理局、区消防救援局、区市场监管局、区城市管理综合执法局、区林业局、区气象局</w:t>
      </w:r>
      <w:r>
        <w:rPr>
          <w:rFonts w:hint="eastAsia"/>
          <w:color w:val="auto"/>
          <w:sz w:val="28"/>
          <w:szCs w:val="28"/>
          <w:lang w:eastAsia="zh-CN"/>
        </w:rPr>
        <w:t>、</w:t>
      </w:r>
      <w:r>
        <w:rPr>
          <w:rFonts w:hint="eastAsia"/>
          <w:color w:val="auto"/>
          <w:sz w:val="28"/>
          <w:szCs w:val="28"/>
          <w:lang w:val="en-US" w:eastAsia="zh-CN"/>
        </w:rPr>
        <w:t>太和镇</w:t>
      </w:r>
      <w:r>
        <w:rPr>
          <w:rFonts w:hint="eastAsia"/>
          <w:color w:val="auto"/>
          <w:sz w:val="28"/>
          <w:szCs w:val="28"/>
          <w:lang w:eastAsia="zh-CN"/>
        </w:rPr>
        <w:t>人民政府</w:t>
      </w:r>
      <w:r>
        <w:rPr>
          <w:rFonts w:hint="eastAsia"/>
          <w:color w:val="auto"/>
          <w:sz w:val="28"/>
          <w:szCs w:val="28"/>
          <w:lang w:val="en-US" w:eastAsia="zh-CN"/>
        </w:rPr>
        <w:t>等单位</w:t>
      </w:r>
      <w:r>
        <w:rPr>
          <w:color w:val="auto"/>
          <w:sz w:val="28"/>
          <w:szCs w:val="28"/>
        </w:rPr>
        <w:t>。</w:t>
      </w:r>
    </w:p>
    <w:p>
      <w:pPr>
        <w:snapToGrid w:val="0"/>
        <w:ind w:firstLine="560"/>
        <w:rPr>
          <w:color w:val="auto"/>
          <w:sz w:val="28"/>
          <w:szCs w:val="28"/>
        </w:rPr>
      </w:pPr>
      <w:r>
        <w:rPr>
          <w:color w:val="auto"/>
          <w:sz w:val="28"/>
          <w:szCs w:val="28"/>
        </w:rPr>
        <w:t>区应急指挥部下设协调办公室，办公室设在市生态环境局清新分局，办公室主任由市生态环境局清新分局</w:t>
      </w:r>
      <w:r>
        <w:rPr>
          <w:rFonts w:hint="eastAsia"/>
          <w:color w:val="auto"/>
          <w:sz w:val="28"/>
          <w:szCs w:val="28"/>
          <w:lang w:val="en-US" w:eastAsia="zh-CN"/>
        </w:rPr>
        <w:t>主要负责同志兼任</w:t>
      </w:r>
      <w:r>
        <w:rPr>
          <w:color w:val="auto"/>
          <w:sz w:val="28"/>
          <w:szCs w:val="28"/>
        </w:rPr>
        <w:t>。</w:t>
      </w:r>
    </w:p>
    <w:p>
      <w:pPr>
        <w:snapToGrid w:val="0"/>
        <w:ind w:firstLine="560"/>
        <w:rPr>
          <w:color w:val="auto"/>
          <w:sz w:val="28"/>
          <w:szCs w:val="28"/>
        </w:rPr>
      </w:pPr>
      <w:r>
        <w:rPr>
          <w:color w:val="auto"/>
          <w:sz w:val="28"/>
          <w:szCs w:val="28"/>
        </w:rPr>
        <w:t>区应急指挥部总指挥、副总指挥、区应急指挥部办公室和各成员单位、应急职责</w:t>
      </w:r>
      <w:r>
        <w:rPr>
          <w:rFonts w:hint="eastAsia"/>
          <w:color w:val="auto"/>
          <w:sz w:val="28"/>
          <w:szCs w:val="28"/>
          <w:lang w:val="en-US" w:eastAsia="zh-CN"/>
        </w:rPr>
        <w:t>和通讯录</w:t>
      </w:r>
      <w:r>
        <w:rPr>
          <w:color w:val="auto"/>
          <w:sz w:val="28"/>
          <w:szCs w:val="28"/>
        </w:rPr>
        <w:t>详见附件1。</w:t>
      </w:r>
    </w:p>
    <w:p>
      <w:pPr>
        <w:pStyle w:val="3"/>
        <w:snapToGrid w:val="0"/>
        <w:rPr>
          <w:bCs w:val="0"/>
          <w:color w:val="auto"/>
        </w:rPr>
      </w:pPr>
      <w:bookmarkStart w:id="20" w:name="_Toc17041"/>
      <w:r>
        <w:rPr>
          <w:bCs w:val="0"/>
          <w:color w:val="auto"/>
        </w:rPr>
        <w:t>2.2 区现场应急指挥部</w:t>
      </w:r>
      <w:bookmarkEnd w:id="20"/>
    </w:p>
    <w:p>
      <w:pPr>
        <w:snapToGrid w:val="0"/>
        <w:ind w:firstLine="560"/>
        <w:rPr>
          <w:color w:val="auto"/>
          <w:sz w:val="28"/>
          <w:szCs w:val="28"/>
        </w:rPr>
      </w:pPr>
      <w:r>
        <w:rPr>
          <w:color w:val="auto"/>
          <w:sz w:val="28"/>
          <w:szCs w:val="28"/>
        </w:rPr>
        <w:t>当信息研判和会商判断水源地水质可能受影响时或事件发生后，区应急指挥部根据事件发展态势及应急响应的工作需要设立现场应急指挥部，负责现场指挥工作。根据《广东省突发事件现场指挥官工作规范（试行）》，区现场应急指挥部设现场指挥官1名，根据实际需要设现场副指挥官若干名，现场指挥官与现场副指挥官由区应急指挥部总指挥指定。区现场应急指挥部作为现场应急指挥机构，在区应急指挥部的领导下，全面负责指挥、组织和协调水源地</w:t>
      </w:r>
      <w:r>
        <w:rPr>
          <w:rFonts w:hint="eastAsia"/>
          <w:color w:val="auto"/>
          <w:sz w:val="28"/>
          <w:szCs w:val="28"/>
          <w:lang w:eastAsia="zh-CN"/>
        </w:rPr>
        <w:t>突发生态环境事件应急响应</w:t>
      </w:r>
      <w:r>
        <w:rPr>
          <w:color w:val="auto"/>
          <w:sz w:val="28"/>
          <w:szCs w:val="28"/>
        </w:rPr>
        <w:t>工作。区现场应急指挥部成员，由区应急指挥部各成员单位有关人员组成。所有参与应急救援的队伍和人员必须服从区现场应急指挥部的指挥。区现场应急指挥部的主要职责为：</w:t>
      </w:r>
    </w:p>
    <w:p>
      <w:pPr>
        <w:snapToGrid w:val="0"/>
        <w:ind w:firstLine="560"/>
        <w:rPr>
          <w:color w:val="auto"/>
          <w:sz w:val="28"/>
          <w:szCs w:val="28"/>
        </w:rPr>
      </w:pPr>
      <w:r>
        <w:rPr>
          <w:color w:val="auto"/>
          <w:sz w:val="28"/>
          <w:szCs w:val="28"/>
        </w:rPr>
        <w:t>（1）贯彻执行党中央、国务院和省委、省政府、市委、市政府有关应急工作的方针、政策，认真落实</w:t>
      </w:r>
      <w:r>
        <w:rPr>
          <w:rFonts w:hint="eastAsia"/>
          <w:color w:val="auto"/>
          <w:sz w:val="28"/>
          <w:szCs w:val="28"/>
          <w:lang w:val="en-US" w:eastAsia="zh-CN"/>
        </w:rPr>
        <w:t>上级</w:t>
      </w:r>
      <w:r>
        <w:rPr>
          <w:color w:val="auto"/>
          <w:sz w:val="28"/>
          <w:szCs w:val="28"/>
        </w:rPr>
        <w:t>有关环境应急工作指示和要求；</w:t>
      </w:r>
    </w:p>
    <w:p>
      <w:pPr>
        <w:snapToGrid w:val="0"/>
        <w:ind w:firstLine="560"/>
        <w:rPr>
          <w:color w:val="auto"/>
          <w:sz w:val="28"/>
          <w:szCs w:val="28"/>
        </w:rPr>
      </w:pPr>
      <w:r>
        <w:rPr>
          <w:color w:val="auto"/>
          <w:sz w:val="28"/>
          <w:szCs w:val="28"/>
        </w:rPr>
        <w:t>（2）研究判断事件性质及危害程度，制定现场应急救援方案并实施应急处置，控制、消除危害影响；</w:t>
      </w:r>
    </w:p>
    <w:p>
      <w:pPr>
        <w:snapToGrid w:val="0"/>
        <w:ind w:firstLine="560"/>
        <w:rPr>
          <w:color w:val="auto"/>
          <w:sz w:val="28"/>
          <w:szCs w:val="28"/>
        </w:rPr>
      </w:pPr>
      <w:r>
        <w:rPr>
          <w:color w:val="auto"/>
          <w:sz w:val="28"/>
          <w:szCs w:val="28"/>
        </w:rPr>
        <w:t>（3）向区应急指挥部报告现场应急响应和救援进展情况，为区应急指挥部决策提供实时信息和数据；</w:t>
      </w:r>
    </w:p>
    <w:p>
      <w:pPr>
        <w:snapToGrid w:val="0"/>
        <w:ind w:firstLine="560"/>
        <w:rPr>
          <w:color w:val="auto"/>
          <w:sz w:val="28"/>
          <w:szCs w:val="28"/>
        </w:rPr>
      </w:pPr>
      <w:r>
        <w:rPr>
          <w:color w:val="auto"/>
          <w:sz w:val="28"/>
          <w:szCs w:val="28"/>
        </w:rPr>
        <w:t>（4）向区应急指挥部提出现场应急结束的建议，经区应急指挥部同意后宣布现场应急结束。</w:t>
      </w:r>
    </w:p>
    <w:p>
      <w:pPr>
        <w:snapToGrid w:val="0"/>
        <w:ind w:firstLine="560"/>
        <w:rPr>
          <w:rFonts w:hint="eastAsia" w:eastAsia="宋体"/>
          <w:color w:val="auto"/>
          <w:sz w:val="28"/>
          <w:szCs w:val="28"/>
          <w:lang w:eastAsia="zh-CN"/>
        </w:rPr>
      </w:pPr>
      <w:r>
        <w:rPr>
          <w:rFonts w:hint="eastAsia"/>
          <w:color w:val="auto"/>
          <w:sz w:val="28"/>
          <w:szCs w:val="28"/>
          <w:lang w:eastAsia="zh-CN"/>
        </w:rPr>
        <w:t>（</w:t>
      </w:r>
      <w:r>
        <w:rPr>
          <w:rFonts w:hint="eastAsia"/>
          <w:color w:val="auto"/>
          <w:sz w:val="28"/>
          <w:szCs w:val="28"/>
          <w:lang w:val="en-US" w:eastAsia="zh-CN"/>
        </w:rPr>
        <w:t>5</w:t>
      </w:r>
      <w:r>
        <w:rPr>
          <w:rFonts w:hint="eastAsia"/>
          <w:color w:val="auto"/>
          <w:sz w:val="28"/>
          <w:szCs w:val="28"/>
          <w:lang w:eastAsia="zh-CN"/>
        </w:rPr>
        <w:t>）负责突发生态环境事件应急专业队伍的建设和管理，以及应急物资储备保障工作。</w:t>
      </w:r>
    </w:p>
    <w:p>
      <w:pPr>
        <w:snapToGrid w:val="0"/>
        <w:ind w:firstLine="560"/>
        <w:rPr>
          <w:rFonts w:hint="eastAsia"/>
          <w:color w:val="auto"/>
          <w:sz w:val="28"/>
          <w:szCs w:val="28"/>
          <w:lang w:eastAsia="zh-CN"/>
        </w:rPr>
      </w:pPr>
      <w:r>
        <w:rPr>
          <w:color w:val="auto"/>
          <w:sz w:val="28"/>
          <w:szCs w:val="28"/>
        </w:rPr>
        <w:t>区应急指挥部下设协调办公室</w:t>
      </w:r>
      <w:r>
        <w:rPr>
          <w:rFonts w:hint="eastAsia"/>
          <w:color w:val="auto"/>
          <w:sz w:val="28"/>
          <w:szCs w:val="28"/>
          <w:lang w:eastAsia="zh-CN"/>
        </w:rPr>
        <w:t>，</w:t>
      </w:r>
      <w:r>
        <w:rPr>
          <w:color w:val="auto"/>
          <w:sz w:val="28"/>
          <w:szCs w:val="28"/>
        </w:rPr>
        <w:t>办公室设在市生态环境局清新分局，</w:t>
      </w:r>
      <w:r>
        <w:rPr>
          <w:rFonts w:hint="eastAsia"/>
          <w:color w:val="auto"/>
          <w:sz w:val="28"/>
          <w:szCs w:val="28"/>
          <w:lang w:eastAsia="zh-CN"/>
        </w:rPr>
        <w:t>办公室成员主要由各相关职能部门负责人及其联络人组成，其主要职责为：</w:t>
      </w:r>
    </w:p>
    <w:p>
      <w:pPr>
        <w:snapToGrid w:val="0"/>
        <w:ind w:firstLine="560"/>
        <w:rPr>
          <w:rFonts w:hint="eastAsia"/>
          <w:color w:val="auto"/>
          <w:sz w:val="28"/>
          <w:szCs w:val="28"/>
          <w:lang w:eastAsia="zh-CN"/>
        </w:rPr>
      </w:pPr>
      <w:r>
        <w:rPr>
          <w:rFonts w:hint="eastAsia"/>
          <w:color w:val="auto"/>
          <w:sz w:val="28"/>
          <w:szCs w:val="28"/>
          <w:lang w:eastAsia="zh-CN"/>
        </w:rPr>
        <w:t>（1）贯彻落实区环境应急专班的各项工作部署，收集汇总分析工作信息，及时上报重要信息；</w:t>
      </w:r>
    </w:p>
    <w:p>
      <w:pPr>
        <w:snapToGrid w:val="0"/>
        <w:ind w:firstLine="560"/>
        <w:rPr>
          <w:rFonts w:hint="eastAsia"/>
          <w:color w:val="auto"/>
          <w:sz w:val="28"/>
          <w:szCs w:val="28"/>
          <w:lang w:eastAsia="zh-CN"/>
        </w:rPr>
      </w:pPr>
      <w:r>
        <w:rPr>
          <w:rFonts w:hint="eastAsia"/>
          <w:color w:val="auto"/>
          <w:sz w:val="28"/>
          <w:szCs w:val="28"/>
          <w:lang w:eastAsia="zh-CN"/>
        </w:rPr>
        <w:t>（2）委托相关单位组织开展</w:t>
      </w:r>
      <w:r>
        <w:rPr>
          <w:rFonts w:hint="eastAsia"/>
          <w:color w:val="auto"/>
          <w:sz w:val="28"/>
          <w:szCs w:val="28"/>
          <w:lang w:val="en-US" w:eastAsia="zh-CN"/>
        </w:rPr>
        <w:t>水源地区域</w:t>
      </w:r>
      <w:r>
        <w:rPr>
          <w:rFonts w:hint="eastAsia"/>
          <w:color w:val="auto"/>
          <w:sz w:val="28"/>
          <w:szCs w:val="28"/>
          <w:lang w:eastAsia="zh-CN"/>
        </w:rPr>
        <w:t>突发生态环境事件隐患排查整改工作；</w:t>
      </w:r>
    </w:p>
    <w:p>
      <w:pPr>
        <w:snapToGrid w:val="0"/>
        <w:ind w:firstLine="560"/>
        <w:rPr>
          <w:rFonts w:hint="eastAsia"/>
          <w:color w:val="auto"/>
          <w:sz w:val="28"/>
          <w:szCs w:val="28"/>
          <w:lang w:eastAsia="zh-CN"/>
        </w:rPr>
      </w:pPr>
      <w:r>
        <w:rPr>
          <w:rFonts w:hint="eastAsia"/>
          <w:color w:val="auto"/>
          <w:sz w:val="28"/>
          <w:szCs w:val="28"/>
          <w:lang w:eastAsia="zh-CN"/>
        </w:rPr>
        <w:t>（3）</w:t>
      </w:r>
      <w:r>
        <w:rPr>
          <w:rFonts w:hint="eastAsia"/>
          <w:color w:val="auto"/>
          <w:sz w:val="28"/>
          <w:szCs w:val="28"/>
          <w:lang w:val="en-US" w:eastAsia="zh-CN"/>
        </w:rPr>
        <w:t>从事水源地</w:t>
      </w:r>
      <w:r>
        <w:rPr>
          <w:rFonts w:hint="eastAsia"/>
          <w:color w:val="auto"/>
          <w:sz w:val="28"/>
          <w:szCs w:val="28"/>
          <w:lang w:eastAsia="zh-CN"/>
        </w:rPr>
        <w:t>突发生态环境事件信息发布工作；</w:t>
      </w:r>
    </w:p>
    <w:p>
      <w:pPr>
        <w:snapToGrid w:val="0"/>
        <w:ind w:firstLine="560"/>
        <w:rPr>
          <w:rFonts w:hint="eastAsia"/>
          <w:color w:val="auto"/>
          <w:sz w:val="28"/>
          <w:szCs w:val="28"/>
          <w:lang w:eastAsia="zh-CN"/>
        </w:rPr>
      </w:pPr>
      <w:r>
        <w:rPr>
          <w:rFonts w:hint="eastAsia"/>
          <w:color w:val="auto"/>
          <w:sz w:val="28"/>
          <w:szCs w:val="28"/>
          <w:lang w:eastAsia="zh-CN"/>
        </w:rPr>
        <w:t>（4）建立和完善环境应急预警机制，组织修订</w:t>
      </w:r>
      <w:r>
        <w:rPr>
          <w:rFonts w:hint="eastAsia"/>
          <w:color w:val="auto"/>
          <w:sz w:val="28"/>
          <w:szCs w:val="28"/>
          <w:lang w:val="en-US" w:eastAsia="zh-CN"/>
        </w:rPr>
        <w:t>水源地</w:t>
      </w:r>
      <w:r>
        <w:rPr>
          <w:rFonts w:hint="eastAsia"/>
          <w:color w:val="auto"/>
          <w:sz w:val="28"/>
          <w:szCs w:val="28"/>
          <w:lang w:eastAsia="zh-CN"/>
        </w:rPr>
        <w:t>突发生态环境事件应急预案；</w:t>
      </w:r>
    </w:p>
    <w:p>
      <w:pPr>
        <w:snapToGrid w:val="0"/>
        <w:ind w:firstLine="560"/>
        <w:rPr>
          <w:rFonts w:hint="eastAsia"/>
          <w:color w:val="auto"/>
          <w:sz w:val="28"/>
          <w:szCs w:val="28"/>
          <w:lang w:eastAsia="zh-CN"/>
        </w:rPr>
      </w:pPr>
      <w:r>
        <w:rPr>
          <w:rFonts w:hint="eastAsia"/>
          <w:color w:val="auto"/>
          <w:sz w:val="28"/>
          <w:szCs w:val="28"/>
          <w:lang w:eastAsia="zh-CN"/>
        </w:rPr>
        <w:t>（5）组织</w:t>
      </w:r>
      <w:r>
        <w:rPr>
          <w:rFonts w:hint="eastAsia"/>
          <w:color w:val="auto"/>
          <w:sz w:val="28"/>
          <w:szCs w:val="28"/>
          <w:lang w:val="en-US" w:eastAsia="zh-CN"/>
        </w:rPr>
        <w:t>水源地</w:t>
      </w:r>
      <w:r>
        <w:rPr>
          <w:rFonts w:hint="eastAsia"/>
          <w:color w:val="auto"/>
          <w:sz w:val="28"/>
          <w:szCs w:val="28"/>
          <w:lang w:eastAsia="zh-CN"/>
        </w:rPr>
        <w:t>突发生态环境事件相关宣传教育、培训和演练；</w:t>
      </w:r>
    </w:p>
    <w:p>
      <w:pPr>
        <w:snapToGrid w:val="0"/>
        <w:ind w:firstLine="560"/>
        <w:rPr>
          <w:color w:val="auto"/>
          <w:sz w:val="28"/>
          <w:szCs w:val="28"/>
        </w:rPr>
      </w:pPr>
      <w:r>
        <w:rPr>
          <w:color w:val="auto"/>
          <w:sz w:val="28"/>
          <w:szCs w:val="28"/>
        </w:rPr>
        <w:t>区现场应急指挥部下设7个现场应急工作组，分别为现场处置组、专家咨询组、应急监测组、供水保障组、医学救援组、应急保障组、新闻宣传组。各现场应急工作组组长由区现场指挥部现场指挥官指定专人担任。</w:t>
      </w:r>
    </w:p>
    <w:p>
      <w:pPr>
        <w:snapToGrid w:val="0"/>
        <w:ind w:firstLine="562"/>
        <w:rPr>
          <w:b/>
          <w:color w:val="auto"/>
          <w:sz w:val="28"/>
          <w:szCs w:val="28"/>
        </w:rPr>
      </w:pPr>
      <w:r>
        <w:rPr>
          <w:b/>
          <w:color w:val="auto"/>
          <w:sz w:val="28"/>
          <w:szCs w:val="28"/>
        </w:rPr>
        <w:t>（1）现场处置组</w:t>
      </w:r>
    </w:p>
    <w:p>
      <w:pPr>
        <w:snapToGrid w:val="0"/>
        <w:ind w:firstLine="560"/>
        <w:rPr>
          <w:color w:val="auto"/>
          <w:sz w:val="28"/>
          <w:szCs w:val="28"/>
        </w:rPr>
      </w:pPr>
      <w:r>
        <w:rPr>
          <w:color w:val="auto"/>
          <w:sz w:val="28"/>
          <w:szCs w:val="28"/>
        </w:rPr>
        <w:t>由</w:t>
      </w:r>
      <w:r>
        <w:rPr>
          <w:rFonts w:hint="eastAsia"/>
          <w:color w:val="auto"/>
          <w:sz w:val="28"/>
          <w:szCs w:val="28"/>
          <w:lang w:val="en-US" w:eastAsia="zh-CN"/>
        </w:rPr>
        <w:t>清远市</w:t>
      </w:r>
      <w:r>
        <w:rPr>
          <w:color w:val="auto"/>
          <w:sz w:val="28"/>
          <w:szCs w:val="28"/>
        </w:rPr>
        <w:t>生态环境局清新分局、</w:t>
      </w:r>
      <w:r>
        <w:rPr>
          <w:rFonts w:hint="eastAsia"/>
          <w:color w:val="auto"/>
          <w:sz w:val="28"/>
          <w:szCs w:val="28"/>
          <w:lang w:val="en-US" w:eastAsia="zh-CN"/>
        </w:rPr>
        <w:t>清远</w:t>
      </w:r>
      <w:r>
        <w:rPr>
          <w:color w:val="auto"/>
          <w:sz w:val="28"/>
          <w:szCs w:val="28"/>
        </w:rPr>
        <w:t>市公安局清新分局、区交通运输局、</w:t>
      </w:r>
      <w:r>
        <w:rPr>
          <w:rFonts w:hint="eastAsia"/>
          <w:color w:val="auto"/>
          <w:sz w:val="28"/>
          <w:szCs w:val="28"/>
          <w:lang w:val="en-US" w:eastAsia="zh-CN"/>
        </w:rPr>
        <w:t>清远</w:t>
      </w:r>
      <w:r>
        <w:rPr>
          <w:color w:val="auto"/>
          <w:sz w:val="28"/>
          <w:szCs w:val="28"/>
        </w:rPr>
        <w:t>市自然资源局清新分局、区水利局、区农业农村局、区应急管理局、</w:t>
      </w:r>
      <w:r>
        <w:rPr>
          <w:rFonts w:hint="eastAsia"/>
          <w:color w:val="auto"/>
          <w:sz w:val="28"/>
          <w:szCs w:val="28"/>
          <w:lang w:eastAsia="zh-CN"/>
        </w:rPr>
        <w:t>区消防救援局、</w:t>
      </w:r>
      <w:r>
        <w:rPr>
          <w:rFonts w:hint="eastAsia"/>
          <w:color w:val="auto"/>
          <w:sz w:val="28"/>
          <w:szCs w:val="28"/>
        </w:rPr>
        <w:t>区城市管理和综合执法局、</w:t>
      </w:r>
      <w:r>
        <w:rPr>
          <w:rFonts w:hint="eastAsia"/>
          <w:color w:val="auto"/>
          <w:sz w:val="28"/>
          <w:szCs w:val="28"/>
          <w:lang w:val="en-US" w:eastAsia="zh-CN"/>
        </w:rPr>
        <w:t>清新区太和</w:t>
      </w:r>
      <w:r>
        <w:rPr>
          <w:rFonts w:hint="eastAsia"/>
          <w:color w:val="auto"/>
          <w:sz w:val="28"/>
          <w:szCs w:val="28"/>
        </w:rPr>
        <w:t>镇人民政府</w:t>
      </w:r>
      <w:r>
        <w:rPr>
          <w:color w:val="auto"/>
          <w:sz w:val="28"/>
          <w:szCs w:val="28"/>
        </w:rPr>
        <w:t>、</w:t>
      </w:r>
      <w:r>
        <w:rPr>
          <w:rFonts w:hint="eastAsia"/>
          <w:color w:val="auto"/>
          <w:kern w:val="0"/>
          <w:sz w:val="28"/>
          <w:szCs w:val="28"/>
        </w:rPr>
        <w:t>太和供水</w:t>
      </w:r>
      <w:r>
        <w:rPr>
          <w:rFonts w:hint="eastAsia"/>
          <w:color w:val="auto"/>
          <w:kern w:val="0"/>
          <w:sz w:val="28"/>
          <w:szCs w:val="28"/>
          <w:lang w:val="en-US" w:eastAsia="zh-CN"/>
        </w:rPr>
        <w:t>公司</w:t>
      </w:r>
      <w:r>
        <w:rPr>
          <w:rFonts w:hint="eastAsia"/>
          <w:color w:val="auto"/>
          <w:kern w:val="0"/>
          <w:sz w:val="28"/>
          <w:szCs w:val="28"/>
          <w:lang w:eastAsia="zh-CN"/>
        </w:rPr>
        <w:t>、清新区迳口自来水厂</w:t>
      </w:r>
      <w:r>
        <w:rPr>
          <w:rFonts w:hint="eastAsia"/>
          <w:color w:val="auto"/>
          <w:sz w:val="28"/>
          <w:szCs w:val="28"/>
        </w:rPr>
        <w:t>、广东清连公路发展有限公司（当</w:t>
      </w:r>
      <w:r>
        <w:rPr>
          <w:rFonts w:hint="eastAsia"/>
          <w:color w:val="auto"/>
          <w:sz w:val="28"/>
          <w:szCs w:val="28"/>
          <w:lang w:eastAsia="zh-CN"/>
        </w:rPr>
        <w:t>突发生态环境事件</w:t>
      </w:r>
      <w:r>
        <w:rPr>
          <w:color w:val="auto"/>
          <w:sz w:val="28"/>
          <w:szCs w:val="28"/>
        </w:rPr>
        <w:t>发生于清连高速时</w:t>
      </w:r>
      <w:r>
        <w:rPr>
          <w:rFonts w:hint="eastAsia"/>
          <w:color w:val="auto"/>
          <w:sz w:val="28"/>
          <w:szCs w:val="28"/>
        </w:rPr>
        <w:t>）</w:t>
      </w:r>
      <w:r>
        <w:rPr>
          <w:color w:val="auto"/>
          <w:sz w:val="28"/>
          <w:szCs w:val="28"/>
        </w:rPr>
        <w:t>有关单位负责人组成，主要职责为：</w:t>
      </w:r>
    </w:p>
    <w:p>
      <w:pPr>
        <w:snapToGrid w:val="0"/>
        <w:ind w:firstLine="560"/>
        <w:rPr>
          <w:color w:val="auto"/>
          <w:sz w:val="28"/>
          <w:szCs w:val="28"/>
        </w:rPr>
      </w:pPr>
      <w:r>
        <w:rPr>
          <w:rFonts w:hint="eastAsia"/>
          <w:color w:val="auto"/>
          <w:sz w:val="28"/>
          <w:szCs w:val="28"/>
          <w:lang w:eastAsia="zh-CN"/>
        </w:rPr>
        <w:t>①</w:t>
      </w:r>
      <w:r>
        <w:rPr>
          <w:color w:val="auto"/>
          <w:sz w:val="28"/>
          <w:szCs w:val="28"/>
        </w:rPr>
        <w:t>负责污染源排查；</w:t>
      </w:r>
    </w:p>
    <w:p>
      <w:pPr>
        <w:snapToGrid w:val="0"/>
        <w:ind w:firstLine="560"/>
        <w:rPr>
          <w:color w:val="auto"/>
          <w:sz w:val="28"/>
          <w:szCs w:val="28"/>
        </w:rPr>
      </w:pPr>
      <w:r>
        <w:rPr>
          <w:rFonts w:hint="eastAsia"/>
          <w:color w:val="auto"/>
          <w:sz w:val="28"/>
          <w:szCs w:val="28"/>
          <w:lang w:eastAsia="zh-CN"/>
        </w:rPr>
        <w:t>②</w:t>
      </w:r>
      <w:r>
        <w:rPr>
          <w:color w:val="auto"/>
          <w:sz w:val="28"/>
          <w:szCs w:val="28"/>
        </w:rPr>
        <w:t>负责组织制定应急处置方案；</w:t>
      </w:r>
    </w:p>
    <w:p>
      <w:pPr>
        <w:snapToGrid w:val="0"/>
        <w:ind w:firstLine="560"/>
        <w:rPr>
          <w:color w:val="auto"/>
          <w:sz w:val="28"/>
          <w:szCs w:val="28"/>
        </w:rPr>
      </w:pPr>
      <w:r>
        <w:rPr>
          <w:rFonts w:hint="eastAsia"/>
          <w:color w:val="auto"/>
          <w:sz w:val="28"/>
          <w:szCs w:val="28"/>
          <w:lang w:eastAsia="zh-CN"/>
        </w:rPr>
        <w:t>③</w:t>
      </w:r>
      <w:r>
        <w:rPr>
          <w:color w:val="auto"/>
          <w:sz w:val="28"/>
          <w:szCs w:val="28"/>
        </w:rPr>
        <w:t>负责现场污染物消除、围堵和削减，以及污染物收集、转运和异地处置等工作。</w:t>
      </w:r>
    </w:p>
    <w:p>
      <w:pPr>
        <w:snapToGrid w:val="0"/>
        <w:ind w:firstLine="562"/>
        <w:rPr>
          <w:b/>
          <w:color w:val="auto"/>
          <w:sz w:val="28"/>
          <w:szCs w:val="28"/>
        </w:rPr>
      </w:pPr>
      <w:r>
        <w:rPr>
          <w:b/>
          <w:color w:val="auto"/>
          <w:sz w:val="28"/>
          <w:szCs w:val="28"/>
        </w:rPr>
        <w:t>（2）专家咨询组</w:t>
      </w:r>
    </w:p>
    <w:p>
      <w:pPr>
        <w:snapToGrid w:val="0"/>
        <w:ind w:firstLine="560"/>
        <w:rPr>
          <w:color w:val="auto"/>
          <w:sz w:val="28"/>
          <w:szCs w:val="28"/>
        </w:rPr>
      </w:pPr>
      <w:r>
        <w:rPr>
          <w:rFonts w:hint="eastAsia"/>
          <w:color w:val="auto"/>
          <w:sz w:val="28"/>
          <w:szCs w:val="28"/>
          <w:lang w:val="en-US" w:eastAsia="zh-CN"/>
        </w:rPr>
        <w:t>根据《清远市清新区突发环境事件应急预案（2025年修订版）》，</w:t>
      </w:r>
      <w:r>
        <w:rPr>
          <w:rFonts w:hint="eastAsia"/>
          <w:color w:val="auto"/>
          <w:sz w:val="28"/>
          <w:szCs w:val="28"/>
          <w:lang w:val="zh-CN"/>
        </w:rPr>
        <w:t>清远市清新区突发生态环境事件应急工作专班</w:t>
      </w:r>
      <w:r>
        <w:rPr>
          <w:rFonts w:hint="eastAsia"/>
          <w:color w:val="auto"/>
          <w:sz w:val="28"/>
          <w:szCs w:val="28"/>
          <w:lang w:val="en-US" w:eastAsia="zh-CN"/>
        </w:rPr>
        <w:t>组织专家组。</w:t>
      </w:r>
      <w:r>
        <w:rPr>
          <w:color w:val="auto"/>
          <w:sz w:val="28"/>
          <w:szCs w:val="28"/>
          <w:lang w:val="zh-CN"/>
        </w:rPr>
        <w:t>环境应急专家库由大专院校、科研机构、企业事业单位的环境、监测、化工、生态、水利水文、辐射、防化等专业领域专家组成，负责参与指导</w:t>
      </w:r>
      <w:r>
        <w:rPr>
          <w:rFonts w:hint="eastAsia"/>
          <w:color w:val="auto"/>
          <w:sz w:val="28"/>
          <w:szCs w:val="28"/>
          <w:lang w:val="zh-CN"/>
        </w:rPr>
        <w:t>突发生态环境事件</w:t>
      </w:r>
      <w:r>
        <w:rPr>
          <w:color w:val="auto"/>
          <w:sz w:val="28"/>
          <w:szCs w:val="28"/>
          <w:lang w:val="zh-CN"/>
        </w:rPr>
        <w:t>应急处置工作，为应急指挥决策提供技术支持。环境应急专家从清远市专家库中抽调</w:t>
      </w:r>
      <w:r>
        <w:rPr>
          <w:rFonts w:hint="eastAsia"/>
          <w:color w:val="auto"/>
          <w:sz w:val="28"/>
          <w:szCs w:val="28"/>
          <w:lang w:val="zh-CN"/>
        </w:rPr>
        <w:t>，</w:t>
      </w:r>
      <w:r>
        <w:rPr>
          <w:color w:val="auto"/>
          <w:sz w:val="28"/>
          <w:szCs w:val="28"/>
        </w:rPr>
        <w:t>主要职责是：</w:t>
      </w:r>
    </w:p>
    <w:p>
      <w:pPr>
        <w:snapToGrid w:val="0"/>
        <w:ind w:firstLine="560"/>
        <w:rPr>
          <w:color w:val="auto"/>
          <w:sz w:val="28"/>
          <w:szCs w:val="28"/>
        </w:rPr>
      </w:pPr>
      <w:r>
        <w:rPr>
          <w:rFonts w:hint="eastAsia"/>
          <w:color w:val="auto"/>
          <w:sz w:val="28"/>
          <w:szCs w:val="28"/>
          <w:lang w:eastAsia="zh-CN"/>
        </w:rPr>
        <w:t>①</w:t>
      </w:r>
      <w:r>
        <w:rPr>
          <w:color w:val="auto"/>
          <w:sz w:val="28"/>
          <w:szCs w:val="28"/>
        </w:rPr>
        <w:t>对事故风险源和事故原因进行分析和判断，对事件信息进行综合分析和研究，协助判别事件类型和等级；</w:t>
      </w:r>
    </w:p>
    <w:p>
      <w:pPr>
        <w:snapToGrid w:val="0"/>
        <w:ind w:firstLine="560"/>
        <w:rPr>
          <w:color w:val="auto"/>
          <w:sz w:val="28"/>
          <w:szCs w:val="28"/>
        </w:rPr>
      </w:pPr>
      <w:r>
        <w:rPr>
          <w:rFonts w:hint="eastAsia"/>
          <w:color w:val="auto"/>
          <w:sz w:val="28"/>
          <w:szCs w:val="28"/>
          <w:lang w:eastAsia="zh-CN"/>
        </w:rPr>
        <w:t>②</w:t>
      </w:r>
      <w:r>
        <w:rPr>
          <w:color w:val="auto"/>
          <w:sz w:val="28"/>
          <w:szCs w:val="28"/>
        </w:rPr>
        <w:t>对</w:t>
      </w:r>
      <w:r>
        <w:rPr>
          <w:rFonts w:hint="eastAsia"/>
          <w:color w:val="auto"/>
          <w:sz w:val="28"/>
          <w:szCs w:val="28"/>
        </w:rPr>
        <w:t>水源地</w:t>
      </w:r>
      <w:r>
        <w:rPr>
          <w:color w:val="auto"/>
          <w:sz w:val="28"/>
          <w:szCs w:val="28"/>
        </w:rPr>
        <w:t>水质污染事件的危害范围、程度、发展态势做出估计；</w:t>
      </w:r>
    </w:p>
    <w:p>
      <w:pPr>
        <w:snapToGrid w:val="0"/>
        <w:ind w:firstLine="560"/>
        <w:rPr>
          <w:color w:val="auto"/>
          <w:sz w:val="28"/>
          <w:szCs w:val="28"/>
        </w:rPr>
      </w:pPr>
      <w:r>
        <w:rPr>
          <w:rFonts w:hint="eastAsia"/>
          <w:color w:val="auto"/>
          <w:sz w:val="28"/>
          <w:szCs w:val="28"/>
          <w:lang w:eastAsia="zh-CN"/>
        </w:rPr>
        <w:t>③</w:t>
      </w:r>
      <w:r>
        <w:rPr>
          <w:color w:val="auto"/>
          <w:sz w:val="28"/>
          <w:szCs w:val="28"/>
        </w:rPr>
        <w:t>为污染源控制、水利工程调度、水质监测、卫生防疫、供水单位深度净化等应急处置方案的制定提供技术支持；</w:t>
      </w:r>
    </w:p>
    <w:p>
      <w:pPr>
        <w:snapToGrid w:val="0"/>
        <w:ind w:firstLine="560"/>
        <w:rPr>
          <w:color w:val="auto"/>
          <w:sz w:val="28"/>
          <w:szCs w:val="28"/>
        </w:rPr>
      </w:pPr>
      <w:r>
        <w:rPr>
          <w:rFonts w:hint="eastAsia"/>
          <w:color w:val="auto"/>
          <w:sz w:val="28"/>
          <w:szCs w:val="28"/>
          <w:lang w:eastAsia="zh-CN"/>
        </w:rPr>
        <w:t>④</w:t>
      </w:r>
      <w:r>
        <w:rPr>
          <w:color w:val="auto"/>
          <w:sz w:val="28"/>
          <w:szCs w:val="28"/>
        </w:rPr>
        <w:t>参与</w:t>
      </w:r>
      <w:r>
        <w:rPr>
          <w:rFonts w:hint="eastAsia"/>
          <w:color w:val="auto"/>
          <w:sz w:val="28"/>
          <w:szCs w:val="28"/>
          <w:lang w:eastAsia="zh-CN"/>
        </w:rPr>
        <w:t>突发生态环境事件</w:t>
      </w:r>
      <w:r>
        <w:rPr>
          <w:color w:val="auto"/>
          <w:sz w:val="28"/>
          <w:szCs w:val="28"/>
        </w:rPr>
        <w:t>的调查，对事故处理提出咨询意见。</w:t>
      </w:r>
    </w:p>
    <w:p>
      <w:pPr>
        <w:snapToGrid w:val="0"/>
        <w:ind w:firstLine="562"/>
        <w:rPr>
          <w:b/>
          <w:color w:val="auto"/>
          <w:sz w:val="28"/>
          <w:szCs w:val="28"/>
        </w:rPr>
      </w:pPr>
      <w:r>
        <w:rPr>
          <w:b/>
          <w:color w:val="auto"/>
          <w:sz w:val="28"/>
          <w:szCs w:val="28"/>
        </w:rPr>
        <w:t>（3）应急监测组</w:t>
      </w:r>
    </w:p>
    <w:p>
      <w:pPr>
        <w:snapToGrid w:val="0"/>
        <w:ind w:firstLine="560"/>
        <w:rPr>
          <w:snapToGrid w:val="0"/>
          <w:color w:val="auto"/>
          <w:sz w:val="28"/>
          <w:szCs w:val="28"/>
        </w:rPr>
      </w:pPr>
      <w:r>
        <w:rPr>
          <w:color w:val="auto"/>
          <w:sz w:val="28"/>
          <w:szCs w:val="28"/>
        </w:rPr>
        <w:t>由</w:t>
      </w:r>
      <w:r>
        <w:rPr>
          <w:rFonts w:hint="eastAsia"/>
          <w:color w:val="auto"/>
          <w:sz w:val="28"/>
          <w:szCs w:val="28"/>
          <w:lang w:val="en-US" w:eastAsia="zh-CN"/>
        </w:rPr>
        <w:t>清新区环境监测站</w:t>
      </w:r>
      <w:r>
        <w:rPr>
          <w:color w:val="auto"/>
          <w:sz w:val="28"/>
          <w:szCs w:val="28"/>
        </w:rPr>
        <w:t>、区水利局、区农业农村局、市自然资源局清新分局、区卫生健康局、</w:t>
      </w:r>
      <w:r>
        <w:rPr>
          <w:rFonts w:hint="eastAsia"/>
          <w:color w:val="auto"/>
          <w:sz w:val="28"/>
          <w:szCs w:val="28"/>
        </w:rPr>
        <w:t>区气象局</w:t>
      </w:r>
      <w:r>
        <w:rPr>
          <w:color w:val="auto"/>
          <w:sz w:val="28"/>
          <w:szCs w:val="28"/>
        </w:rPr>
        <w:t>等有关单位负责人组成，</w:t>
      </w:r>
      <w:r>
        <w:rPr>
          <w:snapToGrid w:val="0"/>
          <w:color w:val="auto"/>
          <w:sz w:val="28"/>
          <w:szCs w:val="28"/>
        </w:rPr>
        <w:t>主要职责：</w:t>
      </w:r>
    </w:p>
    <w:p>
      <w:pPr>
        <w:snapToGrid w:val="0"/>
        <w:ind w:firstLine="560"/>
        <w:rPr>
          <w:snapToGrid w:val="0"/>
          <w:color w:val="auto"/>
          <w:sz w:val="28"/>
          <w:szCs w:val="28"/>
        </w:rPr>
      </w:pPr>
      <w:r>
        <w:rPr>
          <w:rFonts w:hint="eastAsia"/>
          <w:snapToGrid w:val="0"/>
          <w:color w:val="auto"/>
          <w:sz w:val="28"/>
          <w:szCs w:val="28"/>
          <w:lang w:eastAsia="zh-CN"/>
        </w:rPr>
        <w:t>①</w:t>
      </w:r>
      <w:r>
        <w:rPr>
          <w:snapToGrid w:val="0"/>
          <w:color w:val="auto"/>
          <w:sz w:val="28"/>
          <w:szCs w:val="28"/>
        </w:rPr>
        <w:t>负责制定应急监测方案；</w:t>
      </w:r>
    </w:p>
    <w:p>
      <w:pPr>
        <w:snapToGrid w:val="0"/>
        <w:ind w:firstLine="560"/>
        <w:rPr>
          <w:snapToGrid w:val="0"/>
          <w:color w:val="auto"/>
          <w:sz w:val="28"/>
          <w:szCs w:val="28"/>
        </w:rPr>
      </w:pPr>
      <w:r>
        <w:rPr>
          <w:rFonts w:hint="eastAsia"/>
          <w:snapToGrid w:val="0"/>
          <w:color w:val="auto"/>
          <w:sz w:val="28"/>
          <w:szCs w:val="28"/>
          <w:lang w:eastAsia="zh-CN"/>
        </w:rPr>
        <w:t>②</w:t>
      </w:r>
      <w:r>
        <w:rPr>
          <w:rFonts w:hint="eastAsia"/>
          <w:snapToGrid w:val="0"/>
          <w:color w:val="auto"/>
          <w:sz w:val="28"/>
          <w:szCs w:val="28"/>
          <w:lang w:val="en-US" w:eastAsia="zh-CN"/>
        </w:rPr>
        <w:t>负责在</w:t>
      </w:r>
      <w:r>
        <w:rPr>
          <w:rFonts w:hint="default"/>
          <w:snapToGrid w:val="0"/>
          <w:color w:val="auto"/>
          <w:sz w:val="28"/>
          <w:szCs w:val="28"/>
          <w:lang w:val="en-US" w:eastAsia="zh-CN"/>
        </w:rPr>
        <w:t>饮用水源保护区边界和水厂取水口等敏感区域、污染带上游、下游</w:t>
      </w:r>
      <w:r>
        <w:rPr>
          <w:rFonts w:hint="eastAsia"/>
          <w:snapToGrid w:val="0"/>
          <w:color w:val="auto"/>
          <w:sz w:val="28"/>
          <w:szCs w:val="28"/>
          <w:lang w:val="en-US" w:eastAsia="zh-CN"/>
        </w:rPr>
        <w:t>采样监测</w:t>
      </w:r>
      <w:r>
        <w:rPr>
          <w:snapToGrid w:val="0"/>
          <w:color w:val="auto"/>
          <w:sz w:val="28"/>
          <w:szCs w:val="28"/>
        </w:rPr>
        <w:t>；</w:t>
      </w:r>
    </w:p>
    <w:p>
      <w:pPr>
        <w:snapToGrid w:val="0"/>
        <w:ind w:firstLine="560"/>
        <w:rPr>
          <w:snapToGrid w:val="0"/>
          <w:color w:val="auto"/>
          <w:sz w:val="28"/>
          <w:szCs w:val="28"/>
        </w:rPr>
      </w:pPr>
      <w:r>
        <w:rPr>
          <w:rFonts w:hint="eastAsia"/>
          <w:snapToGrid w:val="0"/>
          <w:color w:val="auto"/>
          <w:sz w:val="28"/>
          <w:szCs w:val="28"/>
          <w:lang w:eastAsia="zh-CN"/>
        </w:rPr>
        <w:t>③</w:t>
      </w:r>
      <w:r>
        <w:rPr>
          <w:snapToGrid w:val="0"/>
          <w:color w:val="auto"/>
          <w:sz w:val="28"/>
          <w:szCs w:val="28"/>
        </w:rPr>
        <w:t>负责应急期间的水源地、供水单位和管网末梢水的水质监测。</w:t>
      </w:r>
    </w:p>
    <w:p>
      <w:pPr>
        <w:snapToGrid w:val="0"/>
        <w:ind w:firstLine="562"/>
        <w:rPr>
          <w:b/>
          <w:snapToGrid w:val="0"/>
          <w:color w:val="auto"/>
          <w:sz w:val="28"/>
          <w:szCs w:val="28"/>
        </w:rPr>
      </w:pPr>
      <w:r>
        <w:rPr>
          <w:b/>
          <w:snapToGrid w:val="0"/>
          <w:color w:val="auto"/>
          <w:sz w:val="28"/>
          <w:szCs w:val="28"/>
        </w:rPr>
        <w:t>（4）供水保障组</w:t>
      </w:r>
    </w:p>
    <w:p>
      <w:pPr>
        <w:snapToGrid w:val="0"/>
        <w:ind w:firstLine="560"/>
        <w:rPr>
          <w:snapToGrid w:val="0"/>
          <w:color w:val="auto"/>
          <w:sz w:val="28"/>
          <w:szCs w:val="28"/>
        </w:rPr>
      </w:pPr>
      <w:r>
        <w:rPr>
          <w:snapToGrid w:val="0"/>
          <w:color w:val="auto"/>
          <w:sz w:val="28"/>
          <w:szCs w:val="28"/>
        </w:rPr>
        <w:t>由区水利局、</w:t>
      </w:r>
      <w:r>
        <w:rPr>
          <w:rFonts w:hint="eastAsia"/>
          <w:snapToGrid w:val="0"/>
          <w:color w:val="auto"/>
          <w:sz w:val="28"/>
          <w:szCs w:val="28"/>
        </w:rPr>
        <w:t>市生态环境局清新分局</w:t>
      </w:r>
      <w:r>
        <w:rPr>
          <w:snapToGrid w:val="0"/>
          <w:color w:val="auto"/>
          <w:sz w:val="28"/>
          <w:szCs w:val="28"/>
        </w:rPr>
        <w:t>、</w:t>
      </w:r>
      <w:r>
        <w:rPr>
          <w:rFonts w:hint="eastAsia"/>
          <w:snapToGrid w:val="0"/>
          <w:color w:val="auto"/>
          <w:sz w:val="28"/>
          <w:szCs w:val="28"/>
        </w:rPr>
        <w:t>区城市管理和综合执法局、区卫生健康局、</w:t>
      </w:r>
      <w:r>
        <w:rPr>
          <w:rFonts w:hint="eastAsia"/>
          <w:color w:val="auto"/>
          <w:sz w:val="28"/>
          <w:szCs w:val="28"/>
          <w:lang w:val="en-US" w:eastAsia="zh-CN"/>
        </w:rPr>
        <w:t>太和镇</w:t>
      </w:r>
      <w:r>
        <w:rPr>
          <w:rFonts w:hint="eastAsia"/>
          <w:color w:val="auto"/>
          <w:sz w:val="28"/>
          <w:szCs w:val="28"/>
        </w:rPr>
        <w:t>人民政府</w:t>
      </w:r>
      <w:r>
        <w:rPr>
          <w:color w:val="auto"/>
          <w:sz w:val="28"/>
          <w:szCs w:val="28"/>
        </w:rPr>
        <w:t>、</w:t>
      </w:r>
      <w:r>
        <w:rPr>
          <w:rFonts w:hint="eastAsia"/>
          <w:color w:val="auto"/>
          <w:sz w:val="28"/>
          <w:szCs w:val="28"/>
          <w:lang w:val="en-US" w:eastAsia="zh-CN"/>
        </w:rPr>
        <w:t>自来水供水单位</w:t>
      </w:r>
      <w:r>
        <w:rPr>
          <w:snapToGrid w:val="0"/>
          <w:color w:val="auto"/>
          <w:sz w:val="28"/>
          <w:szCs w:val="28"/>
        </w:rPr>
        <w:t>等相关单位负责人组成，主要职责：</w:t>
      </w:r>
    </w:p>
    <w:p>
      <w:pPr>
        <w:snapToGrid w:val="0"/>
        <w:ind w:firstLine="560"/>
        <w:rPr>
          <w:snapToGrid w:val="0"/>
          <w:color w:val="auto"/>
          <w:sz w:val="28"/>
          <w:szCs w:val="28"/>
        </w:rPr>
      </w:pPr>
      <w:r>
        <w:rPr>
          <w:rFonts w:hint="eastAsia"/>
          <w:snapToGrid w:val="0"/>
          <w:color w:val="auto"/>
          <w:sz w:val="28"/>
          <w:szCs w:val="28"/>
          <w:lang w:eastAsia="zh-CN"/>
        </w:rPr>
        <w:t>①</w:t>
      </w:r>
      <w:r>
        <w:rPr>
          <w:snapToGrid w:val="0"/>
          <w:color w:val="auto"/>
          <w:sz w:val="28"/>
          <w:szCs w:val="28"/>
        </w:rPr>
        <w:t>负责开展水源净化、备用水源以及污染物截留与处置等应急工程的建设工作；</w:t>
      </w:r>
    </w:p>
    <w:p>
      <w:pPr>
        <w:snapToGrid w:val="0"/>
        <w:ind w:firstLine="560"/>
        <w:rPr>
          <w:snapToGrid w:val="0"/>
          <w:color w:val="auto"/>
          <w:sz w:val="28"/>
          <w:szCs w:val="28"/>
        </w:rPr>
      </w:pPr>
      <w:r>
        <w:rPr>
          <w:rFonts w:hint="eastAsia"/>
          <w:snapToGrid w:val="0"/>
          <w:color w:val="auto"/>
          <w:sz w:val="28"/>
          <w:szCs w:val="28"/>
          <w:lang w:eastAsia="zh-CN"/>
        </w:rPr>
        <w:t>②</w:t>
      </w:r>
      <w:r>
        <w:rPr>
          <w:snapToGrid w:val="0"/>
          <w:color w:val="auto"/>
          <w:sz w:val="28"/>
          <w:szCs w:val="28"/>
        </w:rPr>
        <w:t>制订应急供水调度方案；</w:t>
      </w:r>
    </w:p>
    <w:p>
      <w:pPr>
        <w:snapToGrid w:val="0"/>
        <w:ind w:firstLine="560"/>
        <w:rPr>
          <w:snapToGrid w:val="0"/>
          <w:color w:val="auto"/>
          <w:sz w:val="28"/>
          <w:szCs w:val="28"/>
        </w:rPr>
      </w:pPr>
      <w:r>
        <w:rPr>
          <w:rFonts w:hint="eastAsia"/>
          <w:snapToGrid w:val="0"/>
          <w:color w:val="auto"/>
          <w:sz w:val="28"/>
          <w:szCs w:val="28"/>
          <w:lang w:eastAsia="zh-CN"/>
        </w:rPr>
        <w:t>③</w:t>
      </w:r>
      <w:r>
        <w:rPr>
          <w:snapToGrid w:val="0"/>
          <w:color w:val="auto"/>
          <w:sz w:val="28"/>
          <w:szCs w:val="28"/>
        </w:rPr>
        <w:t>按照应急处置方案的总体要求，做好应急供水调度，最大程度地减小事件对供水工程的影响。</w:t>
      </w:r>
    </w:p>
    <w:p>
      <w:pPr>
        <w:snapToGrid w:val="0"/>
        <w:ind w:firstLine="562"/>
        <w:rPr>
          <w:b/>
          <w:color w:val="auto"/>
          <w:sz w:val="28"/>
          <w:szCs w:val="28"/>
        </w:rPr>
      </w:pPr>
      <w:r>
        <w:rPr>
          <w:b/>
          <w:color w:val="auto"/>
          <w:sz w:val="28"/>
          <w:szCs w:val="28"/>
        </w:rPr>
        <w:t>（5）医学救援组</w:t>
      </w:r>
    </w:p>
    <w:p>
      <w:pPr>
        <w:snapToGrid w:val="0"/>
        <w:ind w:firstLine="560"/>
        <w:rPr>
          <w:snapToGrid w:val="0"/>
          <w:color w:val="auto"/>
          <w:sz w:val="28"/>
          <w:szCs w:val="28"/>
        </w:rPr>
      </w:pPr>
      <w:r>
        <w:rPr>
          <w:snapToGrid w:val="0"/>
          <w:color w:val="auto"/>
          <w:sz w:val="28"/>
          <w:szCs w:val="28"/>
        </w:rPr>
        <w:t>由区卫生健康局、</w:t>
      </w:r>
      <w:r>
        <w:rPr>
          <w:rFonts w:hint="eastAsia"/>
          <w:snapToGrid w:val="0"/>
          <w:color w:val="auto"/>
          <w:sz w:val="28"/>
          <w:szCs w:val="28"/>
        </w:rPr>
        <w:t>区应急管理局、</w:t>
      </w:r>
      <w:r>
        <w:rPr>
          <w:snapToGrid w:val="0"/>
          <w:color w:val="auto"/>
          <w:sz w:val="28"/>
          <w:szCs w:val="28"/>
        </w:rPr>
        <w:t>区市场监督管理局、</w:t>
      </w:r>
      <w:r>
        <w:rPr>
          <w:rFonts w:hint="eastAsia"/>
          <w:color w:val="auto"/>
          <w:sz w:val="28"/>
          <w:szCs w:val="28"/>
          <w:lang w:val="en-US" w:eastAsia="zh-CN"/>
        </w:rPr>
        <w:t>太和</w:t>
      </w:r>
      <w:r>
        <w:rPr>
          <w:rFonts w:hint="eastAsia"/>
          <w:color w:val="auto"/>
          <w:sz w:val="28"/>
          <w:szCs w:val="28"/>
        </w:rPr>
        <w:t>镇人民政府</w:t>
      </w:r>
      <w:r>
        <w:rPr>
          <w:snapToGrid w:val="0"/>
          <w:color w:val="auto"/>
          <w:sz w:val="28"/>
          <w:szCs w:val="28"/>
        </w:rPr>
        <w:t>等相关单位负责人组成，主要职责：</w:t>
      </w:r>
    </w:p>
    <w:p>
      <w:pPr>
        <w:snapToGrid w:val="0"/>
        <w:ind w:firstLine="560"/>
        <w:rPr>
          <w:snapToGrid w:val="0"/>
          <w:color w:val="auto"/>
          <w:sz w:val="28"/>
          <w:szCs w:val="28"/>
        </w:rPr>
      </w:pPr>
      <w:r>
        <w:rPr>
          <w:rFonts w:hint="eastAsia"/>
          <w:snapToGrid w:val="0"/>
          <w:color w:val="auto"/>
          <w:sz w:val="28"/>
          <w:szCs w:val="28"/>
          <w:lang w:eastAsia="zh-CN"/>
        </w:rPr>
        <w:t>①</w:t>
      </w:r>
      <w:r>
        <w:rPr>
          <w:snapToGrid w:val="0"/>
          <w:color w:val="auto"/>
          <w:sz w:val="28"/>
          <w:szCs w:val="28"/>
        </w:rPr>
        <w:t>组织开展伤、病人员医疗救治、心理辅导；</w:t>
      </w:r>
    </w:p>
    <w:p>
      <w:pPr>
        <w:snapToGrid w:val="0"/>
        <w:ind w:firstLine="560"/>
        <w:rPr>
          <w:snapToGrid w:val="0"/>
          <w:color w:val="auto"/>
          <w:sz w:val="28"/>
          <w:szCs w:val="28"/>
        </w:rPr>
      </w:pPr>
      <w:r>
        <w:rPr>
          <w:rFonts w:hint="eastAsia"/>
          <w:snapToGrid w:val="0"/>
          <w:color w:val="auto"/>
          <w:sz w:val="28"/>
          <w:szCs w:val="28"/>
          <w:lang w:eastAsia="zh-CN"/>
        </w:rPr>
        <w:t>②</w:t>
      </w:r>
      <w:r>
        <w:rPr>
          <w:snapToGrid w:val="0"/>
          <w:color w:val="auto"/>
          <w:sz w:val="28"/>
          <w:szCs w:val="28"/>
        </w:rPr>
        <w:t>提出保护公众健康的措施建议；</w:t>
      </w:r>
    </w:p>
    <w:p>
      <w:pPr>
        <w:snapToGrid w:val="0"/>
        <w:ind w:firstLine="560"/>
        <w:rPr>
          <w:snapToGrid w:val="0"/>
          <w:color w:val="auto"/>
          <w:sz w:val="28"/>
          <w:szCs w:val="28"/>
        </w:rPr>
      </w:pPr>
      <w:r>
        <w:rPr>
          <w:rFonts w:hint="eastAsia"/>
          <w:snapToGrid w:val="0"/>
          <w:color w:val="auto"/>
          <w:sz w:val="28"/>
          <w:szCs w:val="28"/>
          <w:lang w:eastAsia="zh-CN"/>
        </w:rPr>
        <w:t>③</w:t>
      </w:r>
      <w:r>
        <w:rPr>
          <w:snapToGrid w:val="0"/>
          <w:color w:val="auto"/>
          <w:sz w:val="28"/>
          <w:szCs w:val="28"/>
        </w:rPr>
        <w:t>禁止或限制受污染食品和饮用水的生产、加工、流通和食用，防范因</w:t>
      </w:r>
      <w:r>
        <w:rPr>
          <w:rFonts w:hint="eastAsia"/>
          <w:snapToGrid w:val="0"/>
          <w:color w:val="auto"/>
          <w:sz w:val="28"/>
          <w:szCs w:val="28"/>
          <w:lang w:eastAsia="zh-CN"/>
        </w:rPr>
        <w:t>突发生态环境事件</w:t>
      </w:r>
      <w:r>
        <w:rPr>
          <w:snapToGrid w:val="0"/>
          <w:color w:val="auto"/>
          <w:sz w:val="28"/>
          <w:szCs w:val="28"/>
        </w:rPr>
        <w:t>造成集体中毒等。</w:t>
      </w:r>
    </w:p>
    <w:p>
      <w:pPr>
        <w:snapToGrid w:val="0"/>
        <w:ind w:firstLine="562"/>
        <w:rPr>
          <w:b/>
          <w:snapToGrid w:val="0"/>
          <w:color w:val="auto"/>
          <w:sz w:val="28"/>
          <w:szCs w:val="28"/>
        </w:rPr>
      </w:pPr>
      <w:r>
        <w:rPr>
          <w:b/>
          <w:snapToGrid w:val="0"/>
          <w:color w:val="auto"/>
          <w:sz w:val="28"/>
          <w:szCs w:val="28"/>
        </w:rPr>
        <w:t>（6）应急保障组</w:t>
      </w:r>
    </w:p>
    <w:p>
      <w:pPr>
        <w:snapToGrid w:val="0"/>
        <w:ind w:firstLine="560"/>
        <w:rPr>
          <w:snapToGrid w:val="0"/>
          <w:color w:val="auto"/>
          <w:sz w:val="28"/>
          <w:szCs w:val="28"/>
        </w:rPr>
      </w:pPr>
      <w:r>
        <w:rPr>
          <w:snapToGrid w:val="0"/>
          <w:color w:val="auto"/>
          <w:sz w:val="28"/>
          <w:szCs w:val="28"/>
        </w:rPr>
        <w:t>由区发展和改革局、区工业和信息化局、区财政局、</w:t>
      </w:r>
      <w:r>
        <w:rPr>
          <w:rFonts w:hint="eastAsia"/>
          <w:snapToGrid w:val="0"/>
          <w:color w:val="auto"/>
          <w:sz w:val="28"/>
          <w:szCs w:val="28"/>
        </w:rPr>
        <w:t>区应急管理局、</w:t>
      </w:r>
      <w:r>
        <w:rPr>
          <w:snapToGrid w:val="0"/>
          <w:color w:val="auto"/>
          <w:sz w:val="28"/>
          <w:szCs w:val="28"/>
        </w:rPr>
        <w:t>区民政局、区住房和城乡建设局、清新供电局、</w:t>
      </w:r>
      <w:r>
        <w:rPr>
          <w:color w:val="auto"/>
          <w:sz w:val="28"/>
          <w:szCs w:val="28"/>
        </w:rPr>
        <w:t>太和</w:t>
      </w:r>
      <w:r>
        <w:rPr>
          <w:rFonts w:hint="eastAsia"/>
          <w:color w:val="auto"/>
          <w:sz w:val="28"/>
          <w:szCs w:val="28"/>
        </w:rPr>
        <w:t>镇人民政府</w:t>
      </w:r>
      <w:r>
        <w:rPr>
          <w:snapToGrid w:val="0"/>
          <w:color w:val="auto"/>
          <w:sz w:val="28"/>
          <w:szCs w:val="28"/>
        </w:rPr>
        <w:t>等相关单位负责人组成，主要职责：</w:t>
      </w:r>
    </w:p>
    <w:p>
      <w:pPr>
        <w:snapToGrid w:val="0"/>
        <w:ind w:firstLine="560"/>
        <w:rPr>
          <w:snapToGrid w:val="0"/>
          <w:color w:val="auto"/>
          <w:sz w:val="28"/>
          <w:szCs w:val="28"/>
        </w:rPr>
      </w:pPr>
      <w:r>
        <w:rPr>
          <w:rFonts w:hint="eastAsia"/>
          <w:snapToGrid w:val="0"/>
          <w:color w:val="auto"/>
          <w:sz w:val="28"/>
          <w:szCs w:val="28"/>
          <w:lang w:eastAsia="zh-CN"/>
        </w:rPr>
        <w:t>①</w:t>
      </w:r>
      <w:r>
        <w:rPr>
          <w:snapToGrid w:val="0"/>
          <w:color w:val="auto"/>
          <w:sz w:val="28"/>
          <w:szCs w:val="28"/>
        </w:rPr>
        <w:t>负责指导做好事件影响区域有关人员的紧急转移和临时安置工作；</w:t>
      </w:r>
    </w:p>
    <w:p>
      <w:pPr>
        <w:snapToGrid w:val="0"/>
        <w:ind w:firstLine="560"/>
        <w:rPr>
          <w:snapToGrid w:val="0"/>
          <w:color w:val="auto"/>
          <w:sz w:val="28"/>
          <w:szCs w:val="28"/>
        </w:rPr>
      </w:pPr>
      <w:r>
        <w:rPr>
          <w:rFonts w:hint="eastAsia"/>
          <w:snapToGrid w:val="0"/>
          <w:color w:val="auto"/>
          <w:sz w:val="28"/>
          <w:szCs w:val="28"/>
          <w:lang w:eastAsia="zh-CN"/>
        </w:rPr>
        <w:t>②</w:t>
      </w:r>
      <w:r>
        <w:rPr>
          <w:snapToGrid w:val="0"/>
          <w:color w:val="auto"/>
          <w:sz w:val="28"/>
          <w:szCs w:val="28"/>
        </w:rPr>
        <w:t>督促供水企业在应急期间采取各种应急处置措施，保证出厂水质达标，保障居民饮用水安全；</w:t>
      </w:r>
    </w:p>
    <w:p>
      <w:pPr>
        <w:snapToGrid w:val="0"/>
        <w:ind w:firstLine="560"/>
        <w:rPr>
          <w:snapToGrid w:val="0"/>
          <w:color w:val="auto"/>
          <w:sz w:val="28"/>
          <w:szCs w:val="28"/>
        </w:rPr>
      </w:pPr>
      <w:r>
        <w:rPr>
          <w:rFonts w:hint="eastAsia"/>
          <w:snapToGrid w:val="0"/>
          <w:color w:val="auto"/>
          <w:sz w:val="28"/>
          <w:szCs w:val="28"/>
          <w:lang w:eastAsia="zh-CN"/>
        </w:rPr>
        <w:t>③</w:t>
      </w:r>
      <w:r>
        <w:rPr>
          <w:snapToGrid w:val="0"/>
          <w:color w:val="auto"/>
          <w:sz w:val="28"/>
          <w:szCs w:val="28"/>
        </w:rPr>
        <w:t>负责统筹组织应对处置突发事件所需的应急装备、应急物资的保障工作。</w:t>
      </w:r>
    </w:p>
    <w:p>
      <w:pPr>
        <w:snapToGrid w:val="0"/>
        <w:ind w:firstLine="562"/>
        <w:rPr>
          <w:b/>
          <w:snapToGrid w:val="0"/>
          <w:color w:val="auto"/>
          <w:sz w:val="28"/>
          <w:szCs w:val="28"/>
        </w:rPr>
      </w:pPr>
      <w:r>
        <w:rPr>
          <w:b/>
          <w:snapToGrid w:val="0"/>
          <w:color w:val="auto"/>
          <w:sz w:val="28"/>
          <w:szCs w:val="28"/>
        </w:rPr>
        <w:t>（7）新闻宣传组</w:t>
      </w:r>
    </w:p>
    <w:p>
      <w:pPr>
        <w:snapToGrid w:val="0"/>
        <w:ind w:firstLine="560"/>
        <w:rPr>
          <w:snapToGrid w:val="0"/>
          <w:color w:val="auto"/>
          <w:sz w:val="28"/>
          <w:szCs w:val="28"/>
        </w:rPr>
      </w:pPr>
      <w:r>
        <w:rPr>
          <w:snapToGrid w:val="0"/>
          <w:color w:val="auto"/>
          <w:sz w:val="28"/>
          <w:szCs w:val="28"/>
        </w:rPr>
        <w:t>由区委宣传部、区文化广电旅游体育局、区司法局、市公安局清新分局、</w:t>
      </w:r>
      <w:r>
        <w:rPr>
          <w:rFonts w:hint="eastAsia"/>
          <w:snapToGrid w:val="0"/>
          <w:color w:val="auto"/>
          <w:sz w:val="28"/>
          <w:szCs w:val="28"/>
          <w:lang w:eastAsia="zh-CN"/>
        </w:rPr>
        <w:t>区融媒体中心（清新电视台）</w:t>
      </w:r>
      <w:r>
        <w:rPr>
          <w:rFonts w:hint="eastAsia"/>
          <w:snapToGrid w:val="0"/>
          <w:color w:val="auto"/>
          <w:sz w:val="28"/>
          <w:szCs w:val="28"/>
        </w:rPr>
        <w:t>、</w:t>
      </w:r>
      <w:r>
        <w:rPr>
          <w:color w:val="auto"/>
          <w:sz w:val="28"/>
          <w:szCs w:val="28"/>
        </w:rPr>
        <w:t>太和</w:t>
      </w:r>
      <w:r>
        <w:rPr>
          <w:rFonts w:hint="eastAsia"/>
          <w:color w:val="auto"/>
          <w:sz w:val="28"/>
          <w:szCs w:val="28"/>
        </w:rPr>
        <w:t>镇人民政府</w:t>
      </w:r>
      <w:r>
        <w:rPr>
          <w:snapToGrid w:val="0"/>
          <w:color w:val="auto"/>
          <w:sz w:val="28"/>
          <w:szCs w:val="28"/>
        </w:rPr>
        <w:t>等相关单位负责人组成，主要职责：</w:t>
      </w:r>
    </w:p>
    <w:p>
      <w:pPr>
        <w:snapToGrid w:val="0"/>
        <w:ind w:firstLine="560"/>
        <w:rPr>
          <w:snapToGrid w:val="0"/>
          <w:color w:val="auto"/>
          <w:sz w:val="28"/>
          <w:szCs w:val="28"/>
        </w:rPr>
      </w:pPr>
      <w:r>
        <w:rPr>
          <w:rFonts w:hint="eastAsia"/>
          <w:snapToGrid w:val="0"/>
          <w:color w:val="auto"/>
          <w:sz w:val="28"/>
          <w:szCs w:val="28"/>
          <w:lang w:eastAsia="zh-CN"/>
        </w:rPr>
        <w:t>①</w:t>
      </w:r>
      <w:r>
        <w:rPr>
          <w:rFonts w:hint="eastAsia" w:ascii="Times New Roman" w:hAnsi="Times New Roman" w:eastAsia="宋体" w:cs="Times New Roman"/>
          <w:snapToGrid w:val="0"/>
          <w:color w:val="auto"/>
          <w:sz w:val="28"/>
          <w:szCs w:val="28"/>
          <w:lang w:val="en-US" w:eastAsia="zh-CN"/>
        </w:rPr>
        <w:t>主动、及时、准确、客观地向社会发布突发生态环境事件和应对工作信息；</w:t>
      </w:r>
    </w:p>
    <w:p>
      <w:pPr>
        <w:snapToGrid w:val="0"/>
        <w:ind w:firstLine="560"/>
        <w:rPr>
          <w:snapToGrid w:val="0"/>
          <w:color w:val="auto"/>
          <w:sz w:val="28"/>
          <w:szCs w:val="28"/>
        </w:rPr>
      </w:pPr>
      <w:r>
        <w:rPr>
          <w:rFonts w:hint="eastAsia"/>
          <w:snapToGrid w:val="0"/>
          <w:color w:val="auto"/>
          <w:sz w:val="28"/>
          <w:szCs w:val="28"/>
          <w:lang w:eastAsia="zh-CN"/>
        </w:rPr>
        <w:t>②</w:t>
      </w:r>
      <w:r>
        <w:rPr>
          <w:snapToGrid w:val="0"/>
          <w:color w:val="auto"/>
          <w:sz w:val="28"/>
          <w:szCs w:val="28"/>
        </w:rPr>
        <w:t>回应社会关切问题，澄清不实信息，正确引导社会舆论。</w:t>
      </w:r>
    </w:p>
    <w:p>
      <w:pPr>
        <w:snapToGrid w:val="0"/>
        <w:ind w:firstLine="560"/>
        <w:rPr>
          <w:snapToGrid w:val="0"/>
          <w:color w:val="auto"/>
          <w:sz w:val="28"/>
          <w:szCs w:val="28"/>
        </w:rPr>
      </w:pPr>
      <w:r>
        <w:rPr>
          <w:snapToGrid w:val="0"/>
          <w:color w:val="auto"/>
          <w:sz w:val="28"/>
          <w:szCs w:val="28"/>
        </w:rPr>
        <w:t>应急工作组组成及职责见附件</w:t>
      </w:r>
      <w:r>
        <w:rPr>
          <w:rFonts w:hint="eastAsia"/>
          <w:snapToGrid w:val="0"/>
          <w:color w:val="auto"/>
          <w:sz w:val="28"/>
          <w:szCs w:val="28"/>
          <w:lang w:val="en-US" w:eastAsia="zh-CN"/>
        </w:rPr>
        <w:t>2</w:t>
      </w:r>
      <w:r>
        <w:rPr>
          <w:snapToGrid w:val="0"/>
          <w:color w:val="auto"/>
          <w:sz w:val="28"/>
          <w:szCs w:val="28"/>
        </w:rPr>
        <w:t>。</w:t>
      </w:r>
    </w:p>
    <w:p>
      <w:pPr>
        <w:pStyle w:val="2"/>
        <w:snapToGrid w:val="0"/>
        <w:jc w:val="both"/>
        <w:rPr>
          <w:color w:val="auto"/>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pPr>
    </w:p>
    <w:p>
      <w:pPr>
        <w:pStyle w:val="2"/>
        <w:snapToGrid w:val="0"/>
        <w:jc w:val="both"/>
        <w:rPr>
          <w:color w:val="auto"/>
          <w:szCs w:val="32"/>
        </w:rPr>
      </w:pPr>
      <w:bookmarkStart w:id="21" w:name="_Toc17581"/>
      <w:r>
        <w:rPr>
          <w:color w:val="auto"/>
          <w:szCs w:val="32"/>
        </w:rPr>
        <w:t>3 应急响应</w:t>
      </w:r>
      <w:bookmarkEnd w:id="21"/>
    </w:p>
    <w:p>
      <w:pPr>
        <w:pStyle w:val="3"/>
        <w:snapToGrid w:val="0"/>
        <w:rPr>
          <w:bCs w:val="0"/>
          <w:color w:val="auto"/>
        </w:rPr>
      </w:pPr>
      <w:bookmarkStart w:id="22" w:name="_Toc17824"/>
      <w:r>
        <w:rPr>
          <w:bCs w:val="0"/>
          <w:color w:val="auto"/>
        </w:rPr>
        <w:t>3.1 响应启动</w:t>
      </w:r>
      <w:bookmarkEnd w:id="22"/>
    </w:p>
    <w:p>
      <w:pPr>
        <w:snapToGrid w:val="0"/>
        <w:ind w:firstLine="560"/>
        <w:rPr>
          <w:color w:val="auto"/>
          <w:sz w:val="28"/>
          <w:szCs w:val="28"/>
        </w:rPr>
      </w:pPr>
      <w:r>
        <w:rPr>
          <w:color w:val="auto"/>
          <w:sz w:val="28"/>
          <w:szCs w:val="28"/>
        </w:rPr>
        <w:t>按照水源地</w:t>
      </w:r>
      <w:r>
        <w:rPr>
          <w:rFonts w:hint="eastAsia"/>
          <w:color w:val="auto"/>
          <w:sz w:val="28"/>
          <w:szCs w:val="28"/>
          <w:lang w:eastAsia="zh-CN"/>
        </w:rPr>
        <w:t>突发生态环境事件</w:t>
      </w:r>
      <w:r>
        <w:rPr>
          <w:color w:val="auto"/>
          <w:sz w:val="28"/>
          <w:szCs w:val="28"/>
        </w:rPr>
        <w:t>的危害程度、范围及其引发的次生、衍生灾害类别，有关单位要按照职责及相关应急预案启动应急响应，响应级别分为I级、II级、III级、IV级四个等级，应急响应坚持属地为主的原则。</w:t>
      </w:r>
    </w:p>
    <w:p>
      <w:pPr>
        <w:snapToGrid w:val="0"/>
        <w:ind w:firstLine="560"/>
        <w:rPr>
          <w:color w:val="auto"/>
          <w:sz w:val="28"/>
          <w:szCs w:val="28"/>
        </w:rPr>
      </w:pPr>
      <w:r>
        <w:rPr>
          <w:color w:val="auto"/>
          <w:sz w:val="28"/>
          <w:szCs w:val="28"/>
        </w:rPr>
        <w:t>（1）IV级响应</w:t>
      </w:r>
    </w:p>
    <w:p>
      <w:pPr>
        <w:snapToGrid w:val="0"/>
        <w:ind w:firstLine="560"/>
        <w:rPr>
          <w:color w:val="auto"/>
          <w:sz w:val="28"/>
          <w:szCs w:val="28"/>
        </w:rPr>
      </w:pPr>
      <w:r>
        <w:rPr>
          <w:color w:val="auto"/>
          <w:sz w:val="28"/>
          <w:szCs w:val="28"/>
        </w:rPr>
        <w:t>初判饮用水水源地发生一般</w:t>
      </w:r>
      <w:r>
        <w:rPr>
          <w:rFonts w:hint="eastAsia"/>
          <w:color w:val="auto"/>
          <w:sz w:val="28"/>
          <w:szCs w:val="28"/>
          <w:lang w:eastAsia="zh-CN"/>
        </w:rPr>
        <w:t>突发生态环境事件</w:t>
      </w:r>
      <w:r>
        <w:rPr>
          <w:color w:val="auto"/>
          <w:sz w:val="28"/>
          <w:szCs w:val="28"/>
        </w:rPr>
        <w:t>时，区应急指挥部办公室应立即组织专家分析研判，对</w:t>
      </w:r>
      <w:r>
        <w:rPr>
          <w:rFonts w:hint="eastAsia"/>
          <w:color w:val="auto"/>
          <w:sz w:val="28"/>
          <w:szCs w:val="28"/>
          <w:lang w:eastAsia="zh-CN"/>
        </w:rPr>
        <w:t>突发生态环境事件</w:t>
      </w:r>
      <w:r>
        <w:rPr>
          <w:color w:val="auto"/>
          <w:sz w:val="28"/>
          <w:szCs w:val="28"/>
        </w:rPr>
        <w:t>影响及其发展趋势进行综合评估，将情况上报区政府，由</w:t>
      </w:r>
      <w:r>
        <w:rPr>
          <w:rFonts w:hint="eastAsia"/>
          <w:color w:val="auto"/>
          <w:sz w:val="28"/>
          <w:szCs w:val="28"/>
          <w:lang w:val="en-US" w:eastAsia="zh-CN"/>
        </w:rPr>
        <w:t>区人民政府</w:t>
      </w:r>
      <w:r>
        <w:rPr>
          <w:color w:val="auto"/>
          <w:sz w:val="28"/>
          <w:szCs w:val="28"/>
        </w:rPr>
        <w:t>启动IV级应急响应，并及时上报市生态环境局。同时，区应急指挥部安排相应单位及人员前往现场，并成立区现场应急指挥部，由区现场应急指挥部组织部署各现场应急工作组参与应急响应，进行污染源排查、应急监测、现场处置、医疗救治、后勤保障等工作。</w:t>
      </w:r>
    </w:p>
    <w:p>
      <w:pPr>
        <w:snapToGrid w:val="0"/>
        <w:ind w:firstLine="560"/>
        <w:rPr>
          <w:color w:val="auto"/>
          <w:sz w:val="28"/>
          <w:szCs w:val="28"/>
        </w:rPr>
      </w:pPr>
      <w:r>
        <w:rPr>
          <w:color w:val="auto"/>
          <w:sz w:val="28"/>
          <w:szCs w:val="28"/>
        </w:rPr>
        <w:t>（2）I级、II级和III级响应</w:t>
      </w:r>
    </w:p>
    <w:p>
      <w:pPr>
        <w:bidi w:val="0"/>
        <w:rPr>
          <w:color w:val="auto"/>
        </w:rPr>
      </w:pPr>
      <w:r>
        <w:rPr>
          <w:color w:val="auto"/>
          <w:lang w:val="en-US" w:eastAsia="zh-CN"/>
        </w:rPr>
        <w:t>发生特别重大、重大、较大突发事件，</w:t>
      </w:r>
      <w:r>
        <w:rPr>
          <w:rFonts w:hint="eastAsia"/>
          <w:color w:val="auto"/>
          <w:lang w:val="en-US" w:eastAsia="zh-CN"/>
        </w:rPr>
        <w:t>清新</w:t>
      </w:r>
      <w:r>
        <w:rPr>
          <w:color w:val="auto"/>
          <w:lang w:val="en-US" w:eastAsia="zh-CN"/>
        </w:rPr>
        <w:t>区人民政府立即启动应急响应，</w:t>
      </w:r>
      <w:r>
        <w:rPr>
          <w:rFonts w:hint="eastAsia"/>
          <w:color w:val="auto"/>
          <w:lang w:val="en-US" w:eastAsia="zh-CN"/>
        </w:rPr>
        <w:t>清新</w:t>
      </w:r>
      <w:r>
        <w:rPr>
          <w:color w:val="auto"/>
          <w:lang w:val="en-US" w:eastAsia="zh-CN"/>
        </w:rPr>
        <w:t>区人民政府根据实际向清远市人民政府或市相关部门请求支援。</w:t>
      </w:r>
    </w:p>
    <w:p>
      <w:pPr>
        <w:bidi w:val="0"/>
        <w:rPr>
          <w:color w:val="auto"/>
          <w:szCs w:val="28"/>
        </w:rPr>
      </w:pPr>
      <w:r>
        <w:rPr>
          <w:color w:val="auto"/>
        </w:rPr>
        <w:t>初判饮用水水源地发生特别重大、重大、较大突发水环境污染事件时，区应急指挥部办公室应立即上报区政府，由区政府上报市政府，由市政府及上级相关政府部门组织专家分析研判，对</w:t>
      </w:r>
      <w:r>
        <w:rPr>
          <w:rFonts w:hint="eastAsia"/>
          <w:color w:val="auto"/>
          <w:lang w:eastAsia="zh-CN"/>
        </w:rPr>
        <w:t>突发生态环境事件</w:t>
      </w:r>
      <w:r>
        <w:rPr>
          <w:color w:val="auto"/>
        </w:rPr>
        <w:t>影响及其发展趋势进行综合评估，由上级部门启动相应级别的应急响应。</w:t>
      </w:r>
      <w:r>
        <w:rPr>
          <w:color w:val="auto"/>
          <w:szCs w:val="28"/>
        </w:rPr>
        <w:t>区现场应急指挥部转为协助上级应急指挥机构开展先期处置工作。对发生重大及以上或</w:t>
      </w:r>
      <w:r>
        <w:rPr>
          <w:rFonts w:hint="eastAsia"/>
          <w:color w:val="auto"/>
          <w:szCs w:val="28"/>
          <w:lang w:eastAsia="zh-CN"/>
        </w:rPr>
        <w:t>研判</w:t>
      </w:r>
      <w:r>
        <w:rPr>
          <w:color w:val="auto"/>
          <w:szCs w:val="28"/>
        </w:rPr>
        <w:t>可能造成重大人员伤亡的突发事件，区政府可越级向省政府报告。</w:t>
      </w:r>
    </w:p>
    <w:p>
      <w:pPr>
        <w:snapToGrid w:val="0"/>
        <w:ind w:firstLine="560"/>
        <w:rPr>
          <w:color w:val="auto"/>
          <w:sz w:val="28"/>
          <w:szCs w:val="28"/>
        </w:rPr>
      </w:pPr>
      <w:r>
        <w:rPr>
          <w:color w:val="auto"/>
          <w:sz w:val="28"/>
          <w:szCs w:val="28"/>
        </w:rPr>
        <w:t>水源地应急响应工作主要包括：信息收集和研判、预警、信息报告与通报、事态研判、应急监测、污染源排查与处置、应急处置、物资调集及应急设施启用、舆情监测与信息发布、响应终止等工作内容，应急响应流程图详见附件</w:t>
      </w:r>
      <w:r>
        <w:rPr>
          <w:rFonts w:hint="eastAsia"/>
          <w:color w:val="auto"/>
          <w:sz w:val="28"/>
          <w:szCs w:val="28"/>
          <w:lang w:val="en-US" w:eastAsia="zh-CN"/>
        </w:rPr>
        <w:t>3</w:t>
      </w:r>
      <w:r>
        <w:rPr>
          <w:color w:val="auto"/>
          <w:sz w:val="28"/>
          <w:szCs w:val="28"/>
        </w:rPr>
        <w:t>，水源地应急响应措施见附件</w:t>
      </w:r>
      <w:r>
        <w:rPr>
          <w:rFonts w:hint="eastAsia"/>
          <w:color w:val="auto"/>
          <w:sz w:val="28"/>
          <w:szCs w:val="28"/>
          <w:lang w:val="en-US" w:eastAsia="zh-CN"/>
        </w:rPr>
        <w:t>4和</w:t>
      </w:r>
      <w:r>
        <w:rPr>
          <w:color w:val="auto"/>
          <w:sz w:val="28"/>
          <w:szCs w:val="28"/>
        </w:rPr>
        <w:t>附件</w:t>
      </w:r>
      <w:r>
        <w:rPr>
          <w:rFonts w:hint="eastAsia"/>
          <w:color w:val="auto"/>
          <w:sz w:val="28"/>
          <w:szCs w:val="28"/>
          <w:lang w:val="en-US" w:eastAsia="zh-CN"/>
        </w:rPr>
        <w:t>5</w:t>
      </w:r>
      <w:r>
        <w:rPr>
          <w:color w:val="auto"/>
          <w:sz w:val="28"/>
          <w:szCs w:val="28"/>
        </w:rPr>
        <w:t>，相关污染物处理处置技术见附件</w:t>
      </w:r>
      <w:r>
        <w:rPr>
          <w:rFonts w:hint="eastAsia"/>
          <w:color w:val="auto"/>
          <w:sz w:val="28"/>
          <w:szCs w:val="28"/>
          <w:lang w:val="en-US" w:eastAsia="zh-CN"/>
        </w:rPr>
        <w:t>6</w:t>
      </w:r>
      <w:r>
        <w:rPr>
          <w:color w:val="auto"/>
          <w:sz w:val="28"/>
          <w:szCs w:val="28"/>
        </w:rPr>
        <w:t>、附件</w:t>
      </w:r>
      <w:r>
        <w:rPr>
          <w:rFonts w:hint="eastAsia"/>
          <w:color w:val="auto"/>
          <w:sz w:val="28"/>
          <w:szCs w:val="28"/>
          <w:lang w:val="en-US" w:eastAsia="zh-CN"/>
        </w:rPr>
        <w:t>7</w:t>
      </w:r>
      <w:r>
        <w:rPr>
          <w:color w:val="auto"/>
          <w:sz w:val="28"/>
          <w:szCs w:val="28"/>
        </w:rPr>
        <w:t>。</w:t>
      </w:r>
    </w:p>
    <w:p>
      <w:pPr>
        <w:pStyle w:val="3"/>
        <w:snapToGrid w:val="0"/>
        <w:rPr>
          <w:bCs w:val="0"/>
          <w:color w:val="auto"/>
        </w:rPr>
      </w:pPr>
      <w:bookmarkStart w:id="23" w:name="_Toc12323"/>
      <w:r>
        <w:rPr>
          <w:bCs w:val="0"/>
          <w:color w:val="auto"/>
        </w:rPr>
        <w:t>3.2 信息收集和研判</w:t>
      </w:r>
      <w:bookmarkEnd w:id="23"/>
    </w:p>
    <w:p>
      <w:pPr>
        <w:pStyle w:val="4"/>
        <w:snapToGrid w:val="0"/>
        <w:rPr>
          <w:rFonts w:hint="default" w:eastAsia="宋体"/>
          <w:color w:val="auto"/>
          <w:sz w:val="28"/>
          <w:szCs w:val="28"/>
          <w:lang w:val="en-US" w:eastAsia="zh-CN"/>
        </w:rPr>
      </w:pPr>
      <w:bookmarkStart w:id="24" w:name="_Toc24312"/>
      <w:r>
        <w:rPr>
          <w:color w:val="auto"/>
          <w:sz w:val="28"/>
          <w:szCs w:val="28"/>
        </w:rPr>
        <w:t xml:space="preserve">3.2.1 </w:t>
      </w:r>
      <w:r>
        <w:rPr>
          <w:rFonts w:hint="eastAsia"/>
          <w:color w:val="auto"/>
          <w:sz w:val="28"/>
          <w:szCs w:val="28"/>
          <w:lang w:val="en-US" w:eastAsia="zh-CN"/>
        </w:rPr>
        <w:t>信息来源</w:t>
      </w:r>
      <w:bookmarkEnd w:id="24"/>
    </w:p>
    <w:p>
      <w:pPr>
        <w:snapToGrid w:val="0"/>
        <w:ind w:firstLine="560"/>
        <w:rPr>
          <w:color w:val="auto"/>
          <w:sz w:val="28"/>
          <w:szCs w:val="28"/>
          <w:lang w:val="en-US" w:eastAsia="zh-CN"/>
        </w:rPr>
      </w:pPr>
      <w:r>
        <w:rPr>
          <w:color w:val="auto"/>
          <w:sz w:val="28"/>
          <w:szCs w:val="28"/>
        </w:rPr>
        <w:t>水源地</w:t>
      </w:r>
      <w:r>
        <w:rPr>
          <w:color w:val="auto"/>
          <w:sz w:val="28"/>
          <w:szCs w:val="28"/>
          <w:lang w:val="en-US" w:eastAsia="zh-CN"/>
        </w:rPr>
        <w:t>信息来源包括但不限于以下途径</w:t>
      </w:r>
      <w:r>
        <w:rPr>
          <w:rFonts w:hint="eastAsia"/>
          <w:color w:val="auto"/>
          <w:sz w:val="28"/>
          <w:szCs w:val="28"/>
          <w:lang w:val="en-US" w:eastAsia="zh-CN"/>
        </w:rPr>
        <w:t>：</w:t>
      </w:r>
      <w:r>
        <w:rPr>
          <w:color w:val="auto"/>
          <w:sz w:val="28"/>
          <w:szCs w:val="28"/>
          <w:lang w:val="en-US" w:eastAsia="zh-CN"/>
        </w:rPr>
        <w:t xml:space="preserve"> </w:t>
      </w:r>
    </w:p>
    <w:p>
      <w:pPr>
        <w:snapToGrid w:val="0"/>
        <w:ind w:left="0" w:leftChars="0" w:firstLine="560" w:firstLineChars="200"/>
        <w:rPr>
          <w:color w:val="auto"/>
          <w:sz w:val="28"/>
          <w:szCs w:val="28"/>
        </w:rPr>
      </w:pPr>
      <w:r>
        <w:rPr>
          <w:color w:val="auto"/>
          <w:sz w:val="28"/>
          <w:szCs w:val="28"/>
          <w:lang w:val="en-US" w:eastAsia="zh-CN"/>
        </w:rPr>
        <w:t>（1）</w:t>
      </w:r>
      <w:r>
        <w:rPr>
          <w:rFonts w:hint="eastAsia"/>
          <w:color w:val="auto"/>
          <w:sz w:val="28"/>
          <w:szCs w:val="28"/>
          <w:lang w:val="en-US" w:eastAsia="zh-CN"/>
        </w:rPr>
        <w:t>清远</w:t>
      </w:r>
      <w:r>
        <w:rPr>
          <w:color w:val="auto"/>
          <w:sz w:val="28"/>
          <w:szCs w:val="28"/>
        </w:rPr>
        <w:t>市生态环境局清新分局、区水利局、区卫生健康局、太和供水公司等部门</w:t>
      </w:r>
      <w:r>
        <w:rPr>
          <w:rFonts w:hint="eastAsia"/>
          <w:color w:val="auto"/>
          <w:sz w:val="28"/>
          <w:szCs w:val="28"/>
          <w:lang w:val="en-US" w:eastAsia="zh-CN"/>
        </w:rPr>
        <w:t>在水源地日常管理中，</w:t>
      </w:r>
      <w:r>
        <w:rPr>
          <w:color w:val="auto"/>
          <w:sz w:val="28"/>
          <w:szCs w:val="28"/>
          <w:lang w:val="en-US" w:eastAsia="zh-CN"/>
        </w:rPr>
        <w:t>可通过</w:t>
      </w:r>
      <w:r>
        <w:rPr>
          <w:rFonts w:hint="eastAsia"/>
          <w:color w:val="auto"/>
          <w:sz w:val="28"/>
          <w:szCs w:val="28"/>
          <w:lang w:val="en-US" w:eastAsia="zh-CN"/>
        </w:rPr>
        <w:t>滨江河</w:t>
      </w:r>
      <w:r>
        <w:rPr>
          <w:color w:val="auto"/>
          <w:sz w:val="28"/>
          <w:szCs w:val="28"/>
          <w:lang w:val="en-US" w:eastAsia="zh-CN"/>
        </w:rPr>
        <w:t xml:space="preserve">流域、水源地或供水单位开展的水质监督性监测（常规断面）、在线监测（常规和预警监控断面）等日常监管渠道获取水质异常信息，也可以通过水文气象、地质灾害、污染源排放等信息开展水质预测预警，获取水质异常信息。 </w:t>
      </w:r>
    </w:p>
    <w:p>
      <w:pPr>
        <w:snapToGrid w:val="0"/>
        <w:ind w:left="0" w:leftChars="0" w:firstLine="560" w:firstLineChars="200"/>
        <w:rPr>
          <w:color w:val="auto"/>
          <w:sz w:val="28"/>
          <w:szCs w:val="28"/>
        </w:rPr>
      </w:pPr>
      <w:r>
        <w:rPr>
          <w:color w:val="auto"/>
          <w:sz w:val="28"/>
          <w:szCs w:val="28"/>
          <w:lang w:val="en-US" w:eastAsia="zh-CN"/>
        </w:rPr>
        <w:t>（2）</w:t>
      </w:r>
      <w:r>
        <w:rPr>
          <w:rFonts w:hint="eastAsia"/>
          <w:color w:val="auto"/>
          <w:sz w:val="28"/>
          <w:szCs w:val="28"/>
          <w:lang w:val="en-US" w:eastAsia="zh-CN"/>
        </w:rPr>
        <w:t>清远</w:t>
      </w:r>
      <w:r>
        <w:rPr>
          <w:color w:val="auto"/>
          <w:sz w:val="28"/>
          <w:szCs w:val="28"/>
        </w:rPr>
        <w:t>市生态环境局清新分局</w:t>
      </w:r>
      <w:r>
        <w:rPr>
          <w:color w:val="auto"/>
          <w:sz w:val="28"/>
          <w:szCs w:val="28"/>
          <w:lang w:val="en-US" w:eastAsia="zh-CN"/>
        </w:rPr>
        <w:t>可通过水源地上游及周边主要风险源监控获取异常排放信息，也可通过</w:t>
      </w:r>
      <w:r>
        <w:rPr>
          <w:rFonts w:hint="eastAsia"/>
          <w:color w:val="auto"/>
          <w:sz w:val="28"/>
          <w:szCs w:val="28"/>
          <w:lang w:val="en-US" w:eastAsia="zh-CN"/>
        </w:rPr>
        <w:t>群众反映</w:t>
      </w:r>
      <w:r>
        <w:rPr>
          <w:color w:val="auto"/>
          <w:sz w:val="28"/>
          <w:szCs w:val="28"/>
          <w:lang w:val="en-US" w:eastAsia="zh-CN"/>
        </w:rPr>
        <w:t>、网络等途径获取</w:t>
      </w:r>
      <w:r>
        <w:rPr>
          <w:rFonts w:hint="eastAsia"/>
          <w:color w:val="auto"/>
          <w:sz w:val="28"/>
          <w:szCs w:val="28"/>
          <w:lang w:val="en-US" w:eastAsia="zh-CN"/>
        </w:rPr>
        <w:t>突发生态环境事件</w:t>
      </w:r>
      <w:r>
        <w:rPr>
          <w:color w:val="auto"/>
          <w:sz w:val="28"/>
          <w:szCs w:val="28"/>
          <w:lang w:val="en-US" w:eastAsia="zh-CN"/>
        </w:rPr>
        <w:t>信息；公安交通部门可通过交通事故报警获取流动源事故信息；水利部门可通过对</w:t>
      </w:r>
      <w:r>
        <w:rPr>
          <w:rFonts w:hint="eastAsia"/>
          <w:color w:val="auto"/>
          <w:sz w:val="28"/>
          <w:szCs w:val="28"/>
          <w:lang w:val="en-US" w:eastAsia="zh-CN"/>
        </w:rPr>
        <w:t>水源地</w:t>
      </w:r>
      <w:r>
        <w:rPr>
          <w:color w:val="auto"/>
          <w:sz w:val="28"/>
          <w:szCs w:val="28"/>
          <w:lang w:val="en-US" w:eastAsia="zh-CN"/>
        </w:rPr>
        <w:t xml:space="preserve">藻密度变化情况的监测，获取水华事件信息。 </w:t>
      </w:r>
    </w:p>
    <w:p>
      <w:pPr>
        <w:snapToGrid w:val="0"/>
        <w:ind w:left="0" w:leftChars="0" w:firstLine="560" w:firstLineChars="200"/>
        <w:rPr>
          <w:color w:val="auto"/>
          <w:sz w:val="28"/>
          <w:szCs w:val="28"/>
        </w:rPr>
      </w:pPr>
      <w:r>
        <w:rPr>
          <w:color w:val="auto"/>
          <w:sz w:val="28"/>
          <w:szCs w:val="28"/>
          <w:lang w:val="en-US" w:eastAsia="zh-CN"/>
        </w:rPr>
        <w:t>（3）通过本级人民政府不同部门之间、上下游相邻行政区域政府之间建立的信息收集与共享渠道，获取</w:t>
      </w:r>
      <w:r>
        <w:rPr>
          <w:rFonts w:hint="eastAsia"/>
          <w:color w:val="auto"/>
          <w:sz w:val="28"/>
          <w:szCs w:val="28"/>
          <w:lang w:val="en-US" w:eastAsia="zh-CN"/>
        </w:rPr>
        <w:t>突发生态环境事件</w:t>
      </w:r>
      <w:r>
        <w:rPr>
          <w:color w:val="auto"/>
          <w:sz w:val="28"/>
          <w:szCs w:val="28"/>
          <w:lang w:val="en-US" w:eastAsia="zh-CN"/>
        </w:rPr>
        <w:t>信息。</w:t>
      </w:r>
    </w:p>
    <w:p>
      <w:pPr>
        <w:pStyle w:val="4"/>
        <w:snapToGrid w:val="0"/>
        <w:rPr>
          <w:color w:val="auto"/>
          <w:sz w:val="28"/>
          <w:szCs w:val="28"/>
        </w:rPr>
      </w:pPr>
      <w:bookmarkStart w:id="25" w:name="_Toc9226"/>
      <w:r>
        <w:rPr>
          <w:color w:val="auto"/>
          <w:sz w:val="28"/>
          <w:szCs w:val="28"/>
        </w:rPr>
        <w:t>3.2.</w:t>
      </w:r>
      <w:r>
        <w:rPr>
          <w:rFonts w:hint="eastAsia"/>
          <w:color w:val="auto"/>
          <w:sz w:val="28"/>
          <w:szCs w:val="28"/>
          <w:lang w:val="en-US" w:eastAsia="zh-CN"/>
        </w:rPr>
        <w:t>2</w:t>
      </w:r>
      <w:r>
        <w:rPr>
          <w:color w:val="auto"/>
          <w:sz w:val="28"/>
          <w:szCs w:val="28"/>
        </w:rPr>
        <w:t xml:space="preserve"> 信息收集</w:t>
      </w:r>
      <w:bookmarkEnd w:id="25"/>
    </w:p>
    <w:p>
      <w:pPr>
        <w:snapToGrid w:val="0"/>
        <w:ind w:firstLine="560"/>
        <w:rPr>
          <w:color w:val="auto"/>
          <w:sz w:val="28"/>
          <w:szCs w:val="28"/>
        </w:rPr>
      </w:pPr>
      <w:r>
        <w:rPr>
          <w:color w:val="auto"/>
          <w:sz w:val="28"/>
          <w:szCs w:val="28"/>
        </w:rPr>
        <w:t>区应急指挥部有关成员单位等各相关部门要开展环境信息、自然灾害预警信息、常规环境监测数据的综合分析和风险评估工作。各相关部门按照各自职责收集和传递水源地</w:t>
      </w:r>
      <w:r>
        <w:rPr>
          <w:rFonts w:hint="eastAsia"/>
          <w:color w:val="auto"/>
          <w:sz w:val="28"/>
          <w:szCs w:val="28"/>
          <w:lang w:eastAsia="zh-CN"/>
        </w:rPr>
        <w:t>突发生态环境事件</w:t>
      </w:r>
      <w:r>
        <w:rPr>
          <w:color w:val="auto"/>
          <w:sz w:val="28"/>
          <w:szCs w:val="28"/>
        </w:rPr>
        <w:t>信息，并及时将相关信息通报区应急指挥部办公室。区应急指挥部根据事态发展，必要时，及时组织专家研究，提出意见报区政府。</w:t>
      </w:r>
    </w:p>
    <w:p>
      <w:pPr>
        <w:snapToGrid w:val="0"/>
        <w:ind w:firstLine="560"/>
        <w:rPr>
          <w:color w:val="auto"/>
          <w:sz w:val="28"/>
          <w:szCs w:val="28"/>
        </w:rPr>
      </w:pPr>
      <w:r>
        <w:rPr>
          <w:color w:val="auto"/>
          <w:sz w:val="28"/>
          <w:szCs w:val="28"/>
        </w:rPr>
        <w:t>（1）</w:t>
      </w:r>
      <w:r>
        <w:rPr>
          <w:rFonts w:hint="eastAsia"/>
          <w:color w:val="auto"/>
          <w:sz w:val="28"/>
          <w:szCs w:val="28"/>
          <w:lang w:val="en-US" w:eastAsia="zh-CN"/>
        </w:rPr>
        <w:t>清远</w:t>
      </w:r>
      <w:r>
        <w:rPr>
          <w:color w:val="auto"/>
          <w:sz w:val="28"/>
          <w:szCs w:val="28"/>
        </w:rPr>
        <w:t>市生态环境局清新分局、</w:t>
      </w:r>
      <w:r>
        <w:rPr>
          <w:rFonts w:hint="eastAsia"/>
          <w:color w:val="auto"/>
          <w:sz w:val="28"/>
          <w:szCs w:val="28"/>
          <w:lang w:val="en-US" w:eastAsia="zh-CN"/>
        </w:rPr>
        <w:t>清新</w:t>
      </w:r>
      <w:r>
        <w:rPr>
          <w:color w:val="auto"/>
          <w:sz w:val="28"/>
          <w:szCs w:val="28"/>
        </w:rPr>
        <w:t>区水利局负责水源地</w:t>
      </w:r>
      <w:r>
        <w:rPr>
          <w:rFonts w:hint="eastAsia"/>
          <w:color w:val="auto"/>
          <w:sz w:val="28"/>
          <w:szCs w:val="28"/>
          <w:lang w:eastAsia="zh-CN"/>
        </w:rPr>
        <w:t>突发生态环境事件</w:t>
      </w:r>
      <w:r>
        <w:rPr>
          <w:color w:val="auto"/>
          <w:sz w:val="28"/>
          <w:szCs w:val="28"/>
        </w:rPr>
        <w:t>信息的监控和传递工作。</w:t>
      </w:r>
    </w:p>
    <w:p>
      <w:pPr>
        <w:snapToGrid w:val="0"/>
        <w:ind w:firstLine="560"/>
        <w:rPr>
          <w:color w:val="auto"/>
          <w:sz w:val="28"/>
          <w:szCs w:val="28"/>
        </w:rPr>
      </w:pPr>
      <w:r>
        <w:rPr>
          <w:color w:val="auto"/>
          <w:sz w:val="28"/>
          <w:szCs w:val="28"/>
        </w:rPr>
        <w:t>（2）</w:t>
      </w:r>
      <w:r>
        <w:rPr>
          <w:rFonts w:hint="eastAsia"/>
          <w:color w:val="auto"/>
          <w:sz w:val="28"/>
          <w:szCs w:val="28"/>
          <w:lang w:val="en-US" w:eastAsia="zh-CN"/>
        </w:rPr>
        <w:t>清远</w:t>
      </w:r>
      <w:r>
        <w:rPr>
          <w:color w:val="auto"/>
          <w:sz w:val="28"/>
          <w:szCs w:val="28"/>
        </w:rPr>
        <w:t>市公安局清新分局、</w:t>
      </w:r>
      <w:r>
        <w:rPr>
          <w:rFonts w:hint="eastAsia"/>
          <w:color w:val="auto"/>
          <w:sz w:val="28"/>
          <w:szCs w:val="28"/>
          <w:lang w:val="en-US" w:eastAsia="zh-CN"/>
        </w:rPr>
        <w:t>清新</w:t>
      </w:r>
      <w:r>
        <w:rPr>
          <w:color w:val="auto"/>
          <w:sz w:val="28"/>
          <w:szCs w:val="28"/>
        </w:rPr>
        <w:t>区交通运输局负责交通事故引发水源地</w:t>
      </w:r>
      <w:r>
        <w:rPr>
          <w:rFonts w:hint="eastAsia"/>
          <w:color w:val="auto"/>
          <w:sz w:val="28"/>
          <w:szCs w:val="28"/>
          <w:lang w:eastAsia="zh-CN"/>
        </w:rPr>
        <w:t>突发生态环境事件</w:t>
      </w:r>
      <w:r>
        <w:rPr>
          <w:color w:val="auto"/>
          <w:sz w:val="28"/>
          <w:szCs w:val="28"/>
        </w:rPr>
        <w:t>信息的监控和传递工作。</w:t>
      </w:r>
    </w:p>
    <w:p>
      <w:pPr>
        <w:snapToGrid w:val="0"/>
        <w:ind w:firstLine="560"/>
        <w:rPr>
          <w:color w:val="auto"/>
          <w:sz w:val="28"/>
          <w:szCs w:val="28"/>
        </w:rPr>
      </w:pPr>
      <w:r>
        <w:rPr>
          <w:color w:val="auto"/>
          <w:sz w:val="28"/>
          <w:szCs w:val="28"/>
        </w:rPr>
        <w:t>（3）</w:t>
      </w:r>
      <w:r>
        <w:rPr>
          <w:rFonts w:hint="eastAsia"/>
          <w:color w:val="auto"/>
          <w:sz w:val="28"/>
          <w:szCs w:val="28"/>
          <w:lang w:val="en-US" w:eastAsia="zh-CN"/>
        </w:rPr>
        <w:t>清新</w:t>
      </w:r>
      <w:r>
        <w:rPr>
          <w:color w:val="auto"/>
          <w:sz w:val="28"/>
          <w:szCs w:val="28"/>
        </w:rPr>
        <w:t>区应急管理局、</w:t>
      </w:r>
      <w:r>
        <w:rPr>
          <w:rFonts w:hint="eastAsia"/>
          <w:color w:val="auto"/>
          <w:sz w:val="28"/>
          <w:szCs w:val="28"/>
          <w:lang w:val="en-US" w:eastAsia="zh-CN"/>
        </w:rPr>
        <w:t>清远</w:t>
      </w:r>
      <w:r>
        <w:rPr>
          <w:color w:val="auto"/>
          <w:sz w:val="28"/>
          <w:szCs w:val="28"/>
        </w:rPr>
        <w:t>市自然资源局清新分局负责生产安全事故、自然灾害引发水源地</w:t>
      </w:r>
      <w:r>
        <w:rPr>
          <w:rFonts w:hint="eastAsia"/>
          <w:color w:val="auto"/>
          <w:sz w:val="28"/>
          <w:szCs w:val="28"/>
          <w:lang w:eastAsia="zh-CN"/>
        </w:rPr>
        <w:t>突发生态环境事件</w:t>
      </w:r>
      <w:r>
        <w:rPr>
          <w:color w:val="auto"/>
          <w:sz w:val="28"/>
          <w:szCs w:val="28"/>
        </w:rPr>
        <w:t>信息的监控和传递工作。</w:t>
      </w:r>
    </w:p>
    <w:p>
      <w:pPr>
        <w:snapToGrid w:val="0"/>
        <w:ind w:firstLine="560"/>
        <w:rPr>
          <w:color w:val="auto"/>
          <w:sz w:val="28"/>
          <w:szCs w:val="28"/>
        </w:rPr>
      </w:pPr>
      <w:r>
        <w:rPr>
          <w:color w:val="auto"/>
          <w:sz w:val="28"/>
          <w:szCs w:val="28"/>
        </w:rPr>
        <w:t>（4）太和供水公司做好水源地取水口的日常巡查和监管，做好</w:t>
      </w:r>
      <w:r>
        <w:rPr>
          <w:rFonts w:hint="eastAsia"/>
          <w:color w:val="auto"/>
          <w:sz w:val="28"/>
          <w:szCs w:val="28"/>
          <w:lang w:eastAsia="zh-CN"/>
        </w:rPr>
        <w:t>突发生态环境事件</w:t>
      </w:r>
      <w:r>
        <w:rPr>
          <w:color w:val="auto"/>
          <w:sz w:val="28"/>
          <w:szCs w:val="28"/>
        </w:rPr>
        <w:t>信息的监控和传递工作。</w:t>
      </w:r>
    </w:p>
    <w:p>
      <w:pPr>
        <w:snapToGrid w:val="0"/>
        <w:ind w:firstLine="560"/>
        <w:rPr>
          <w:color w:val="auto"/>
          <w:sz w:val="28"/>
          <w:szCs w:val="28"/>
        </w:rPr>
      </w:pPr>
      <w:r>
        <w:rPr>
          <w:color w:val="auto"/>
          <w:sz w:val="28"/>
          <w:szCs w:val="28"/>
        </w:rPr>
        <w:t>（5）任何部门、单位或公民一旦发现水源地污染事故或接到污染事故报告后，应当立即</w:t>
      </w:r>
      <w:r>
        <w:rPr>
          <w:rFonts w:hint="eastAsia"/>
          <w:color w:val="auto"/>
          <w:sz w:val="28"/>
          <w:szCs w:val="28"/>
          <w:lang w:val="en-US" w:eastAsia="zh-CN"/>
        </w:rPr>
        <w:t>向生态环境部门反映</w:t>
      </w:r>
      <w:r>
        <w:rPr>
          <w:color w:val="auto"/>
          <w:sz w:val="28"/>
          <w:szCs w:val="28"/>
        </w:rPr>
        <w:t>。</w:t>
      </w:r>
    </w:p>
    <w:p>
      <w:pPr>
        <w:pStyle w:val="4"/>
        <w:snapToGrid w:val="0"/>
        <w:rPr>
          <w:color w:val="auto"/>
          <w:sz w:val="28"/>
          <w:szCs w:val="28"/>
        </w:rPr>
      </w:pPr>
      <w:bookmarkStart w:id="26" w:name="_Toc18960"/>
      <w:r>
        <w:rPr>
          <w:color w:val="auto"/>
          <w:sz w:val="28"/>
          <w:szCs w:val="28"/>
        </w:rPr>
        <w:t>3.2.</w:t>
      </w:r>
      <w:r>
        <w:rPr>
          <w:rFonts w:hint="eastAsia"/>
          <w:color w:val="auto"/>
          <w:sz w:val="28"/>
          <w:szCs w:val="28"/>
          <w:lang w:val="en-US" w:eastAsia="zh-CN"/>
        </w:rPr>
        <w:t>3</w:t>
      </w:r>
      <w:r>
        <w:rPr>
          <w:color w:val="auto"/>
          <w:sz w:val="28"/>
          <w:szCs w:val="28"/>
        </w:rPr>
        <w:t xml:space="preserve"> 信息研判和会商</w:t>
      </w:r>
      <w:bookmarkEnd w:id="26"/>
    </w:p>
    <w:p>
      <w:pPr>
        <w:snapToGrid w:val="0"/>
        <w:ind w:firstLine="560"/>
        <w:rPr>
          <w:color w:val="auto"/>
          <w:sz w:val="28"/>
          <w:szCs w:val="28"/>
        </w:rPr>
      </w:pPr>
      <w:r>
        <w:rPr>
          <w:color w:val="auto"/>
          <w:sz w:val="28"/>
          <w:szCs w:val="28"/>
        </w:rPr>
        <w:t>区应急指挥部办公室负责信息核实和研判工作，通过日常监管渠道首次发现风险源或水质异常或群众举报、责任单位报告等获取突发事件信息，应第一时间开展以下工作：</w:t>
      </w:r>
    </w:p>
    <w:p>
      <w:pPr>
        <w:snapToGrid w:val="0"/>
        <w:ind w:firstLine="560"/>
        <w:rPr>
          <w:color w:val="auto"/>
          <w:sz w:val="28"/>
          <w:szCs w:val="28"/>
        </w:rPr>
      </w:pPr>
      <w:r>
        <w:rPr>
          <w:color w:val="auto"/>
          <w:sz w:val="28"/>
          <w:szCs w:val="28"/>
        </w:rPr>
        <w:t>（1）核实信息的真实性；</w:t>
      </w:r>
    </w:p>
    <w:p>
      <w:pPr>
        <w:snapToGrid w:val="0"/>
        <w:ind w:firstLine="560"/>
        <w:rPr>
          <w:color w:val="auto"/>
          <w:sz w:val="28"/>
          <w:szCs w:val="28"/>
        </w:rPr>
      </w:pPr>
      <w:r>
        <w:rPr>
          <w:color w:val="auto"/>
          <w:sz w:val="28"/>
          <w:szCs w:val="28"/>
        </w:rPr>
        <w:t>（2）进一步收集信息，研判水质变化趋势；必要时，应根据预案情景和部门职责，及时通报有关部门共同开展信息收集工作；</w:t>
      </w:r>
    </w:p>
    <w:p>
      <w:pPr>
        <w:snapToGrid w:val="0"/>
        <w:ind w:firstLine="560"/>
        <w:rPr>
          <w:color w:val="auto"/>
          <w:sz w:val="28"/>
          <w:szCs w:val="28"/>
        </w:rPr>
      </w:pPr>
      <w:r>
        <w:rPr>
          <w:color w:val="auto"/>
          <w:sz w:val="28"/>
          <w:szCs w:val="28"/>
        </w:rPr>
        <w:t>（3）发现可能导致水源地</w:t>
      </w:r>
      <w:r>
        <w:rPr>
          <w:rFonts w:hint="eastAsia"/>
          <w:color w:val="auto"/>
          <w:sz w:val="28"/>
          <w:szCs w:val="28"/>
          <w:lang w:eastAsia="zh-CN"/>
        </w:rPr>
        <w:t>突发生态环境事件</w:t>
      </w:r>
      <w:r>
        <w:rPr>
          <w:color w:val="auto"/>
          <w:sz w:val="28"/>
          <w:szCs w:val="28"/>
        </w:rPr>
        <w:t>的信息时，应及时将有关信息报告区应急指挥部。</w:t>
      </w:r>
    </w:p>
    <w:p>
      <w:pPr>
        <w:snapToGrid w:val="0"/>
        <w:ind w:firstLine="560"/>
        <w:rPr>
          <w:color w:val="auto"/>
          <w:sz w:val="28"/>
          <w:szCs w:val="28"/>
        </w:rPr>
      </w:pPr>
      <w:r>
        <w:rPr>
          <w:color w:val="auto"/>
          <w:sz w:val="28"/>
          <w:szCs w:val="28"/>
        </w:rPr>
        <w:t>接到信息报告的区应急指挥部应立即组织有关部门及应急专家进行会商，对收集到的信息进行筛选、评估、分析，研判水质变化趋势，提出应对方案和建议，研究决定是否发布预警信息或启动应急预案；若判断可能对水源地水质造成影响，应根据水源地</w:t>
      </w:r>
      <w:r>
        <w:rPr>
          <w:rFonts w:hint="eastAsia"/>
          <w:color w:val="auto"/>
          <w:sz w:val="28"/>
          <w:szCs w:val="28"/>
          <w:lang w:eastAsia="zh-CN"/>
        </w:rPr>
        <w:t>突发生态环境事件</w:t>
      </w:r>
      <w:r>
        <w:rPr>
          <w:color w:val="auto"/>
          <w:sz w:val="28"/>
          <w:szCs w:val="28"/>
        </w:rPr>
        <w:t>类型选择有直接关系的部门和单位立即成立现场应急指挥部。</w:t>
      </w:r>
    </w:p>
    <w:p>
      <w:pPr>
        <w:snapToGrid w:val="0"/>
        <w:ind w:firstLine="560"/>
        <w:rPr>
          <w:color w:val="auto"/>
          <w:sz w:val="28"/>
          <w:szCs w:val="28"/>
        </w:rPr>
      </w:pPr>
      <w:r>
        <w:rPr>
          <w:color w:val="auto"/>
          <w:sz w:val="28"/>
          <w:szCs w:val="28"/>
        </w:rPr>
        <w:t>水源地</w:t>
      </w:r>
      <w:r>
        <w:rPr>
          <w:rFonts w:hint="eastAsia"/>
          <w:color w:val="auto"/>
          <w:sz w:val="28"/>
          <w:szCs w:val="28"/>
          <w:lang w:eastAsia="zh-CN"/>
        </w:rPr>
        <w:t>突发生态环境事件</w:t>
      </w:r>
      <w:r>
        <w:rPr>
          <w:color w:val="auto"/>
          <w:sz w:val="28"/>
          <w:szCs w:val="28"/>
        </w:rPr>
        <w:t>现场调查表及现场勘查图见附件</w:t>
      </w:r>
      <w:r>
        <w:rPr>
          <w:rFonts w:hint="eastAsia"/>
          <w:color w:val="auto"/>
          <w:sz w:val="28"/>
          <w:szCs w:val="28"/>
          <w:lang w:val="en-US" w:eastAsia="zh-CN"/>
        </w:rPr>
        <w:t>8</w:t>
      </w:r>
      <w:r>
        <w:rPr>
          <w:color w:val="auto"/>
          <w:sz w:val="28"/>
          <w:szCs w:val="28"/>
        </w:rPr>
        <w:t>、见附件</w:t>
      </w:r>
      <w:r>
        <w:rPr>
          <w:rFonts w:hint="eastAsia"/>
          <w:color w:val="auto"/>
          <w:sz w:val="28"/>
          <w:szCs w:val="28"/>
          <w:lang w:val="en-US" w:eastAsia="zh-CN"/>
        </w:rPr>
        <w:t>9</w:t>
      </w:r>
      <w:r>
        <w:rPr>
          <w:color w:val="auto"/>
          <w:sz w:val="28"/>
          <w:szCs w:val="28"/>
        </w:rPr>
        <w:t>。</w:t>
      </w:r>
    </w:p>
    <w:p>
      <w:pPr>
        <w:pStyle w:val="3"/>
        <w:snapToGrid w:val="0"/>
        <w:rPr>
          <w:bCs w:val="0"/>
          <w:color w:val="auto"/>
        </w:rPr>
      </w:pPr>
      <w:bookmarkStart w:id="27" w:name="_Toc31358"/>
      <w:r>
        <w:rPr>
          <w:bCs w:val="0"/>
          <w:color w:val="auto"/>
        </w:rPr>
        <w:t>3.3 预警</w:t>
      </w:r>
      <w:bookmarkEnd w:id="27"/>
    </w:p>
    <w:p>
      <w:pPr>
        <w:pStyle w:val="4"/>
        <w:snapToGrid w:val="0"/>
        <w:rPr>
          <w:color w:val="auto"/>
          <w:sz w:val="28"/>
          <w:szCs w:val="28"/>
        </w:rPr>
      </w:pPr>
      <w:bookmarkStart w:id="28" w:name="_Toc15142"/>
      <w:r>
        <w:rPr>
          <w:color w:val="auto"/>
          <w:sz w:val="28"/>
          <w:szCs w:val="28"/>
        </w:rPr>
        <w:t>3.3.1 预警分级</w:t>
      </w:r>
      <w:bookmarkEnd w:id="28"/>
    </w:p>
    <w:p>
      <w:pPr>
        <w:snapToGrid w:val="0"/>
        <w:ind w:firstLine="560"/>
        <w:rPr>
          <w:color w:val="auto"/>
          <w:sz w:val="28"/>
          <w:szCs w:val="28"/>
        </w:rPr>
      </w:pPr>
      <w:r>
        <w:rPr>
          <w:color w:val="auto"/>
          <w:sz w:val="28"/>
          <w:szCs w:val="28"/>
        </w:rPr>
        <w:t>依据水源地</w:t>
      </w:r>
      <w:r>
        <w:rPr>
          <w:rFonts w:hint="eastAsia"/>
          <w:color w:val="auto"/>
          <w:sz w:val="28"/>
          <w:szCs w:val="28"/>
          <w:lang w:eastAsia="zh-CN"/>
        </w:rPr>
        <w:t>突发生态环境事件</w:t>
      </w:r>
      <w:r>
        <w:rPr>
          <w:color w:val="auto"/>
          <w:sz w:val="28"/>
          <w:szCs w:val="28"/>
        </w:rPr>
        <w:t>即将造成的危害程度、发展情况和紧迫性等因素，由低到高划分为严重、特别严重</w:t>
      </w:r>
      <w:r>
        <w:rPr>
          <w:rFonts w:hint="eastAsia"/>
          <w:color w:val="auto"/>
          <w:sz w:val="28"/>
          <w:szCs w:val="28"/>
          <w:lang w:eastAsia="zh-CN"/>
        </w:rPr>
        <w:t>两个</w:t>
      </w:r>
      <w:r>
        <w:rPr>
          <w:color w:val="auto"/>
          <w:sz w:val="28"/>
          <w:szCs w:val="28"/>
        </w:rPr>
        <w:t>预警级别，并依次采用橙色和红色来加以表示。</w:t>
      </w:r>
    </w:p>
    <w:p>
      <w:pPr>
        <w:snapToGrid w:val="0"/>
        <w:ind w:firstLine="560"/>
        <w:rPr>
          <w:color w:val="auto"/>
          <w:sz w:val="28"/>
          <w:szCs w:val="28"/>
        </w:rPr>
      </w:pPr>
      <w:r>
        <w:rPr>
          <w:color w:val="auto"/>
          <w:sz w:val="28"/>
          <w:szCs w:val="28"/>
        </w:rPr>
        <w:t>当</w:t>
      </w:r>
      <w:r>
        <w:rPr>
          <w:rFonts w:hint="eastAsia"/>
          <w:color w:val="auto"/>
          <w:sz w:val="28"/>
          <w:szCs w:val="28"/>
          <w:lang w:eastAsia="zh-CN"/>
        </w:rPr>
        <w:t>突发生态环境事件</w:t>
      </w:r>
      <w:r>
        <w:rPr>
          <w:color w:val="auto"/>
          <w:sz w:val="28"/>
          <w:szCs w:val="28"/>
        </w:rPr>
        <w:t>排放的污染物迁移至水源地应急预案适用的地域范围，但水源保护区或其连接水体尚未受到污染，或是污染物已进入水源保护区上游连接水体，但专家咨询组研判认为对水源地水质影响可能较小、可能不影响取水时，为橙色预警；当污染物已进入（或出现在）水源保护区或其上游连接水体，且专家咨询组研判认为对水源地水质影响可能较大、可能影响取水时，为红色预警。预警级别由专家咨询组提出建议，区应急指挥部确定。</w:t>
      </w:r>
    </w:p>
    <w:p>
      <w:pPr>
        <w:snapToGrid w:val="0"/>
        <w:ind w:firstLine="560"/>
        <w:rPr>
          <w:color w:val="auto"/>
          <w:sz w:val="28"/>
          <w:szCs w:val="28"/>
        </w:rPr>
      </w:pPr>
      <w:r>
        <w:rPr>
          <w:color w:val="auto"/>
          <w:sz w:val="28"/>
          <w:szCs w:val="28"/>
        </w:rPr>
        <w:t>发布预警，即应采取预警行动或同时采取应急措施。一般发布橙色预警时，仅采取预警行动；发布红色预警时，在采取预警行动的同时，应启动应急措施。</w:t>
      </w:r>
    </w:p>
    <w:p>
      <w:pPr>
        <w:pStyle w:val="4"/>
        <w:snapToGrid w:val="0"/>
        <w:rPr>
          <w:color w:val="auto"/>
          <w:sz w:val="28"/>
          <w:szCs w:val="28"/>
        </w:rPr>
      </w:pPr>
      <w:bookmarkStart w:id="29" w:name="_Toc5897"/>
      <w:r>
        <w:rPr>
          <w:color w:val="auto"/>
          <w:sz w:val="28"/>
          <w:szCs w:val="28"/>
        </w:rPr>
        <w:t>3.3.2 预警启动条件</w:t>
      </w:r>
      <w:bookmarkEnd w:id="29"/>
    </w:p>
    <w:p>
      <w:pPr>
        <w:snapToGrid w:val="0"/>
        <w:ind w:firstLine="560"/>
        <w:rPr>
          <w:color w:val="auto"/>
          <w:sz w:val="28"/>
          <w:szCs w:val="28"/>
        </w:rPr>
      </w:pPr>
      <w:r>
        <w:rPr>
          <w:color w:val="auto"/>
          <w:sz w:val="28"/>
          <w:szCs w:val="28"/>
        </w:rPr>
        <w:t>根据信息获取方式，综合考虑突发事件类型、发生地点、污染物质种类和数量等情况，橙色、红色预警的启动条件如下：</w:t>
      </w:r>
    </w:p>
    <w:p>
      <w:pPr>
        <w:pStyle w:val="136"/>
        <w:snapToGrid w:val="0"/>
        <w:spacing w:before="0" w:beforeLines="0" w:after="0" w:afterLines="0"/>
        <w:rPr>
          <w:color w:val="auto"/>
          <w:sz w:val="28"/>
          <w:szCs w:val="28"/>
        </w:rPr>
      </w:pPr>
      <w:r>
        <w:rPr>
          <w:color w:val="auto"/>
          <w:sz w:val="28"/>
          <w:szCs w:val="28"/>
        </w:rPr>
        <w:t>3.3.2.1 红色预警</w:t>
      </w:r>
    </w:p>
    <w:p>
      <w:pPr>
        <w:snapToGrid w:val="0"/>
        <w:ind w:firstLine="560"/>
        <w:rPr>
          <w:color w:val="auto"/>
          <w:sz w:val="28"/>
          <w:szCs w:val="28"/>
        </w:rPr>
      </w:pPr>
      <w:r>
        <w:rPr>
          <w:color w:val="auto"/>
          <w:sz w:val="28"/>
          <w:szCs w:val="28"/>
        </w:rPr>
        <w:t>下列情形均可作为红色预警启动条件。</w:t>
      </w:r>
    </w:p>
    <w:p>
      <w:pPr>
        <w:snapToGrid w:val="0"/>
        <w:ind w:firstLine="560"/>
        <w:rPr>
          <w:color w:val="auto"/>
          <w:sz w:val="28"/>
          <w:szCs w:val="28"/>
        </w:rPr>
      </w:pPr>
      <w:r>
        <w:rPr>
          <w:color w:val="auto"/>
          <w:sz w:val="28"/>
          <w:szCs w:val="28"/>
        </w:rPr>
        <w:t>（1）通过信息报告发现，</w:t>
      </w:r>
      <w:r>
        <w:rPr>
          <w:color w:val="auto"/>
          <w:sz w:val="28"/>
          <w:szCs w:val="28"/>
          <w:lang w:val="en-US" w:eastAsia="zh-CN"/>
        </w:rPr>
        <w:t>在</w:t>
      </w:r>
      <w:r>
        <w:rPr>
          <w:rFonts w:hint="eastAsia"/>
          <w:color w:val="auto"/>
          <w:sz w:val="28"/>
          <w:szCs w:val="28"/>
          <w:lang w:val="en-US" w:eastAsia="zh-CN"/>
        </w:rPr>
        <w:t>水源地</w:t>
      </w:r>
      <w:r>
        <w:rPr>
          <w:color w:val="auto"/>
          <w:sz w:val="28"/>
          <w:szCs w:val="28"/>
          <w:lang w:val="en-US" w:eastAsia="zh-CN"/>
        </w:rPr>
        <w:t>一级、二级保护区内</w:t>
      </w:r>
      <w:r>
        <w:rPr>
          <w:color w:val="auto"/>
          <w:sz w:val="28"/>
          <w:szCs w:val="28"/>
        </w:rPr>
        <w:t>发生</w:t>
      </w:r>
      <w:r>
        <w:rPr>
          <w:rFonts w:hint="eastAsia"/>
          <w:color w:val="auto"/>
          <w:sz w:val="28"/>
          <w:szCs w:val="28"/>
          <w:lang w:eastAsia="zh-CN"/>
        </w:rPr>
        <w:t>突发生态环境事件</w:t>
      </w:r>
      <w:r>
        <w:rPr>
          <w:color w:val="auto"/>
          <w:sz w:val="28"/>
          <w:szCs w:val="28"/>
        </w:rPr>
        <w:t>。</w:t>
      </w:r>
    </w:p>
    <w:p>
      <w:pPr>
        <w:snapToGrid w:val="0"/>
        <w:ind w:left="0" w:leftChars="0" w:firstLine="560" w:firstLineChars="200"/>
        <w:rPr>
          <w:color w:val="auto"/>
          <w:sz w:val="28"/>
          <w:szCs w:val="28"/>
        </w:rPr>
      </w:pPr>
      <w:r>
        <w:rPr>
          <w:color w:val="auto"/>
          <w:sz w:val="28"/>
          <w:szCs w:val="28"/>
        </w:rPr>
        <w:t>（2）通过信息报告发现，</w:t>
      </w:r>
      <w:r>
        <w:rPr>
          <w:color w:val="auto"/>
          <w:sz w:val="28"/>
          <w:szCs w:val="28"/>
          <w:lang w:val="en-US" w:eastAsia="zh-CN"/>
        </w:rPr>
        <w:t>在二级保护区上游汇水区域4小时流程范围内发生固定源或流动源</w:t>
      </w:r>
      <w:r>
        <w:rPr>
          <w:rFonts w:hint="eastAsia"/>
          <w:color w:val="auto"/>
          <w:sz w:val="28"/>
          <w:szCs w:val="28"/>
          <w:lang w:val="en-US" w:eastAsia="zh-CN"/>
        </w:rPr>
        <w:t>突发生态环境事件</w:t>
      </w:r>
      <w:r>
        <w:rPr>
          <w:color w:val="auto"/>
          <w:sz w:val="28"/>
          <w:szCs w:val="28"/>
          <w:lang w:val="en-US" w:eastAsia="zh-CN"/>
        </w:rPr>
        <w:t>，或污染物已扩散至距水源保护区上游连接水体的直线距离不足100米的陆域或水域。</w:t>
      </w:r>
      <w:r>
        <w:rPr>
          <w:color w:val="auto"/>
          <w:sz w:val="28"/>
          <w:szCs w:val="28"/>
        </w:rPr>
        <w:t>在</w:t>
      </w:r>
      <w:r>
        <w:rPr>
          <w:rFonts w:hint="eastAsia"/>
          <w:color w:val="auto"/>
          <w:sz w:val="28"/>
          <w:szCs w:val="28"/>
        </w:rPr>
        <w:t>水源保护区</w:t>
      </w:r>
      <w:r>
        <w:rPr>
          <w:color w:val="auto"/>
          <w:sz w:val="28"/>
          <w:szCs w:val="28"/>
        </w:rPr>
        <w:t>汇水区域4小时流程范围内发生固定源或流动源</w:t>
      </w:r>
      <w:r>
        <w:rPr>
          <w:rFonts w:hint="eastAsia"/>
          <w:color w:val="auto"/>
          <w:sz w:val="28"/>
          <w:szCs w:val="28"/>
          <w:lang w:eastAsia="zh-CN"/>
        </w:rPr>
        <w:t>突发生态环境事件</w:t>
      </w:r>
      <w:r>
        <w:rPr>
          <w:color w:val="auto"/>
          <w:sz w:val="28"/>
          <w:szCs w:val="28"/>
        </w:rPr>
        <w:t>，或污染物已扩散至距水源保护区上游连接水体的直线距离不足100米的陆域或水域。</w:t>
      </w:r>
    </w:p>
    <w:p>
      <w:pPr>
        <w:snapToGrid w:val="0"/>
        <w:ind w:firstLine="560"/>
        <w:rPr>
          <w:color w:val="auto"/>
          <w:sz w:val="28"/>
          <w:szCs w:val="28"/>
        </w:rPr>
      </w:pPr>
      <w:r>
        <w:rPr>
          <w:color w:val="auto"/>
          <w:sz w:val="28"/>
          <w:szCs w:val="28"/>
        </w:rPr>
        <w:t>（3）通过信息报告发现，</w:t>
      </w:r>
      <w:r>
        <w:rPr>
          <w:color w:val="auto"/>
          <w:sz w:val="28"/>
          <w:szCs w:val="28"/>
          <w:lang w:val="en-US" w:eastAsia="zh-CN"/>
        </w:rPr>
        <w:t>在二级保护区上游汇水区域 8小时流程范围内发生固定源或流动源</w:t>
      </w:r>
      <w:r>
        <w:rPr>
          <w:rFonts w:hint="eastAsia"/>
          <w:color w:val="auto"/>
          <w:sz w:val="28"/>
          <w:szCs w:val="28"/>
          <w:lang w:val="en-US" w:eastAsia="zh-CN"/>
        </w:rPr>
        <w:t>突发生态环境事件</w:t>
      </w:r>
      <w:r>
        <w:rPr>
          <w:color w:val="auto"/>
          <w:sz w:val="28"/>
          <w:szCs w:val="28"/>
        </w:rPr>
        <w:t>，或污染物已扩散至距水源保护区上游连接水体的直线距离不足200米的陆域或水域，经水质监测和信息研判，判断污染物迁移至取水口位置时，相应指标浓度仍会超标的。</w:t>
      </w:r>
    </w:p>
    <w:p>
      <w:pPr>
        <w:snapToGrid w:val="0"/>
        <w:ind w:firstLine="560"/>
        <w:rPr>
          <w:color w:val="auto"/>
          <w:sz w:val="28"/>
          <w:szCs w:val="28"/>
        </w:rPr>
      </w:pPr>
      <w:r>
        <w:rPr>
          <w:color w:val="auto"/>
          <w:sz w:val="28"/>
          <w:szCs w:val="28"/>
        </w:rPr>
        <w:t>（4）通过监测发现，水源保护区或其上游连接水体理化指标异常。</w:t>
      </w:r>
    </w:p>
    <w:p>
      <w:pPr>
        <w:snapToGrid w:val="0"/>
        <w:ind w:firstLine="560"/>
        <w:rPr>
          <w:color w:val="auto"/>
          <w:sz w:val="28"/>
          <w:szCs w:val="28"/>
        </w:rPr>
      </w:pPr>
      <w:r>
        <w:rPr>
          <w:rFonts w:hint="eastAsia" w:ascii="宋体" w:hAnsi="宋体" w:cs="宋体"/>
          <w:color w:val="auto"/>
          <w:sz w:val="28"/>
          <w:szCs w:val="28"/>
        </w:rPr>
        <w:t>①</w:t>
      </w:r>
      <w:r>
        <w:rPr>
          <w:color w:val="auto"/>
          <w:sz w:val="28"/>
          <w:szCs w:val="28"/>
        </w:rPr>
        <w:t>在</w:t>
      </w:r>
      <w:r>
        <w:rPr>
          <w:rFonts w:hint="eastAsia"/>
          <w:color w:val="auto"/>
          <w:sz w:val="28"/>
          <w:szCs w:val="28"/>
        </w:rPr>
        <w:t>水源保护区</w:t>
      </w:r>
      <w:r>
        <w:rPr>
          <w:color w:val="auto"/>
          <w:sz w:val="28"/>
          <w:szCs w:val="28"/>
        </w:rPr>
        <w:t>内，出现自动站水质监测指标超标或生物综合毒性异常，经实验室监（复）测确认的；</w:t>
      </w:r>
    </w:p>
    <w:p>
      <w:pPr>
        <w:snapToGrid w:val="0"/>
        <w:ind w:firstLine="560"/>
        <w:rPr>
          <w:color w:val="auto"/>
          <w:sz w:val="28"/>
          <w:szCs w:val="28"/>
        </w:rPr>
      </w:pPr>
      <w:r>
        <w:rPr>
          <w:rFonts w:hint="eastAsia" w:ascii="宋体" w:hAnsi="宋体" w:cs="宋体"/>
          <w:color w:val="auto"/>
          <w:sz w:val="28"/>
          <w:szCs w:val="28"/>
        </w:rPr>
        <w:t>②</w:t>
      </w:r>
      <w:r>
        <w:rPr>
          <w:color w:val="auto"/>
          <w:sz w:val="28"/>
          <w:szCs w:val="28"/>
        </w:rPr>
        <w:t>在</w:t>
      </w:r>
      <w:r>
        <w:rPr>
          <w:rFonts w:hint="eastAsia"/>
          <w:color w:val="auto"/>
          <w:sz w:val="28"/>
          <w:szCs w:val="28"/>
        </w:rPr>
        <w:t>水源保护区</w:t>
      </w:r>
      <w:r>
        <w:rPr>
          <w:color w:val="auto"/>
          <w:sz w:val="28"/>
          <w:szCs w:val="28"/>
        </w:rPr>
        <w:t>上游8小时流程范围内，</w:t>
      </w:r>
      <w:r>
        <w:rPr>
          <w:rFonts w:hint="eastAsia"/>
          <w:color w:val="auto"/>
          <w:sz w:val="28"/>
          <w:szCs w:val="28"/>
        </w:rPr>
        <w:t>出现水质监测指标（水源地水质监测项目）或其他有毒有害物质、生物综合毒性指标异常</w:t>
      </w:r>
      <w:r>
        <w:rPr>
          <w:color w:val="auto"/>
          <w:sz w:val="28"/>
          <w:szCs w:val="28"/>
        </w:rPr>
        <w:t>，且污染物浓度持续升高的；</w:t>
      </w:r>
    </w:p>
    <w:p>
      <w:pPr>
        <w:snapToGrid w:val="0"/>
        <w:ind w:firstLine="560"/>
        <w:rPr>
          <w:color w:val="auto"/>
          <w:sz w:val="28"/>
          <w:szCs w:val="28"/>
        </w:rPr>
      </w:pPr>
      <w:r>
        <w:rPr>
          <w:rFonts w:hint="eastAsia" w:ascii="宋体" w:hAnsi="宋体" w:cs="宋体"/>
          <w:color w:val="auto"/>
          <w:sz w:val="28"/>
          <w:szCs w:val="28"/>
        </w:rPr>
        <w:t>③</w:t>
      </w:r>
      <w:r>
        <w:rPr>
          <w:color w:val="auto"/>
          <w:sz w:val="28"/>
          <w:szCs w:val="28"/>
        </w:rPr>
        <w:t>在</w:t>
      </w:r>
      <w:r>
        <w:rPr>
          <w:rFonts w:hint="eastAsia"/>
          <w:color w:val="auto"/>
          <w:sz w:val="28"/>
          <w:szCs w:val="28"/>
        </w:rPr>
        <w:t>水源保护区</w:t>
      </w:r>
      <w:r>
        <w:rPr>
          <w:color w:val="auto"/>
          <w:sz w:val="28"/>
          <w:szCs w:val="28"/>
        </w:rPr>
        <w:t>上游4小时流程范围内，</w:t>
      </w:r>
      <w:r>
        <w:rPr>
          <w:rFonts w:hint="eastAsia"/>
          <w:color w:val="auto"/>
          <w:sz w:val="28"/>
          <w:szCs w:val="28"/>
        </w:rPr>
        <w:t>出现水质监测指标（水源地水质监测项目）或其他有毒有害物质、生物综合毒性指标异常</w:t>
      </w:r>
      <w:r>
        <w:rPr>
          <w:color w:val="auto"/>
          <w:sz w:val="28"/>
          <w:szCs w:val="28"/>
        </w:rPr>
        <w:t>的。</w:t>
      </w:r>
    </w:p>
    <w:p>
      <w:pPr>
        <w:snapToGrid w:val="0"/>
        <w:ind w:firstLine="560"/>
        <w:rPr>
          <w:color w:val="auto"/>
          <w:sz w:val="28"/>
          <w:szCs w:val="28"/>
        </w:rPr>
      </w:pPr>
      <w:r>
        <w:rPr>
          <w:color w:val="auto"/>
          <w:sz w:val="28"/>
          <w:szCs w:val="28"/>
        </w:rPr>
        <w:t>（5）通过监测发现，</w:t>
      </w:r>
      <w:r>
        <w:rPr>
          <w:rFonts w:hint="eastAsia"/>
          <w:color w:val="auto"/>
          <w:sz w:val="28"/>
          <w:szCs w:val="28"/>
        </w:rPr>
        <w:t>水源保护区</w:t>
      </w:r>
      <w:r>
        <w:rPr>
          <w:color w:val="auto"/>
          <w:sz w:val="28"/>
          <w:szCs w:val="28"/>
        </w:rPr>
        <w:t>或其上游连接水体感官性状异常，即水体出现异常颜色或气味的。</w:t>
      </w:r>
    </w:p>
    <w:p>
      <w:pPr>
        <w:snapToGrid w:val="0"/>
        <w:ind w:firstLine="560"/>
        <w:rPr>
          <w:color w:val="auto"/>
          <w:sz w:val="28"/>
          <w:szCs w:val="28"/>
        </w:rPr>
      </w:pPr>
      <w:r>
        <w:rPr>
          <w:color w:val="auto"/>
          <w:sz w:val="28"/>
          <w:szCs w:val="28"/>
        </w:rPr>
        <w:t>（6）通过监测发现，</w:t>
      </w:r>
      <w:r>
        <w:rPr>
          <w:rFonts w:hint="eastAsia"/>
          <w:color w:val="auto"/>
          <w:sz w:val="28"/>
          <w:szCs w:val="28"/>
        </w:rPr>
        <w:t>水源保护区</w:t>
      </w:r>
      <w:r>
        <w:rPr>
          <w:color w:val="auto"/>
          <w:sz w:val="28"/>
          <w:szCs w:val="28"/>
        </w:rPr>
        <w:t>或其上游连接水体生态指标异常，即水面出现大面积死鱼或生物综合毒性异常并经实验室监测后确认的。</w:t>
      </w:r>
    </w:p>
    <w:p>
      <w:pPr>
        <w:pStyle w:val="136"/>
        <w:snapToGrid w:val="0"/>
        <w:spacing w:before="0" w:beforeLines="0" w:after="0" w:afterLines="0"/>
        <w:rPr>
          <w:color w:val="auto"/>
          <w:sz w:val="28"/>
          <w:szCs w:val="28"/>
        </w:rPr>
      </w:pPr>
      <w:r>
        <w:rPr>
          <w:color w:val="auto"/>
          <w:sz w:val="28"/>
          <w:szCs w:val="28"/>
        </w:rPr>
        <w:t>3.3.2.2 橙色预警</w:t>
      </w:r>
    </w:p>
    <w:p>
      <w:pPr>
        <w:snapToGrid w:val="0"/>
        <w:ind w:firstLine="560"/>
        <w:rPr>
          <w:color w:val="auto"/>
          <w:sz w:val="28"/>
          <w:szCs w:val="28"/>
        </w:rPr>
      </w:pPr>
      <w:r>
        <w:rPr>
          <w:color w:val="auto"/>
          <w:sz w:val="28"/>
          <w:szCs w:val="28"/>
        </w:rPr>
        <w:t>下列情形均可作为橙色预警启动条件。</w:t>
      </w:r>
    </w:p>
    <w:p>
      <w:pPr>
        <w:snapToGrid w:val="0"/>
        <w:ind w:firstLine="560"/>
        <w:rPr>
          <w:color w:val="auto"/>
          <w:sz w:val="28"/>
          <w:szCs w:val="28"/>
        </w:rPr>
      </w:pPr>
      <w:r>
        <w:rPr>
          <w:color w:val="auto"/>
          <w:sz w:val="28"/>
          <w:szCs w:val="28"/>
        </w:rPr>
        <w:t>（1）通过信息报告发现，在</w:t>
      </w:r>
      <w:r>
        <w:rPr>
          <w:rFonts w:hint="eastAsia"/>
          <w:color w:val="auto"/>
          <w:sz w:val="28"/>
          <w:szCs w:val="28"/>
        </w:rPr>
        <w:t>水源保护区</w:t>
      </w:r>
      <w:r>
        <w:rPr>
          <w:color w:val="auto"/>
          <w:sz w:val="28"/>
          <w:szCs w:val="28"/>
        </w:rPr>
        <w:t>内由于自然灾害引发水源地发生</w:t>
      </w:r>
      <w:r>
        <w:rPr>
          <w:rFonts w:hint="eastAsia"/>
          <w:color w:val="auto"/>
          <w:sz w:val="28"/>
          <w:szCs w:val="28"/>
          <w:lang w:eastAsia="zh-CN"/>
        </w:rPr>
        <w:t>突发生态环境事件</w:t>
      </w:r>
      <w:r>
        <w:rPr>
          <w:color w:val="auto"/>
          <w:sz w:val="28"/>
          <w:szCs w:val="28"/>
        </w:rPr>
        <w:t>。</w:t>
      </w:r>
    </w:p>
    <w:p>
      <w:pPr>
        <w:snapToGrid w:val="0"/>
        <w:ind w:firstLine="560"/>
        <w:rPr>
          <w:color w:val="auto"/>
          <w:sz w:val="28"/>
          <w:szCs w:val="28"/>
        </w:rPr>
      </w:pPr>
      <w:r>
        <w:rPr>
          <w:color w:val="auto"/>
          <w:sz w:val="28"/>
          <w:szCs w:val="28"/>
        </w:rPr>
        <w:t>（2）通过信息报告发现，在</w:t>
      </w:r>
      <w:r>
        <w:rPr>
          <w:rFonts w:hint="eastAsia"/>
          <w:color w:val="auto"/>
          <w:sz w:val="28"/>
          <w:szCs w:val="28"/>
        </w:rPr>
        <w:t>水源保护区</w:t>
      </w:r>
      <w:r>
        <w:rPr>
          <w:color w:val="auto"/>
          <w:sz w:val="28"/>
          <w:szCs w:val="28"/>
        </w:rPr>
        <w:t>上游汇水区域内8小时流程范围外发生固定源或流动源</w:t>
      </w:r>
      <w:r>
        <w:rPr>
          <w:rFonts w:hint="eastAsia"/>
          <w:color w:val="auto"/>
          <w:sz w:val="28"/>
          <w:szCs w:val="28"/>
          <w:lang w:eastAsia="zh-CN"/>
        </w:rPr>
        <w:t>突发生态环境事件</w:t>
      </w:r>
      <w:r>
        <w:rPr>
          <w:color w:val="auto"/>
          <w:sz w:val="28"/>
          <w:szCs w:val="28"/>
        </w:rPr>
        <w:t>，或污染物已扩散至距水源保护区上游连接水体的直线距离超过200米的陆域或水域。</w:t>
      </w:r>
    </w:p>
    <w:p>
      <w:pPr>
        <w:snapToGrid w:val="0"/>
        <w:ind w:firstLine="560"/>
        <w:rPr>
          <w:color w:val="auto"/>
          <w:sz w:val="28"/>
          <w:szCs w:val="28"/>
        </w:rPr>
      </w:pPr>
      <w:r>
        <w:rPr>
          <w:color w:val="auto"/>
          <w:sz w:val="28"/>
          <w:szCs w:val="28"/>
        </w:rPr>
        <w:t>（3）通过信息报告发现，在</w:t>
      </w:r>
      <w:r>
        <w:rPr>
          <w:rFonts w:hint="eastAsia"/>
          <w:color w:val="auto"/>
          <w:sz w:val="28"/>
          <w:szCs w:val="28"/>
        </w:rPr>
        <w:t>水源保护区</w:t>
      </w:r>
      <w:r>
        <w:rPr>
          <w:color w:val="auto"/>
          <w:sz w:val="28"/>
          <w:szCs w:val="28"/>
        </w:rPr>
        <w:t>上游汇水区域8小时流程范围内发生固定源或流动源</w:t>
      </w:r>
      <w:r>
        <w:rPr>
          <w:rFonts w:hint="eastAsia"/>
          <w:color w:val="auto"/>
          <w:sz w:val="28"/>
          <w:szCs w:val="28"/>
          <w:lang w:eastAsia="zh-CN"/>
        </w:rPr>
        <w:t>突发生态环境事件</w:t>
      </w:r>
      <w:r>
        <w:rPr>
          <w:color w:val="auto"/>
          <w:sz w:val="28"/>
          <w:szCs w:val="28"/>
        </w:rPr>
        <w:t>，或污染物已扩散至距水源保护区上游连接水体的直线距离不足200米的陆域或水域，经水质监测和信息研判，判断污染物迁移至取水口位置时，相应指标浓度均不超标的。</w:t>
      </w:r>
    </w:p>
    <w:p>
      <w:pPr>
        <w:snapToGrid w:val="0"/>
        <w:ind w:firstLine="560"/>
        <w:rPr>
          <w:color w:val="auto"/>
          <w:sz w:val="28"/>
          <w:szCs w:val="28"/>
        </w:rPr>
      </w:pPr>
      <w:r>
        <w:rPr>
          <w:color w:val="auto"/>
          <w:sz w:val="28"/>
          <w:szCs w:val="28"/>
        </w:rPr>
        <w:t>（4）其他不属于红色预警的水源地</w:t>
      </w:r>
      <w:r>
        <w:rPr>
          <w:rFonts w:hint="eastAsia"/>
          <w:color w:val="auto"/>
          <w:sz w:val="28"/>
          <w:szCs w:val="28"/>
          <w:lang w:eastAsia="zh-CN"/>
        </w:rPr>
        <w:t>突发生态环境事件</w:t>
      </w:r>
      <w:r>
        <w:rPr>
          <w:color w:val="auto"/>
          <w:sz w:val="28"/>
          <w:szCs w:val="28"/>
        </w:rPr>
        <w:t>，或经专家咨询组研判认为对水源地水质影响可能较小、可能不影响取水时的</w:t>
      </w:r>
      <w:r>
        <w:rPr>
          <w:rFonts w:hint="eastAsia"/>
          <w:color w:val="auto"/>
          <w:sz w:val="28"/>
          <w:szCs w:val="28"/>
          <w:lang w:eastAsia="zh-CN"/>
        </w:rPr>
        <w:t>突发生态环境事件</w:t>
      </w:r>
      <w:r>
        <w:rPr>
          <w:color w:val="auto"/>
          <w:sz w:val="28"/>
          <w:szCs w:val="28"/>
        </w:rPr>
        <w:t>等。</w:t>
      </w:r>
    </w:p>
    <w:p>
      <w:pPr>
        <w:pStyle w:val="4"/>
        <w:snapToGrid w:val="0"/>
        <w:rPr>
          <w:color w:val="auto"/>
          <w:sz w:val="28"/>
          <w:szCs w:val="28"/>
        </w:rPr>
      </w:pPr>
      <w:bookmarkStart w:id="30" w:name="_Toc11962"/>
      <w:r>
        <w:rPr>
          <w:color w:val="auto"/>
          <w:sz w:val="28"/>
          <w:szCs w:val="28"/>
        </w:rPr>
        <w:t>3.3.3 发布预警和预警级别调整</w:t>
      </w:r>
      <w:bookmarkEnd w:id="30"/>
    </w:p>
    <w:p>
      <w:pPr>
        <w:pStyle w:val="136"/>
        <w:snapToGrid w:val="0"/>
        <w:spacing w:before="0" w:beforeLines="0" w:after="0" w:afterLines="0"/>
        <w:rPr>
          <w:color w:val="auto"/>
          <w:sz w:val="28"/>
          <w:szCs w:val="28"/>
        </w:rPr>
      </w:pPr>
      <w:bookmarkStart w:id="31" w:name="_Toc516048686"/>
      <w:r>
        <w:rPr>
          <w:color w:val="auto"/>
          <w:sz w:val="28"/>
          <w:szCs w:val="28"/>
        </w:rPr>
        <w:t>3.3.3.1 预警发布流程</w:t>
      </w:r>
      <w:bookmarkEnd w:id="31"/>
    </w:p>
    <w:p>
      <w:pPr>
        <w:snapToGrid w:val="0"/>
        <w:ind w:firstLine="560"/>
        <w:rPr>
          <w:color w:val="auto"/>
          <w:sz w:val="28"/>
          <w:szCs w:val="28"/>
        </w:rPr>
      </w:pPr>
      <w:r>
        <w:rPr>
          <w:color w:val="auto"/>
          <w:sz w:val="28"/>
          <w:szCs w:val="28"/>
        </w:rPr>
        <w:t>区应急指挥部办公室研判可能发生</w:t>
      </w:r>
      <w:r>
        <w:rPr>
          <w:rFonts w:hint="eastAsia"/>
          <w:color w:val="auto"/>
          <w:sz w:val="28"/>
          <w:szCs w:val="28"/>
          <w:lang w:eastAsia="zh-CN"/>
        </w:rPr>
        <w:t>突发生态环境事件</w:t>
      </w:r>
      <w:r>
        <w:rPr>
          <w:color w:val="auto"/>
          <w:sz w:val="28"/>
          <w:szCs w:val="28"/>
        </w:rPr>
        <w:t>时，应当及时向区应急指挥部提出预警信息的发布建议，同时通报同级相关部门和单位。</w:t>
      </w:r>
    </w:p>
    <w:p>
      <w:pPr>
        <w:snapToGrid w:val="0"/>
        <w:ind w:firstLine="560"/>
        <w:rPr>
          <w:color w:val="auto"/>
          <w:sz w:val="28"/>
          <w:szCs w:val="28"/>
        </w:rPr>
      </w:pPr>
      <w:r>
        <w:rPr>
          <w:color w:val="auto"/>
          <w:sz w:val="28"/>
          <w:szCs w:val="28"/>
        </w:rPr>
        <w:t>（1）橙色预警由区应急指挥部发布。发布流程为：区应急指挥部办公室组织专家研判，初步判定为橙色预警启动条件时，由区应急指挥部办公室上报区应急指挥部，由区应急指挥部总指挥发布。</w:t>
      </w:r>
    </w:p>
    <w:p>
      <w:pPr>
        <w:snapToGrid w:val="0"/>
        <w:ind w:firstLine="560"/>
        <w:rPr>
          <w:color w:val="auto"/>
          <w:sz w:val="28"/>
          <w:szCs w:val="28"/>
        </w:rPr>
      </w:pPr>
      <w:r>
        <w:rPr>
          <w:color w:val="auto"/>
          <w:sz w:val="28"/>
          <w:szCs w:val="28"/>
        </w:rPr>
        <w:t>（2）红色预警由市相关指挥机构发布。发布流程为：区应急指挥部办公室组织专家研判，初步判定为红色预警启动条件时，由区应急指挥部办公室上报区应急指挥部，同时上报区政府与市生态环境局，由市生态环境局协调市相关指挥机构发布。</w:t>
      </w:r>
    </w:p>
    <w:p>
      <w:pPr>
        <w:pStyle w:val="136"/>
        <w:snapToGrid w:val="0"/>
        <w:spacing w:before="0" w:beforeLines="0" w:after="0" w:afterLines="0"/>
        <w:rPr>
          <w:color w:val="auto"/>
          <w:sz w:val="28"/>
          <w:szCs w:val="28"/>
        </w:rPr>
      </w:pPr>
      <w:r>
        <w:rPr>
          <w:color w:val="auto"/>
          <w:sz w:val="28"/>
          <w:szCs w:val="28"/>
        </w:rPr>
        <w:t>3.3.3.2 预警发布内容</w:t>
      </w:r>
    </w:p>
    <w:p>
      <w:pPr>
        <w:snapToGrid w:val="0"/>
        <w:ind w:firstLine="560"/>
        <w:rPr>
          <w:color w:val="auto"/>
          <w:sz w:val="28"/>
          <w:szCs w:val="28"/>
        </w:rPr>
      </w:pPr>
      <w:r>
        <w:rPr>
          <w:color w:val="auto"/>
          <w:sz w:val="28"/>
          <w:szCs w:val="28"/>
        </w:rPr>
        <w:t>预警信息发布内容主要包括事件类别、预警级别、可能影响的范围、警示事项、事态发展、应采取的措施和发布机关等。</w:t>
      </w:r>
    </w:p>
    <w:p>
      <w:pPr>
        <w:pStyle w:val="136"/>
        <w:snapToGrid w:val="0"/>
        <w:spacing w:before="0" w:beforeLines="0" w:after="0" w:afterLines="0"/>
        <w:rPr>
          <w:color w:val="auto"/>
          <w:sz w:val="28"/>
          <w:szCs w:val="28"/>
        </w:rPr>
      </w:pPr>
      <w:r>
        <w:rPr>
          <w:color w:val="auto"/>
          <w:sz w:val="28"/>
          <w:szCs w:val="28"/>
        </w:rPr>
        <w:t>3.3.3.3 预警发布渠道</w:t>
      </w:r>
    </w:p>
    <w:p>
      <w:pPr>
        <w:snapToGrid w:val="0"/>
        <w:ind w:firstLine="560"/>
        <w:rPr>
          <w:color w:val="auto"/>
          <w:sz w:val="28"/>
          <w:szCs w:val="28"/>
        </w:rPr>
      </w:pPr>
      <w:r>
        <w:rPr>
          <w:color w:val="auto"/>
          <w:sz w:val="28"/>
          <w:szCs w:val="28"/>
        </w:rPr>
        <w:t>预警信息发布可充分利用广播、电视、互联网、手机短信、微信、微博、警报器等手段和媒介，及时、准确地将预警信息传播给可能受影响的相关地区和人员。</w:t>
      </w:r>
    </w:p>
    <w:p>
      <w:pPr>
        <w:snapToGrid w:val="0"/>
        <w:ind w:firstLine="560"/>
        <w:rPr>
          <w:color w:val="auto"/>
          <w:sz w:val="28"/>
          <w:szCs w:val="28"/>
        </w:rPr>
      </w:pPr>
      <w:r>
        <w:rPr>
          <w:color w:val="auto"/>
          <w:sz w:val="28"/>
          <w:szCs w:val="28"/>
        </w:rPr>
        <w:t>橙色预警信息可选择通过以下途径发布：</w:t>
      </w:r>
    </w:p>
    <w:p>
      <w:pPr>
        <w:snapToGrid w:val="0"/>
        <w:ind w:firstLine="560"/>
        <w:rPr>
          <w:color w:val="auto"/>
          <w:sz w:val="28"/>
          <w:szCs w:val="28"/>
        </w:rPr>
      </w:pPr>
      <w:r>
        <w:rPr>
          <w:color w:val="auto"/>
          <w:sz w:val="28"/>
          <w:szCs w:val="28"/>
        </w:rPr>
        <w:t>（1）通过已建立的区环境应急工作网络，以文件传真等方式向相关部门和相关区政府发布预警信息。</w:t>
      </w:r>
    </w:p>
    <w:p>
      <w:pPr>
        <w:snapToGrid w:val="0"/>
        <w:ind w:firstLine="560"/>
        <w:rPr>
          <w:color w:val="auto"/>
          <w:sz w:val="28"/>
          <w:szCs w:val="28"/>
        </w:rPr>
      </w:pPr>
      <w:r>
        <w:rPr>
          <w:color w:val="auto"/>
          <w:sz w:val="28"/>
          <w:szCs w:val="28"/>
        </w:rPr>
        <w:t>（2）通过</w:t>
      </w:r>
      <w:r>
        <w:rPr>
          <w:rFonts w:hint="eastAsia"/>
          <w:color w:val="auto"/>
          <w:sz w:val="28"/>
          <w:szCs w:val="28"/>
          <w:lang w:val="en-US" w:eastAsia="zh-CN"/>
        </w:rPr>
        <w:t>清新</w:t>
      </w:r>
      <w:r>
        <w:rPr>
          <w:color w:val="auto"/>
          <w:sz w:val="28"/>
          <w:szCs w:val="28"/>
        </w:rPr>
        <w:t>区政府或</w:t>
      </w:r>
      <w:r>
        <w:rPr>
          <w:rFonts w:hint="eastAsia"/>
          <w:color w:val="auto"/>
          <w:sz w:val="28"/>
          <w:szCs w:val="28"/>
          <w:lang w:val="en-US" w:eastAsia="zh-CN"/>
        </w:rPr>
        <w:t>清远市</w:t>
      </w:r>
      <w:r>
        <w:rPr>
          <w:color w:val="auto"/>
          <w:sz w:val="28"/>
          <w:szCs w:val="28"/>
        </w:rPr>
        <w:t>生态环境局清新分局门户网站、微博、移动客户端等发布预警信息。</w:t>
      </w:r>
    </w:p>
    <w:p>
      <w:pPr>
        <w:snapToGrid w:val="0"/>
        <w:ind w:firstLine="560"/>
        <w:rPr>
          <w:color w:val="auto"/>
          <w:sz w:val="28"/>
          <w:szCs w:val="28"/>
        </w:rPr>
      </w:pPr>
      <w:r>
        <w:rPr>
          <w:color w:val="auto"/>
          <w:sz w:val="28"/>
          <w:szCs w:val="28"/>
        </w:rPr>
        <w:t>（3）提供应急预警的新闻稿，通过广播、电视、报纸和互联网等媒体发布预警信息。</w:t>
      </w:r>
    </w:p>
    <w:p>
      <w:pPr>
        <w:snapToGrid w:val="0"/>
        <w:ind w:firstLine="560"/>
        <w:rPr>
          <w:color w:val="auto"/>
          <w:sz w:val="28"/>
          <w:szCs w:val="28"/>
        </w:rPr>
      </w:pPr>
      <w:r>
        <w:rPr>
          <w:color w:val="auto"/>
          <w:sz w:val="28"/>
          <w:szCs w:val="28"/>
        </w:rPr>
        <w:t>（4）由</w:t>
      </w:r>
      <w:r>
        <w:rPr>
          <w:rFonts w:hint="eastAsia"/>
          <w:color w:val="auto"/>
          <w:sz w:val="28"/>
          <w:szCs w:val="28"/>
          <w:lang w:val="en-US" w:eastAsia="zh-CN"/>
        </w:rPr>
        <w:t>清新</w:t>
      </w:r>
      <w:r>
        <w:rPr>
          <w:color w:val="auto"/>
          <w:sz w:val="28"/>
          <w:szCs w:val="28"/>
        </w:rPr>
        <w:t>区政府按照有关规定组织协调电信运营企业发送预警信息。</w:t>
      </w:r>
    </w:p>
    <w:p>
      <w:pPr>
        <w:pStyle w:val="136"/>
        <w:snapToGrid w:val="0"/>
        <w:spacing w:before="0" w:beforeLines="0" w:after="0" w:afterLines="0"/>
        <w:rPr>
          <w:color w:val="auto"/>
          <w:sz w:val="28"/>
          <w:szCs w:val="28"/>
        </w:rPr>
      </w:pPr>
      <w:r>
        <w:rPr>
          <w:color w:val="auto"/>
          <w:sz w:val="28"/>
          <w:szCs w:val="28"/>
        </w:rPr>
        <w:t>3.3.3.4 预警级别调整</w:t>
      </w:r>
    </w:p>
    <w:p>
      <w:pPr>
        <w:snapToGrid w:val="0"/>
        <w:ind w:firstLine="560"/>
        <w:rPr>
          <w:color w:val="auto"/>
          <w:sz w:val="28"/>
          <w:szCs w:val="28"/>
        </w:rPr>
      </w:pPr>
      <w:r>
        <w:rPr>
          <w:color w:val="auto"/>
          <w:sz w:val="28"/>
          <w:szCs w:val="28"/>
        </w:rPr>
        <w:t>预警信息发布后，可根据事态发展、采取措施的效果和专家预警建议，适时调整预警级别并再次发布。</w:t>
      </w:r>
    </w:p>
    <w:p>
      <w:pPr>
        <w:pStyle w:val="4"/>
        <w:snapToGrid w:val="0"/>
        <w:rPr>
          <w:color w:val="auto"/>
          <w:sz w:val="28"/>
          <w:szCs w:val="28"/>
        </w:rPr>
      </w:pPr>
      <w:bookmarkStart w:id="32" w:name="_Toc5831"/>
      <w:r>
        <w:rPr>
          <w:color w:val="auto"/>
          <w:sz w:val="28"/>
          <w:szCs w:val="28"/>
        </w:rPr>
        <w:t>3.3.4 预警行动</w:t>
      </w:r>
      <w:bookmarkEnd w:id="32"/>
    </w:p>
    <w:p>
      <w:pPr>
        <w:snapToGrid w:val="0"/>
        <w:ind w:firstLine="560"/>
        <w:rPr>
          <w:color w:val="auto"/>
          <w:sz w:val="28"/>
          <w:szCs w:val="28"/>
        </w:rPr>
      </w:pPr>
      <w:r>
        <w:rPr>
          <w:color w:val="auto"/>
          <w:sz w:val="28"/>
          <w:szCs w:val="28"/>
        </w:rPr>
        <w:t>预警信息发布后，区应急指挥部成员单位应视事件情况和可能产生的影响，采取以下预警行动。一般情况下，发布</w:t>
      </w:r>
      <w:r>
        <w:rPr>
          <w:rFonts w:hint="eastAsia"/>
          <w:color w:val="auto"/>
          <w:sz w:val="28"/>
          <w:szCs w:val="28"/>
        </w:rPr>
        <w:t>红</w:t>
      </w:r>
      <w:r>
        <w:rPr>
          <w:color w:val="auto"/>
          <w:sz w:val="28"/>
          <w:szCs w:val="28"/>
        </w:rPr>
        <w:t>色预警时，区应急指挥部的总指挥应当到达现场，组织开展应急响应工作。</w:t>
      </w:r>
    </w:p>
    <w:p>
      <w:pPr>
        <w:snapToGrid w:val="0"/>
        <w:ind w:firstLine="560"/>
        <w:rPr>
          <w:color w:val="auto"/>
          <w:sz w:val="28"/>
          <w:szCs w:val="28"/>
        </w:rPr>
      </w:pPr>
      <w:r>
        <w:rPr>
          <w:color w:val="auto"/>
          <w:sz w:val="28"/>
          <w:szCs w:val="28"/>
        </w:rPr>
        <w:t>预警行动包含但不仅限于以下内容：</w:t>
      </w:r>
    </w:p>
    <w:p>
      <w:pPr>
        <w:snapToGrid w:val="0"/>
        <w:ind w:firstLine="560"/>
        <w:rPr>
          <w:color w:val="auto"/>
          <w:sz w:val="28"/>
          <w:szCs w:val="28"/>
        </w:rPr>
      </w:pPr>
      <w:r>
        <w:rPr>
          <w:color w:val="auto"/>
          <w:sz w:val="28"/>
          <w:szCs w:val="28"/>
        </w:rPr>
        <w:t>（1）下达启动水源地应急预案的命令。</w:t>
      </w:r>
    </w:p>
    <w:p>
      <w:pPr>
        <w:snapToGrid w:val="0"/>
        <w:ind w:firstLine="560"/>
        <w:rPr>
          <w:color w:val="auto"/>
          <w:sz w:val="28"/>
          <w:szCs w:val="28"/>
        </w:rPr>
      </w:pPr>
      <w:r>
        <w:rPr>
          <w:color w:val="auto"/>
          <w:sz w:val="28"/>
          <w:szCs w:val="28"/>
        </w:rPr>
        <w:t>（2）通知区现场应急指挥部中的有关单位和人员做好应急准备，进入待命状态，必要时到达现场开展相关工作。</w:t>
      </w:r>
    </w:p>
    <w:p>
      <w:pPr>
        <w:snapToGrid w:val="0"/>
        <w:ind w:firstLine="560"/>
        <w:rPr>
          <w:color w:val="auto"/>
          <w:sz w:val="28"/>
          <w:szCs w:val="28"/>
        </w:rPr>
      </w:pPr>
      <w:r>
        <w:rPr>
          <w:color w:val="auto"/>
          <w:sz w:val="28"/>
          <w:szCs w:val="28"/>
        </w:rPr>
        <w:t>（3）启动工程预警调度体系，控制或关闭受污染的连接水体的涵闸、泵站，做好相关准备工作。</w:t>
      </w:r>
    </w:p>
    <w:p>
      <w:pPr>
        <w:snapToGrid w:val="0"/>
        <w:ind w:firstLine="560"/>
        <w:rPr>
          <w:color w:val="auto"/>
          <w:sz w:val="28"/>
          <w:szCs w:val="28"/>
        </w:rPr>
      </w:pPr>
      <w:r>
        <w:rPr>
          <w:color w:val="auto"/>
          <w:sz w:val="28"/>
          <w:szCs w:val="28"/>
        </w:rPr>
        <w:t>（4）通知水源地对应的供水单位进入待命状态，</w:t>
      </w:r>
      <w:r>
        <w:rPr>
          <w:color w:val="auto"/>
          <w:sz w:val="28"/>
          <w:szCs w:val="28"/>
          <w:lang w:val="en-US" w:eastAsia="zh-CN"/>
        </w:rPr>
        <w:t>做好停止取水、深度处理、低压供水或启动备用水源等准备</w:t>
      </w:r>
      <w:r>
        <w:rPr>
          <w:color w:val="auto"/>
          <w:sz w:val="28"/>
          <w:szCs w:val="28"/>
        </w:rPr>
        <w:t>，发动群众储备饮用水。</w:t>
      </w:r>
    </w:p>
    <w:p>
      <w:pPr>
        <w:snapToGrid w:val="0"/>
        <w:ind w:firstLine="560"/>
        <w:rPr>
          <w:color w:val="auto"/>
          <w:sz w:val="28"/>
          <w:szCs w:val="28"/>
        </w:rPr>
      </w:pPr>
      <w:r>
        <w:rPr>
          <w:color w:val="auto"/>
          <w:sz w:val="28"/>
          <w:szCs w:val="28"/>
        </w:rPr>
        <w:t>（5）加强信息监控，核实</w:t>
      </w:r>
      <w:r>
        <w:rPr>
          <w:rFonts w:hint="eastAsia"/>
          <w:color w:val="auto"/>
          <w:sz w:val="28"/>
          <w:szCs w:val="28"/>
          <w:lang w:eastAsia="zh-CN"/>
        </w:rPr>
        <w:t>突发生态环境事件</w:t>
      </w:r>
      <w:r>
        <w:rPr>
          <w:color w:val="auto"/>
          <w:sz w:val="28"/>
          <w:szCs w:val="28"/>
        </w:rPr>
        <w:t>污染来源、进入水体的污染物种类、总量和污染扩散范围等信息。</w:t>
      </w:r>
    </w:p>
    <w:p>
      <w:pPr>
        <w:snapToGrid w:val="0"/>
        <w:ind w:firstLine="560"/>
        <w:rPr>
          <w:color w:val="auto"/>
          <w:sz w:val="28"/>
          <w:szCs w:val="28"/>
        </w:rPr>
      </w:pPr>
      <w:r>
        <w:rPr>
          <w:color w:val="auto"/>
          <w:sz w:val="28"/>
          <w:szCs w:val="28"/>
        </w:rPr>
        <w:t>（6）开展应急监测或做好应急监测准备。</w:t>
      </w:r>
    </w:p>
    <w:p>
      <w:pPr>
        <w:snapToGrid w:val="0"/>
        <w:ind w:firstLine="560"/>
        <w:rPr>
          <w:color w:val="auto"/>
          <w:sz w:val="28"/>
          <w:szCs w:val="28"/>
        </w:rPr>
      </w:pPr>
      <w:r>
        <w:rPr>
          <w:color w:val="auto"/>
          <w:sz w:val="28"/>
          <w:szCs w:val="28"/>
        </w:rPr>
        <w:t>（7）做好事件信息上报和通报。</w:t>
      </w:r>
    </w:p>
    <w:p>
      <w:pPr>
        <w:snapToGrid w:val="0"/>
        <w:ind w:firstLine="560"/>
        <w:rPr>
          <w:color w:val="auto"/>
          <w:sz w:val="28"/>
          <w:szCs w:val="28"/>
        </w:rPr>
      </w:pPr>
      <w:r>
        <w:rPr>
          <w:color w:val="auto"/>
          <w:sz w:val="28"/>
          <w:szCs w:val="28"/>
        </w:rPr>
        <w:t>（8）调集所需应急物资和设备，做好应急保障。</w:t>
      </w:r>
    </w:p>
    <w:p>
      <w:pPr>
        <w:snapToGrid w:val="0"/>
        <w:ind w:firstLine="560"/>
        <w:rPr>
          <w:color w:val="auto"/>
          <w:sz w:val="28"/>
          <w:szCs w:val="28"/>
        </w:rPr>
      </w:pPr>
      <w:r>
        <w:rPr>
          <w:color w:val="auto"/>
          <w:sz w:val="28"/>
          <w:szCs w:val="28"/>
        </w:rPr>
        <w:t>（9）在危险区域设置提示或警告标志。</w:t>
      </w:r>
    </w:p>
    <w:p>
      <w:pPr>
        <w:snapToGrid w:val="0"/>
        <w:ind w:firstLine="560"/>
        <w:rPr>
          <w:color w:val="auto"/>
          <w:sz w:val="28"/>
          <w:szCs w:val="28"/>
        </w:rPr>
      </w:pPr>
      <w:r>
        <w:rPr>
          <w:color w:val="auto"/>
          <w:sz w:val="28"/>
          <w:szCs w:val="28"/>
        </w:rPr>
        <w:t>（10）必要时，及时通过媒体向公众发布信息。</w:t>
      </w:r>
    </w:p>
    <w:p>
      <w:pPr>
        <w:snapToGrid w:val="0"/>
        <w:ind w:firstLine="560"/>
        <w:rPr>
          <w:color w:val="auto"/>
          <w:sz w:val="28"/>
          <w:szCs w:val="28"/>
        </w:rPr>
      </w:pPr>
      <w:r>
        <w:rPr>
          <w:color w:val="auto"/>
          <w:sz w:val="28"/>
          <w:szCs w:val="28"/>
        </w:rPr>
        <w:t>（11）加强舆情监测、引导和应对工作。</w:t>
      </w:r>
    </w:p>
    <w:p>
      <w:pPr>
        <w:pStyle w:val="4"/>
        <w:snapToGrid w:val="0"/>
        <w:rPr>
          <w:color w:val="auto"/>
          <w:sz w:val="28"/>
          <w:szCs w:val="28"/>
        </w:rPr>
      </w:pPr>
      <w:bookmarkStart w:id="33" w:name="_Toc32176"/>
      <w:r>
        <w:rPr>
          <w:color w:val="auto"/>
          <w:sz w:val="28"/>
          <w:szCs w:val="28"/>
        </w:rPr>
        <w:t>3.3.5 预警解除</w:t>
      </w:r>
      <w:bookmarkEnd w:id="33"/>
    </w:p>
    <w:p>
      <w:pPr>
        <w:snapToGrid w:val="0"/>
        <w:ind w:firstLine="560"/>
        <w:rPr>
          <w:color w:val="auto"/>
          <w:sz w:val="28"/>
          <w:szCs w:val="28"/>
        </w:rPr>
      </w:pPr>
      <w:r>
        <w:rPr>
          <w:color w:val="auto"/>
          <w:sz w:val="28"/>
          <w:szCs w:val="28"/>
        </w:rPr>
        <w:t>当有事实证明不可能发生水源地</w:t>
      </w:r>
      <w:r>
        <w:rPr>
          <w:rFonts w:hint="eastAsia"/>
          <w:color w:val="auto"/>
          <w:sz w:val="28"/>
          <w:szCs w:val="28"/>
          <w:lang w:eastAsia="zh-CN"/>
        </w:rPr>
        <w:t>突发生态环境事件</w:t>
      </w:r>
      <w:r>
        <w:rPr>
          <w:color w:val="auto"/>
          <w:sz w:val="28"/>
          <w:szCs w:val="28"/>
        </w:rPr>
        <w:t>或者判断危险已经解除的，由区应急指挥部宣布解除预警，终止已经采取的有关行动和措施。</w:t>
      </w:r>
    </w:p>
    <w:p>
      <w:pPr>
        <w:pStyle w:val="3"/>
        <w:snapToGrid w:val="0"/>
        <w:rPr>
          <w:bCs w:val="0"/>
          <w:color w:val="auto"/>
        </w:rPr>
      </w:pPr>
      <w:bookmarkStart w:id="34" w:name="_Toc9849"/>
      <w:r>
        <w:rPr>
          <w:bCs w:val="0"/>
          <w:color w:val="auto"/>
        </w:rPr>
        <w:t>3.4 信息报告与通报</w:t>
      </w:r>
      <w:bookmarkEnd w:id="34"/>
    </w:p>
    <w:p>
      <w:pPr>
        <w:snapToGrid w:val="0"/>
        <w:ind w:firstLine="560"/>
        <w:rPr>
          <w:color w:val="auto"/>
          <w:sz w:val="28"/>
          <w:szCs w:val="28"/>
        </w:rPr>
      </w:pPr>
      <w:r>
        <w:rPr>
          <w:color w:val="auto"/>
          <w:sz w:val="28"/>
          <w:szCs w:val="28"/>
        </w:rPr>
        <w:t>区应急指挥部办公室设立24小时应急值班室，随时接报水源地</w:t>
      </w:r>
      <w:r>
        <w:rPr>
          <w:rFonts w:hint="eastAsia"/>
          <w:color w:val="auto"/>
          <w:sz w:val="28"/>
          <w:szCs w:val="28"/>
          <w:lang w:eastAsia="zh-CN"/>
        </w:rPr>
        <w:t>突发生态环境事件</w:t>
      </w:r>
      <w:r>
        <w:rPr>
          <w:color w:val="auto"/>
          <w:sz w:val="28"/>
          <w:szCs w:val="28"/>
        </w:rPr>
        <w:t>信息，及时做好下情上报，上情下达。</w:t>
      </w:r>
    </w:p>
    <w:p>
      <w:pPr>
        <w:pStyle w:val="4"/>
        <w:snapToGrid w:val="0"/>
        <w:rPr>
          <w:color w:val="auto"/>
          <w:sz w:val="28"/>
          <w:szCs w:val="28"/>
        </w:rPr>
      </w:pPr>
      <w:bookmarkStart w:id="35" w:name="_Toc9092"/>
      <w:r>
        <w:rPr>
          <w:color w:val="auto"/>
          <w:sz w:val="28"/>
          <w:szCs w:val="28"/>
        </w:rPr>
        <w:t>3.4.1 信息报告程序</w:t>
      </w:r>
      <w:bookmarkEnd w:id="35"/>
    </w:p>
    <w:p>
      <w:pPr>
        <w:snapToGrid w:val="0"/>
        <w:ind w:firstLine="560"/>
        <w:rPr>
          <w:color w:val="auto"/>
          <w:sz w:val="28"/>
          <w:szCs w:val="28"/>
        </w:rPr>
      </w:pPr>
      <w:r>
        <w:rPr>
          <w:color w:val="auto"/>
          <w:sz w:val="28"/>
          <w:szCs w:val="28"/>
        </w:rPr>
        <w:t>（1）发现已经造成或可能造成水源地污染的有关人员和责任单位，应按照有关规定立即向区应急指挥部及生态环境等部门报告。</w:t>
      </w:r>
    </w:p>
    <w:p>
      <w:pPr>
        <w:snapToGrid w:val="0"/>
        <w:ind w:firstLine="560"/>
        <w:rPr>
          <w:color w:val="auto"/>
          <w:sz w:val="28"/>
          <w:szCs w:val="28"/>
        </w:rPr>
      </w:pPr>
      <w:r>
        <w:rPr>
          <w:color w:val="auto"/>
          <w:sz w:val="28"/>
          <w:szCs w:val="28"/>
        </w:rPr>
        <w:t>（2）事发地镇政府在发现或得知水源地</w:t>
      </w:r>
      <w:r>
        <w:rPr>
          <w:rFonts w:hint="eastAsia"/>
          <w:color w:val="auto"/>
          <w:sz w:val="28"/>
          <w:szCs w:val="28"/>
          <w:lang w:eastAsia="zh-CN"/>
        </w:rPr>
        <w:t>突发生态环境事件</w:t>
      </w:r>
      <w:r>
        <w:rPr>
          <w:color w:val="auto"/>
          <w:sz w:val="28"/>
          <w:szCs w:val="28"/>
        </w:rPr>
        <w:t>信息后，应立即进行核实，了解有关情况。经过核实后，第一时间向</w:t>
      </w:r>
      <w:r>
        <w:rPr>
          <w:rFonts w:hint="eastAsia"/>
          <w:color w:val="auto"/>
          <w:sz w:val="28"/>
          <w:szCs w:val="28"/>
          <w:lang w:val="en-US" w:eastAsia="zh-CN"/>
        </w:rPr>
        <w:t>清远</w:t>
      </w:r>
      <w:r>
        <w:rPr>
          <w:color w:val="auto"/>
          <w:sz w:val="28"/>
          <w:szCs w:val="28"/>
        </w:rPr>
        <w:t>市生态环境局清新分局及区应急指挥部报告。</w:t>
      </w:r>
    </w:p>
    <w:p>
      <w:pPr>
        <w:snapToGrid w:val="0"/>
        <w:ind w:firstLine="560"/>
        <w:rPr>
          <w:color w:val="auto"/>
          <w:sz w:val="28"/>
          <w:szCs w:val="28"/>
        </w:rPr>
      </w:pPr>
      <w:r>
        <w:rPr>
          <w:color w:val="auto"/>
          <w:sz w:val="28"/>
          <w:szCs w:val="28"/>
        </w:rPr>
        <w:t>（3）</w:t>
      </w:r>
      <w:r>
        <w:rPr>
          <w:color w:val="auto"/>
          <w:sz w:val="28"/>
          <w:szCs w:val="28"/>
          <w:lang w:val="en-US" w:eastAsia="zh-CN"/>
        </w:rPr>
        <w:t>上级人民政府主管部门先于下级人民政府主管部门获悉水源地</w:t>
      </w:r>
      <w:r>
        <w:rPr>
          <w:rFonts w:hint="eastAsia"/>
          <w:color w:val="auto"/>
          <w:sz w:val="28"/>
          <w:szCs w:val="28"/>
          <w:lang w:val="en-US" w:eastAsia="zh-CN"/>
        </w:rPr>
        <w:t>突发生态环境事件</w:t>
      </w:r>
      <w:r>
        <w:rPr>
          <w:color w:val="auto"/>
          <w:sz w:val="28"/>
          <w:szCs w:val="28"/>
          <w:lang w:val="en-US" w:eastAsia="zh-CN"/>
        </w:rPr>
        <w:t>信息的，可要求下级人民政府主管部门核实并报告相应信息。</w:t>
      </w:r>
    </w:p>
    <w:p>
      <w:pPr>
        <w:snapToGrid w:val="0"/>
        <w:ind w:firstLine="560"/>
        <w:rPr>
          <w:color w:val="auto"/>
          <w:sz w:val="28"/>
          <w:szCs w:val="28"/>
        </w:rPr>
      </w:pPr>
      <w:r>
        <w:rPr>
          <w:color w:val="auto"/>
          <w:sz w:val="28"/>
          <w:szCs w:val="28"/>
        </w:rPr>
        <w:t>（4）特殊情况下，若遇到敏感事件或发生在重点地区、特殊时期、或可能演化为重大、特别重大</w:t>
      </w:r>
      <w:r>
        <w:rPr>
          <w:rFonts w:hint="eastAsia"/>
          <w:color w:val="auto"/>
          <w:sz w:val="28"/>
          <w:szCs w:val="28"/>
          <w:lang w:eastAsia="zh-CN"/>
        </w:rPr>
        <w:t>突发生态环境事件</w:t>
      </w:r>
      <w:r>
        <w:rPr>
          <w:color w:val="auto"/>
          <w:sz w:val="28"/>
          <w:szCs w:val="28"/>
        </w:rPr>
        <w:t>的信息，有关责任单位和部门应立即向区应急指挥部报告。</w:t>
      </w:r>
    </w:p>
    <w:p>
      <w:pPr>
        <w:pStyle w:val="4"/>
        <w:snapToGrid w:val="0"/>
        <w:rPr>
          <w:color w:val="auto"/>
          <w:sz w:val="28"/>
          <w:szCs w:val="28"/>
        </w:rPr>
      </w:pPr>
      <w:bookmarkStart w:id="36" w:name="_Toc22113"/>
      <w:r>
        <w:rPr>
          <w:color w:val="auto"/>
          <w:sz w:val="28"/>
          <w:szCs w:val="28"/>
        </w:rPr>
        <w:t>3.4.2 信息报告时限</w:t>
      </w:r>
      <w:bookmarkEnd w:id="36"/>
    </w:p>
    <w:p>
      <w:pPr>
        <w:snapToGrid w:val="0"/>
        <w:ind w:firstLine="560"/>
        <w:rPr>
          <w:color w:val="auto"/>
          <w:sz w:val="28"/>
          <w:szCs w:val="28"/>
        </w:rPr>
      </w:pPr>
      <w:r>
        <w:rPr>
          <w:rFonts w:hint="eastAsia"/>
          <w:color w:val="auto"/>
          <w:sz w:val="28"/>
          <w:szCs w:val="28"/>
        </w:rPr>
        <w:t>对初步认定为一般、较大</w:t>
      </w:r>
      <w:r>
        <w:rPr>
          <w:rFonts w:hint="eastAsia"/>
          <w:color w:val="auto"/>
          <w:sz w:val="28"/>
          <w:szCs w:val="28"/>
          <w:lang w:eastAsia="zh-CN"/>
        </w:rPr>
        <w:t>、</w:t>
      </w:r>
      <w:r>
        <w:rPr>
          <w:rFonts w:hint="eastAsia"/>
          <w:color w:val="auto"/>
          <w:sz w:val="28"/>
          <w:szCs w:val="28"/>
        </w:rPr>
        <w:t>重大或者特别重大</w:t>
      </w:r>
      <w:r>
        <w:rPr>
          <w:rFonts w:hint="eastAsia"/>
          <w:color w:val="auto"/>
          <w:sz w:val="28"/>
          <w:szCs w:val="28"/>
          <w:lang w:eastAsia="zh-CN"/>
        </w:rPr>
        <w:t>突发生态环境事件</w:t>
      </w:r>
      <w:r>
        <w:rPr>
          <w:rFonts w:hint="eastAsia"/>
          <w:color w:val="auto"/>
          <w:sz w:val="28"/>
          <w:szCs w:val="28"/>
        </w:rPr>
        <w:t>的，</w:t>
      </w:r>
      <w:r>
        <w:rPr>
          <w:rFonts w:hint="eastAsia"/>
          <w:color w:val="auto"/>
          <w:sz w:val="28"/>
          <w:szCs w:val="28"/>
          <w:lang w:val="en-US" w:eastAsia="zh-CN"/>
        </w:rPr>
        <w:t>清远</w:t>
      </w:r>
      <w:r>
        <w:rPr>
          <w:rFonts w:hint="eastAsia"/>
          <w:color w:val="auto"/>
          <w:sz w:val="28"/>
          <w:szCs w:val="28"/>
        </w:rPr>
        <w:t>市生态环境局</w:t>
      </w:r>
      <w:r>
        <w:rPr>
          <w:color w:val="auto"/>
          <w:sz w:val="28"/>
          <w:szCs w:val="28"/>
        </w:rPr>
        <w:t>清新分局</w:t>
      </w:r>
      <w:r>
        <w:rPr>
          <w:rFonts w:hint="eastAsia"/>
          <w:color w:val="auto"/>
          <w:sz w:val="28"/>
          <w:szCs w:val="28"/>
        </w:rPr>
        <w:t>应在1小时内向区政府和市生态环境局报告，区政府应在接到报告后1小时内向市政府报告</w:t>
      </w:r>
      <w:r>
        <w:rPr>
          <w:color w:val="auto"/>
          <w:sz w:val="28"/>
          <w:szCs w:val="28"/>
        </w:rPr>
        <w:t>。在做好信息速报的同时，</w:t>
      </w:r>
      <w:r>
        <w:rPr>
          <w:rFonts w:hint="eastAsia"/>
          <w:color w:val="auto"/>
          <w:sz w:val="28"/>
          <w:szCs w:val="28"/>
          <w:lang w:val="en-US" w:eastAsia="zh-CN"/>
        </w:rPr>
        <w:t>清远</w:t>
      </w:r>
      <w:r>
        <w:rPr>
          <w:color w:val="auto"/>
          <w:sz w:val="28"/>
          <w:szCs w:val="28"/>
        </w:rPr>
        <w:t>市生态环境局清新分局应当按照规定的时限要求，做好</w:t>
      </w:r>
      <w:r>
        <w:rPr>
          <w:rFonts w:hint="eastAsia"/>
          <w:color w:val="auto"/>
          <w:sz w:val="28"/>
          <w:szCs w:val="28"/>
          <w:lang w:eastAsia="zh-CN"/>
        </w:rPr>
        <w:t>突发生态环境事件</w:t>
      </w:r>
      <w:r>
        <w:rPr>
          <w:color w:val="auto"/>
          <w:sz w:val="28"/>
          <w:szCs w:val="28"/>
        </w:rPr>
        <w:t>信息的续报和终报工作。</w:t>
      </w:r>
    </w:p>
    <w:p>
      <w:pPr>
        <w:snapToGrid w:val="0"/>
        <w:ind w:firstLine="560"/>
        <w:rPr>
          <w:color w:val="auto"/>
          <w:sz w:val="28"/>
          <w:szCs w:val="28"/>
        </w:rPr>
      </w:pPr>
      <w:r>
        <w:rPr>
          <w:rFonts w:hint="eastAsia"/>
          <w:color w:val="auto"/>
          <w:sz w:val="28"/>
          <w:szCs w:val="28"/>
        </w:rPr>
        <w:t>对初步认定为重大（II级）或者特别重大（I级）</w:t>
      </w:r>
      <w:r>
        <w:rPr>
          <w:rFonts w:hint="eastAsia"/>
          <w:color w:val="auto"/>
          <w:sz w:val="28"/>
          <w:szCs w:val="28"/>
          <w:lang w:eastAsia="zh-CN"/>
        </w:rPr>
        <w:t>突发生态环境事件</w:t>
      </w:r>
      <w:r>
        <w:rPr>
          <w:rFonts w:hint="eastAsia"/>
          <w:color w:val="auto"/>
          <w:sz w:val="28"/>
          <w:szCs w:val="28"/>
        </w:rPr>
        <w:t>的，</w:t>
      </w:r>
      <w:r>
        <w:rPr>
          <w:rFonts w:hint="eastAsia"/>
          <w:color w:val="auto"/>
          <w:sz w:val="28"/>
          <w:szCs w:val="28"/>
          <w:lang w:val="en-US" w:eastAsia="zh-CN"/>
        </w:rPr>
        <w:t>清远市生态环境局</w:t>
      </w:r>
      <w:r>
        <w:rPr>
          <w:rFonts w:hint="eastAsia"/>
          <w:color w:val="auto"/>
          <w:sz w:val="28"/>
          <w:szCs w:val="28"/>
        </w:rPr>
        <w:t>应当在两小时内向本级人民政府和</w:t>
      </w:r>
      <w:r>
        <w:rPr>
          <w:rFonts w:hint="eastAsia"/>
          <w:color w:val="auto"/>
          <w:sz w:val="28"/>
          <w:szCs w:val="28"/>
          <w:lang w:val="en-US" w:eastAsia="zh-CN"/>
        </w:rPr>
        <w:t>广东省生态环境厅</w:t>
      </w:r>
      <w:r>
        <w:rPr>
          <w:rFonts w:hint="eastAsia"/>
          <w:color w:val="auto"/>
          <w:sz w:val="28"/>
          <w:szCs w:val="28"/>
        </w:rPr>
        <w:t>报告，同时上报</w:t>
      </w:r>
      <w:r>
        <w:rPr>
          <w:rFonts w:hint="eastAsia"/>
          <w:color w:val="auto"/>
          <w:sz w:val="28"/>
          <w:szCs w:val="28"/>
          <w:lang w:val="en-US" w:eastAsia="zh-CN"/>
        </w:rPr>
        <w:t>中华人民共和国生态环境</w:t>
      </w:r>
      <w:r>
        <w:rPr>
          <w:rFonts w:hint="eastAsia"/>
          <w:color w:val="auto"/>
          <w:sz w:val="28"/>
          <w:szCs w:val="28"/>
        </w:rPr>
        <w:t>部。</w:t>
      </w:r>
      <w:r>
        <w:rPr>
          <w:rFonts w:hint="eastAsia"/>
          <w:color w:val="auto"/>
          <w:sz w:val="28"/>
          <w:szCs w:val="28"/>
          <w:lang w:val="en-US" w:eastAsia="zh-CN"/>
        </w:rPr>
        <w:t>广东省生态环境厅</w:t>
      </w:r>
      <w:r>
        <w:rPr>
          <w:rFonts w:hint="eastAsia"/>
          <w:color w:val="auto"/>
          <w:sz w:val="28"/>
          <w:szCs w:val="28"/>
        </w:rPr>
        <w:t>接到报告后，应当进行核实并在一小时内报告</w:t>
      </w:r>
      <w:r>
        <w:rPr>
          <w:rFonts w:hint="eastAsia"/>
          <w:color w:val="auto"/>
          <w:sz w:val="28"/>
          <w:szCs w:val="28"/>
          <w:lang w:val="en-US" w:eastAsia="zh-CN"/>
        </w:rPr>
        <w:t>中华人民共和国生态环境</w:t>
      </w:r>
      <w:r>
        <w:rPr>
          <w:rFonts w:hint="eastAsia"/>
          <w:color w:val="auto"/>
          <w:sz w:val="28"/>
          <w:szCs w:val="28"/>
        </w:rPr>
        <w:t>部。</w:t>
      </w:r>
    </w:p>
    <w:p>
      <w:pPr>
        <w:snapToGrid w:val="0"/>
        <w:ind w:firstLine="560"/>
        <w:rPr>
          <w:color w:val="auto"/>
          <w:sz w:val="28"/>
          <w:szCs w:val="28"/>
        </w:rPr>
      </w:pPr>
      <w:r>
        <w:rPr>
          <w:color w:val="auto"/>
          <w:sz w:val="28"/>
          <w:szCs w:val="28"/>
        </w:rPr>
        <w:t>水源地</w:t>
      </w:r>
      <w:r>
        <w:rPr>
          <w:rFonts w:hint="eastAsia"/>
          <w:color w:val="auto"/>
          <w:sz w:val="28"/>
          <w:szCs w:val="28"/>
          <w:lang w:eastAsia="zh-CN"/>
        </w:rPr>
        <w:t>突发生态环境事件</w:t>
      </w:r>
      <w:r>
        <w:rPr>
          <w:color w:val="auto"/>
          <w:sz w:val="28"/>
          <w:szCs w:val="28"/>
        </w:rPr>
        <w:t>处置过程中事件级别发生变化的，应当按照变化后的级别报告信息。</w:t>
      </w:r>
    </w:p>
    <w:p>
      <w:pPr>
        <w:pStyle w:val="4"/>
        <w:snapToGrid w:val="0"/>
        <w:rPr>
          <w:color w:val="auto"/>
          <w:sz w:val="28"/>
          <w:szCs w:val="28"/>
        </w:rPr>
      </w:pPr>
      <w:bookmarkStart w:id="37" w:name="_Toc20291"/>
      <w:r>
        <w:rPr>
          <w:color w:val="auto"/>
          <w:sz w:val="28"/>
          <w:szCs w:val="28"/>
        </w:rPr>
        <w:t>3.4.3 信息通报程序</w:t>
      </w:r>
      <w:bookmarkEnd w:id="37"/>
    </w:p>
    <w:p>
      <w:pPr>
        <w:snapToGrid w:val="0"/>
        <w:ind w:firstLine="560"/>
        <w:rPr>
          <w:color w:val="auto"/>
          <w:sz w:val="28"/>
          <w:szCs w:val="28"/>
        </w:rPr>
      </w:pPr>
      <w:r>
        <w:rPr>
          <w:color w:val="auto"/>
          <w:sz w:val="28"/>
          <w:szCs w:val="28"/>
        </w:rPr>
        <w:t>对经核实的水源地</w:t>
      </w:r>
      <w:r>
        <w:rPr>
          <w:rFonts w:hint="eastAsia"/>
          <w:color w:val="auto"/>
          <w:sz w:val="28"/>
          <w:szCs w:val="28"/>
          <w:lang w:eastAsia="zh-CN"/>
        </w:rPr>
        <w:t>突发生态环境事件</w:t>
      </w:r>
      <w:r>
        <w:rPr>
          <w:color w:val="auto"/>
          <w:sz w:val="28"/>
          <w:szCs w:val="28"/>
        </w:rPr>
        <w:t>，接报的有关部门应向</w:t>
      </w:r>
      <w:r>
        <w:rPr>
          <w:rFonts w:hint="eastAsia"/>
          <w:color w:val="auto"/>
          <w:sz w:val="28"/>
          <w:szCs w:val="28"/>
          <w:lang w:val="en-US" w:eastAsia="zh-CN"/>
        </w:rPr>
        <w:t>清新</w:t>
      </w:r>
      <w:r>
        <w:rPr>
          <w:color w:val="auto"/>
          <w:sz w:val="28"/>
          <w:szCs w:val="28"/>
        </w:rPr>
        <w:t>区政府和有关部门通报。通报的部门至少应包括</w:t>
      </w:r>
      <w:r>
        <w:rPr>
          <w:rFonts w:hint="eastAsia"/>
          <w:color w:val="auto"/>
          <w:sz w:val="28"/>
          <w:szCs w:val="28"/>
          <w:lang w:val="en-US" w:eastAsia="zh-CN"/>
        </w:rPr>
        <w:t>清远</w:t>
      </w:r>
      <w:r>
        <w:rPr>
          <w:color w:val="auto"/>
          <w:sz w:val="28"/>
          <w:szCs w:val="28"/>
        </w:rPr>
        <w:t>市生态环境局清新分局、区应急管理局、区水利局、供水</w:t>
      </w:r>
      <w:r>
        <w:rPr>
          <w:rFonts w:hint="eastAsia"/>
          <w:color w:val="auto"/>
          <w:sz w:val="28"/>
          <w:szCs w:val="28"/>
          <w:lang w:val="en-US" w:eastAsia="zh-CN"/>
        </w:rPr>
        <w:t>单位</w:t>
      </w:r>
      <w:r>
        <w:rPr>
          <w:color w:val="auto"/>
          <w:sz w:val="28"/>
          <w:szCs w:val="28"/>
        </w:rPr>
        <w:t>（太和供水公司</w:t>
      </w:r>
      <w:r>
        <w:rPr>
          <w:rFonts w:hint="eastAsia"/>
          <w:color w:val="auto"/>
          <w:sz w:val="28"/>
          <w:szCs w:val="28"/>
          <w:lang w:val="en-US" w:eastAsia="zh-CN"/>
        </w:rPr>
        <w:t>等</w:t>
      </w:r>
      <w:r>
        <w:rPr>
          <w:color w:val="auto"/>
          <w:sz w:val="28"/>
          <w:szCs w:val="28"/>
        </w:rPr>
        <w:t>）、区卫生健康局等部门；根据水源地</w:t>
      </w:r>
      <w:r>
        <w:rPr>
          <w:rFonts w:hint="eastAsia"/>
          <w:color w:val="auto"/>
          <w:sz w:val="28"/>
          <w:szCs w:val="28"/>
          <w:lang w:eastAsia="zh-CN"/>
        </w:rPr>
        <w:t>突发生态环境事件</w:t>
      </w:r>
      <w:r>
        <w:rPr>
          <w:color w:val="auto"/>
          <w:sz w:val="28"/>
          <w:szCs w:val="28"/>
        </w:rPr>
        <w:t>的类型和情景，还应通报区应急管理局（遇火灾爆炸事故）、区交通运输局（危险化学品道路</w:t>
      </w:r>
      <w:r>
        <w:rPr>
          <w:rFonts w:hint="eastAsia"/>
          <w:color w:val="auto"/>
          <w:sz w:val="28"/>
          <w:szCs w:val="28"/>
        </w:rPr>
        <w:t>及</w:t>
      </w:r>
      <w:r>
        <w:rPr>
          <w:color w:val="auto"/>
          <w:sz w:val="28"/>
          <w:szCs w:val="28"/>
        </w:rPr>
        <w:t>桥梁运输事故）、市公安局清新分局（遇火灾爆炸、道路</w:t>
      </w:r>
      <w:r>
        <w:rPr>
          <w:rFonts w:hint="eastAsia"/>
          <w:color w:val="auto"/>
          <w:sz w:val="28"/>
          <w:szCs w:val="28"/>
        </w:rPr>
        <w:t>及</w:t>
      </w:r>
      <w:r>
        <w:rPr>
          <w:color w:val="auto"/>
          <w:sz w:val="28"/>
          <w:szCs w:val="28"/>
        </w:rPr>
        <w:t>桥梁运输事故）等部门。其他部门接到相关报告的，应及时通报</w:t>
      </w:r>
      <w:r>
        <w:rPr>
          <w:rFonts w:hint="eastAsia"/>
          <w:color w:val="auto"/>
          <w:sz w:val="28"/>
          <w:szCs w:val="28"/>
          <w:lang w:val="en-US" w:eastAsia="zh-CN"/>
        </w:rPr>
        <w:t>清远</w:t>
      </w:r>
      <w:r>
        <w:rPr>
          <w:color w:val="auto"/>
          <w:sz w:val="28"/>
          <w:szCs w:val="28"/>
        </w:rPr>
        <w:t>市生态环境局清新分局。</w:t>
      </w:r>
      <w:r>
        <w:rPr>
          <w:rFonts w:hint="eastAsia"/>
          <w:color w:val="auto"/>
          <w:sz w:val="28"/>
          <w:szCs w:val="28"/>
          <w:lang w:val="en-US" w:eastAsia="zh-CN"/>
        </w:rPr>
        <w:t>清远</w:t>
      </w:r>
      <w:r>
        <w:rPr>
          <w:color w:val="auto"/>
          <w:sz w:val="28"/>
          <w:szCs w:val="28"/>
        </w:rPr>
        <w:t>市生态环境局清新分局应通过互联网信息监测、环境污染举报热线等多种渠道，加强对</w:t>
      </w:r>
      <w:r>
        <w:rPr>
          <w:rFonts w:hint="eastAsia"/>
          <w:color w:val="auto"/>
          <w:sz w:val="28"/>
          <w:szCs w:val="28"/>
          <w:lang w:eastAsia="zh-CN"/>
        </w:rPr>
        <w:t>突发生态环境事件</w:t>
      </w:r>
      <w:r>
        <w:rPr>
          <w:color w:val="auto"/>
          <w:sz w:val="28"/>
          <w:szCs w:val="28"/>
        </w:rPr>
        <w:t>信息的收集，及时掌握</w:t>
      </w:r>
      <w:r>
        <w:rPr>
          <w:rFonts w:hint="eastAsia"/>
          <w:color w:val="auto"/>
          <w:sz w:val="28"/>
          <w:szCs w:val="28"/>
          <w:lang w:eastAsia="zh-CN"/>
        </w:rPr>
        <w:t>突发生态环境事件</w:t>
      </w:r>
      <w:r>
        <w:rPr>
          <w:color w:val="auto"/>
          <w:sz w:val="28"/>
          <w:szCs w:val="28"/>
        </w:rPr>
        <w:t>发生情况。</w:t>
      </w:r>
    </w:p>
    <w:p>
      <w:pPr>
        <w:snapToGrid w:val="0"/>
        <w:ind w:firstLine="560"/>
        <w:rPr>
          <w:color w:val="auto"/>
          <w:sz w:val="28"/>
          <w:szCs w:val="28"/>
        </w:rPr>
      </w:pPr>
      <w:r>
        <w:rPr>
          <w:color w:val="auto"/>
          <w:sz w:val="28"/>
          <w:szCs w:val="28"/>
        </w:rPr>
        <w:t>水源地</w:t>
      </w:r>
      <w:r>
        <w:rPr>
          <w:rFonts w:hint="eastAsia"/>
          <w:color w:val="auto"/>
          <w:sz w:val="28"/>
          <w:szCs w:val="28"/>
          <w:lang w:eastAsia="zh-CN"/>
        </w:rPr>
        <w:t>突发生态环境事件</w:t>
      </w:r>
      <w:r>
        <w:rPr>
          <w:color w:val="auto"/>
          <w:sz w:val="28"/>
          <w:szCs w:val="28"/>
        </w:rPr>
        <w:t>已经或可能影响相邻行政区域的，区政府及</w:t>
      </w:r>
      <w:r>
        <w:rPr>
          <w:rFonts w:hint="eastAsia"/>
          <w:color w:val="auto"/>
          <w:sz w:val="28"/>
          <w:szCs w:val="28"/>
          <w:lang w:val="en-US" w:eastAsia="zh-CN"/>
        </w:rPr>
        <w:t>清远</w:t>
      </w:r>
      <w:r>
        <w:rPr>
          <w:rFonts w:hint="eastAsia"/>
          <w:color w:val="auto"/>
          <w:sz w:val="28"/>
          <w:szCs w:val="28"/>
        </w:rPr>
        <w:t>市</w:t>
      </w:r>
      <w:r>
        <w:rPr>
          <w:color w:val="auto"/>
          <w:sz w:val="28"/>
          <w:szCs w:val="28"/>
        </w:rPr>
        <w:t>生态环境</w:t>
      </w:r>
      <w:r>
        <w:rPr>
          <w:rFonts w:hint="eastAsia"/>
          <w:color w:val="auto"/>
          <w:sz w:val="28"/>
          <w:szCs w:val="28"/>
        </w:rPr>
        <w:t>局清新分局</w:t>
      </w:r>
      <w:r>
        <w:rPr>
          <w:color w:val="auto"/>
          <w:sz w:val="28"/>
          <w:szCs w:val="28"/>
        </w:rPr>
        <w:t>、</w:t>
      </w:r>
      <w:r>
        <w:rPr>
          <w:rFonts w:hint="eastAsia"/>
          <w:color w:val="auto"/>
          <w:sz w:val="28"/>
          <w:szCs w:val="28"/>
        </w:rPr>
        <w:t>区</w:t>
      </w:r>
      <w:r>
        <w:rPr>
          <w:color w:val="auto"/>
          <w:sz w:val="28"/>
          <w:szCs w:val="28"/>
        </w:rPr>
        <w:t>水利</w:t>
      </w:r>
      <w:r>
        <w:rPr>
          <w:rFonts w:hint="eastAsia"/>
          <w:color w:val="auto"/>
          <w:sz w:val="28"/>
          <w:szCs w:val="28"/>
        </w:rPr>
        <w:t>局</w:t>
      </w:r>
      <w:r>
        <w:rPr>
          <w:color w:val="auto"/>
          <w:sz w:val="28"/>
          <w:szCs w:val="28"/>
        </w:rPr>
        <w:t>等相关部门应及时通报相邻区域同级人民政府及生态环境、水利等部门。</w:t>
      </w:r>
    </w:p>
    <w:p>
      <w:pPr>
        <w:pStyle w:val="4"/>
        <w:snapToGrid w:val="0"/>
        <w:rPr>
          <w:color w:val="auto"/>
          <w:sz w:val="28"/>
          <w:szCs w:val="28"/>
        </w:rPr>
      </w:pPr>
      <w:bookmarkStart w:id="38" w:name="_Toc16866"/>
      <w:r>
        <w:rPr>
          <w:color w:val="auto"/>
          <w:sz w:val="28"/>
          <w:szCs w:val="28"/>
        </w:rPr>
        <w:t>3.4.4 信息报告和通报内容</w:t>
      </w:r>
      <w:bookmarkEnd w:id="38"/>
    </w:p>
    <w:p>
      <w:pPr>
        <w:snapToGrid w:val="0"/>
        <w:ind w:firstLine="560"/>
        <w:rPr>
          <w:color w:val="auto"/>
          <w:sz w:val="28"/>
          <w:szCs w:val="28"/>
        </w:rPr>
      </w:pPr>
      <w:r>
        <w:rPr>
          <w:color w:val="auto"/>
          <w:sz w:val="28"/>
          <w:szCs w:val="28"/>
        </w:rPr>
        <w:t>按照不同的时间节点，水源地</w:t>
      </w:r>
      <w:r>
        <w:rPr>
          <w:rFonts w:hint="eastAsia"/>
          <w:color w:val="auto"/>
          <w:sz w:val="28"/>
          <w:szCs w:val="28"/>
          <w:lang w:eastAsia="zh-CN"/>
        </w:rPr>
        <w:t>突发生态环境事件</w:t>
      </w:r>
      <w:r>
        <w:rPr>
          <w:color w:val="auto"/>
          <w:sz w:val="28"/>
          <w:szCs w:val="28"/>
        </w:rPr>
        <w:t>报告分为初报、续报和处理结果报告。初报是发现或得知</w:t>
      </w:r>
      <w:r>
        <w:rPr>
          <w:rFonts w:hint="eastAsia"/>
          <w:color w:val="auto"/>
          <w:sz w:val="28"/>
          <w:szCs w:val="28"/>
          <w:lang w:eastAsia="zh-CN"/>
        </w:rPr>
        <w:t>突发生态环境事件</w:t>
      </w:r>
      <w:r>
        <w:rPr>
          <w:color w:val="auto"/>
          <w:sz w:val="28"/>
          <w:szCs w:val="28"/>
        </w:rPr>
        <w:t>后的首次报告；续报是查清有关基本情况、事件发展情况后的报告，可随时报告；处理结果报告是</w:t>
      </w:r>
      <w:r>
        <w:rPr>
          <w:rFonts w:hint="eastAsia"/>
          <w:color w:val="auto"/>
          <w:sz w:val="28"/>
          <w:szCs w:val="28"/>
          <w:lang w:eastAsia="zh-CN"/>
        </w:rPr>
        <w:t>突发生态环境事件</w:t>
      </w:r>
      <w:r>
        <w:rPr>
          <w:color w:val="auto"/>
          <w:sz w:val="28"/>
          <w:szCs w:val="28"/>
        </w:rPr>
        <w:t>处理完毕后的报告。</w:t>
      </w:r>
    </w:p>
    <w:p>
      <w:pPr>
        <w:snapToGrid w:val="0"/>
        <w:ind w:firstLine="560"/>
        <w:rPr>
          <w:color w:val="auto"/>
          <w:sz w:val="28"/>
          <w:szCs w:val="28"/>
        </w:rPr>
      </w:pPr>
      <w:r>
        <w:rPr>
          <w:color w:val="auto"/>
          <w:sz w:val="28"/>
          <w:szCs w:val="28"/>
        </w:rPr>
        <w:t>（1）初报应报告水源地</w:t>
      </w:r>
      <w:r>
        <w:rPr>
          <w:rFonts w:hint="eastAsia"/>
          <w:color w:val="auto"/>
          <w:sz w:val="28"/>
          <w:szCs w:val="28"/>
          <w:lang w:eastAsia="zh-CN"/>
        </w:rPr>
        <w:t>突发生态环境事件</w:t>
      </w:r>
      <w:r>
        <w:rPr>
          <w:color w:val="auto"/>
          <w:sz w:val="28"/>
          <w:szCs w:val="28"/>
        </w:rPr>
        <w:t>的发生时间、地点、信息来源、事件起因和性质、基本过程、主要污染物和数量、监测结果、人员伤亡情况、水源地受影响情况、事件发展趋势、处置情况、拟采取的措施以及下一步工作建议等初步情况。</w:t>
      </w:r>
    </w:p>
    <w:p>
      <w:pPr>
        <w:snapToGrid w:val="0"/>
        <w:ind w:firstLine="560"/>
        <w:rPr>
          <w:color w:val="auto"/>
          <w:sz w:val="28"/>
          <w:szCs w:val="28"/>
        </w:rPr>
      </w:pPr>
      <w:r>
        <w:rPr>
          <w:color w:val="auto"/>
          <w:sz w:val="28"/>
          <w:szCs w:val="28"/>
        </w:rPr>
        <w:t>（2）续报应在初报的基础上，报告事件及有关处置措施的进展情况。在事件现场处置完毕前，续报工作实行日报制。</w:t>
      </w:r>
      <w:r>
        <w:rPr>
          <w:rFonts w:hint="eastAsia"/>
          <w:color w:val="auto"/>
          <w:sz w:val="28"/>
          <w:szCs w:val="28"/>
          <w:lang w:eastAsia="zh-CN"/>
        </w:rPr>
        <w:t>太和</w:t>
      </w:r>
      <w:r>
        <w:rPr>
          <w:rFonts w:hint="eastAsia"/>
          <w:color w:val="auto"/>
          <w:sz w:val="28"/>
          <w:szCs w:val="28"/>
        </w:rPr>
        <w:t>镇人民</w:t>
      </w:r>
      <w:r>
        <w:rPr>
          <w:color w:val="auto"/>
          <w:sz w:val="28"/>
          <w:szCs w:val="28"/>
        </w:rPr>
        <w:t>政府和市生态环境局清新分局应每日向区应急指挥部报送处置进展情况，并可视情况随时续报。</w:t>
      </w:r>
    </w:p>
    <w:p>
      <w:pPr>
        <w:snapToGrid w:val="0"/>
        <w:ind w:firstLine="560"/>
        <w:rPr>
          <w:color w:val="auto"/>
          <w:sz w:val="28"/>
          <w:szCs w:val="28"/>
        </w:rPr>
      </w:pPr>
      <w:r>
        <w:rPr>
          <w:color w:val="auto"/>
          <w:sz w:val="28"/>
          <w:szCs w:val="28"/>
        </w:rPr>
        <w:t>（3）处理结果报告应在初报、续报的基础上，报告</w:t>
      </w:r>
      <w:r>
        <w:rPr>
          <w:rFonts w:hint="eastAsia"/>
          <w:color w:val="auto"/>
          <w:sz w:val="28"/>
          <w:szCs w:val="28"/>
          <w:lang w:eastAsia="zh-CN"/>
        </w:rPr>
        <w:t>突发生态环境事件</w:t>
      </w:r>
      <w:r>
        <w:rPr>
          <w:color w:val="auto"/>
          <w:sz w:val="28"/>
          <w:szCs w:val="28"/>
        </w:rPr>
        <w:t>的处置措施、过程和结果等详细情况。处理结果报告至少包括事件基本情况，处理事件的措施、过程和结果，事件造成的危害、损失和社会影响，处理后的遗留问题，肇事者责任追究情况五个部分。</w:t>
      </w:r>
    </w:p>
    <w:p>
      <w:pPr>
        <w:snapToGrid w:val="0"/>
        <w:ind w:firstLine="560"/>
        <w:rPr>
          <w:color w:val="auto"/>
          <w:sz w:val="28"/>
          <w:szCs w:val="28"/>
        </w:rPr>
      </w:pPr>
      <w:r>
        <w:rPr>
          <w:rFonts w:hint="eastAsia"/>
          <w:color w:val="auto"/>
          <w:sz w:val="28"/>
          <w:szCs w:val="28"/>
          <w:lang w:eastAsia="zh-CN"/>
        </w:rPr>
        <w:t>突发生态环境事件</w:t>
      </w:r>
      <w:r>
        <w:rPr>
          <w:color w:val="auto"/>
          <w:sz w:val="28"/>
          <w:szCs w:val="28"/>
        </w:rPr>
        <w:t>信息应采用传真、网络、邮寄或面呈等方式书面报告，情况紧急时，初报可通过传真、手机短信、电话方式报送，通过手机短信或电话等形式报送的，应当及时补充书面报告。书面报告应说明</w:t>
      </w:r>
      <w:r>
        <w:rPr>
          <w:rFonts w:hint="eastAsia"/>
          <w:color w:val="auto"/>
          <w:sz w:val="28"/>
          <w:szCs w:val="28"/>
          <w:lang w:eastAsia="zh-CN"/>
        </w:rPr>
        <w:t>突发生态环境事件</w:t>
      </w:r>
      <w:r>
        <w:rPr>
          <w:color w:val="auto"/>
          <w:sz w:val="28"/>
          <w:szCs w:val="28"/>
        </w:rPr>
        <w:t>报告单位、报告签发人、联系人及联系电话等内容，并尽可能提供地图、图片以及有关的多媒体资料。</w:t>
      </w:r>
    </w:p>
    <w:p>
      <w:pPr>
        <w:snapToGrid w:val="0"/>
        <w:ind w:firstLine="560"/>
        <w:rPr>
          <w:color w:val="auto"/>
          <w:sz w:val="28"/>
          <w:szCs w:val="28"/>
        </w:rPr>
      </w:pPr>
      <w:r>
        <w:rPr>
          <w:color w:val="auto"/>
          <w:sz w:val="28"/>
          <w:szCs w:val="28"/>
        </w:rPr>
        <w:t>水源地</w:t>
      </w:r>
      <w:r>
        <w:rPr>
          <w:rFonts w:hint="eastAsia"/>
          <w:color w:val="auto"/>
          <w:sz w:val="28"/>
          <w:szCs w:val="28"/>
          <w:lang w:eastAsia="zh-CN"/>
        </w:rPr>
        <w:t>突发生态环境事件</w:t>
      </w:r>
      <w:r>
        <w:rPr>
          <w:color w:val="auto"/>
          <w:sz w:val="28"/>
          <w:szCs w:val="28"/>
        </w:rPr>
        <w:t>信息报送内容见附件1</w:t>
      </w:r>
      <w:r>
        <w:rPr>
          <w:rFonts w:hint="eastAsia"/>
          <w:color w:val="auto"/>
          <w:sz w:val="28"/>
          <w:szCs w:val="28"/>
          <w:lang w:val="en-US" w:eastAsia="zh-CN"/>
        </w:rPr>
        <w:t>0</w:t>
      </w:r>
      <w:r>
        <w:rPr>
          <w:color w:val="auto"/>
          <w:sz w:val="28"/>
          <w:szCs w:val="28"/>
        </w:rPr>
        <w:t>。</w:t>
      </w:r>
    </w:p>
    <w:p>
      <w:pPr>
        <w:pStyle w:val="3"/>
        <w:snapToGrid w:val="0"/>
        <w:rPr>
          <w:bCs w:val="0"/>
          <w:color w:val="auto"/>
        </w:rPr>
      </w:pPr>
      <w:bookmarkStart w:id="39" w:name="_Toc23842"/>
      <w:r>
        <w:rPr>
          <w:bCs w:val="0"/>
          <w:color w:val="auto"/>
        </w:rPr>
        <w:t>3.5 事态研判</w:t>
      </w:r>
      <w:bookmarkEnd w:id="39"/>
    </w:p>
    <w:p>
      <w:pPr>
        <w:snapToGrid w:val="0"/>
        <w:ind w:firstLine="560"/>
        <w:rPr>
          <w:color w:val="auto"/>
          <w:sz w:val="28"/>
          <w:szCs w:val="28"/>
        </w:rPr>
      </w:pPr>
      <w:r>
        <w:rPr>
          <w:color w:val="auto"/>
          <w:sz w:val="28"/>
          <w:szCs w:val="28"/>
        </w:rPr>
        <w:t>发布预警后，区现场应急指挥部迅速组建参加现场应急工作组，跟踪开展事态研判。专家咨询组及现场应急工作组应根据事故点下游沿河水利设施工程情况、判断污染物进入河流的数量及种类性质、事故点下游水系分布、距离水源地取水口的距离和可能对水源地造成的危害，以及备用水源地情况，判定污染程度、危害范围、事件等级，提出相应的对策和意见；指导现场应急工作组进行应急处置；对</w:t>
      </w:r>
      <w:r>
        <w:rPr>
          <w:rFonts w:hint="eastAsia"/>
          <w:color w:val="auto"/>
          <w:sz w:val="28"/>
          <w:szCs w:val="28"/>
          <w:lang w:eastAsia="zh-CN"/>
        </w:rPr>
        <w:t>突发生态环境事件</w:t>
      </w:r>
      <w:r>
        <w:rPr>
          <w:color w:val="auto"/>
          <w:sz w:val="28"/>
          <w:szCs w:val="28"/>
        </w:rPr>
        <w:t>的危害范围、发展趋势做出科学预测。</w:t>
      </w:r>
    </w:p>
    <w:p>
      <w:pPr>
        <w:snapToGrid w:val="0"/>
        <w:ind w:firstLine="560"/>
        <w:rPr>
          <w:color w:val="auto"/>
          <w:sz w:val="28"/>
          <w:szCs w:val="28"/>
        </w:rPr>
      </w:pPr>
      <w:r>
        <w:rPr>
          <w:color w:val="auto"/>
          <w:sz w:val="28"/>
          <w:szCs w:val="28"/>
        </w:rPr>
        <w:t>事态研判的结果，应作为制定和动态调整应急响应有关方案、实施应急监测、污染源排查与处置和应急处置的重要基础。</w:t>
      </w:r>
    </w:p>
    <w:p>
      <w:pPr>
        <w:snapToGrid w:val="0"/>
        <w:ind w:firstLine="560"/>
        <w:rPr>
          <w:color w:val="auto"/>
          <w:sz w:val="28"/>
          <w:szCs w:val="28"/>
        </w:rPr>
      </w:pPr>
      <w:r>
        <w:rPr>
          <w:color w:val="auto"/>
          <w:sz w:val="28"/>
          <w:szCs w:val="28"/>
        </w:rPr>
        <w:t>初判发生较大、重大或者特别重大水源地</w:t>
      </w:r>
      <w:r>
        <w:rPr>
          <w:rFonts w:hint="eastAsia"/>
          <w:color w:val="auto"/>
          <w:sz w:val="28"/>
          <w:szCs w:val="28"/>
          <w:lang w:eastAsia="zh-CN"/>
        </w:rPr>
        <w:t>突发生态环境事件</w:t>
      </w:r>
      <w:r>
        <w:rPr>
          <w:color w:val="auto"/>
          <w:sz w:val="28"/>
          <w:szCs w:val="28"/>
        </w:rPr>
        <w:t>后，由省、市环境应急指挥部负责应对工作。区应急指挥部主要开展以下工作：开展先期处置工作，并配合省、市环境应急指挥部开展应急处置工作。</w:t>
      </w:r>
    </w:p>
    <w:p>
      <w:pPr>
        <w:snapToGrid w:val="0"/>
        <w:ind w:firstLine="560"/>
        <w:rPr>
          <w:color w:val="auto"/>
          <w:sz w:val="28"/>
          <w:szCs w:val="28"/>
        </w:rPr>
      </w:pPr>
      <w:r>
        <w:rPr>
          <w:color w:val="auto"/>
          <w:sz w:val="28"/>
          <w:szCs w:val="28"/>
        </w:rPr>
        <w:t>发生一般水源地</w:t>
      </w:r>
      <w:r>
        <w:rPr>
          <w:rFonts w:hint="eastAsia"/>
          <w:color w:val="auto"/>
          <w:sz w:val="28"/>
          <w:szCs w:val="28"/>
          <w:lang w:eastAsia="zh-CN"/>
        </w:rPr>
        <w:t>突发生态环境事件</w:t>
      </w:r>
      <w:r>
        <w:rPr>
          <w:color w:val="auto"/>
          <w:sz w:val="28"/>
          <w:szCs w:val="28"/>
        </w:rPr>
        <w:t>的，由区应急指挥部负责应对工作，必要时可请求市应急指挥部指导、协助应对。</w:t>
      </w:r>
    </w:p>
    <w:p>
      <w:pPr>
        <w:pStyle w:val="3"/>
        <w:snapToGrid w:val="0"/>
        <w:rPr>
          <w:bCs w:val="0"/>
          <w:color w:val="auto"/>
        </w:rPr>
      </w:pPr>
      <w:bookmarkStart w:id="40" w:name="_Toc20791"/>
      <w:r>
        <w:rPr>
          <w:bCs w:val="0"/>
          <w:color w:val="auto"/>
        </w:rPr>
        <w:t>3.6 应急监测</w:t>
      </w:r>
      <w:bookmarkEnd w:id="40"/>
    </w:p>
    <w:p>
      <w:pPr>
        <w:snapToGrid w:val="0"/>
        <w:ind w:firstLine="560"/>
        <w:rPr>
          <w:color w:val="auto"/>
          <w:sz w:val="28"/>
          <w:szCs w:val="28"/>
        </w:rPr>
      </w:pPr>
      <w:r>
        <w:rPr>
          <w:color w:val="auto"/>
          <w:sz w:val="28"/>
          <w:szCs w:val="28"/>
        </w:rPr>
        <w:t>发布预警后，应急监测组负责组织实施水源地应急监测工作。水源地</w:t>
      </w:r>
      <w:r>
        <w:rPr>
          <w:rFonts w:hint="eastAsia"/>
          <w:color w:val="auto"/>
          <w:sz w:val="28"/>
          <w:szCs w:val="28"/>
          <w:lang w:eastAsia="zh-CN"/>
        </w:rPr>
        <w:t>突发生态环境事件</w:t>
      </w:r>
      <w:r>
        <w:rPr>
          <w:color w:val="auto"/>
          <w:sz w:val="28"/>
          <w:szCs w:val="28"/>
        </w:rPr>
        <w:t>发生时，根据事件的严重性、紧急程度和可能波及的范围分级启动应急监测工作，查明污染物种类、污染程度、范围以及污染发展趋势，提出处理建议，为应急处置提供决策依据。</w:t>
      </w:r>
    </w:p>
    <w:p>
      <w:pPr>
        <w:pStyle w:val="4"/>
        <w:snapToGrid w:val="0"/>
        <w:rPr>
          <w:rFonts w:hint="default"/>
          <w:color w:val="auto"/>
          <w:sz w:val="28"/>
          <w:szCs w:val="28"/>
        </w:rPr>
      </w:pPr>
      <w:bookmarkStart w:id="41" w:name="_Toc1511"/>
      <w:r>
        <w:rPr>
          <w:color w:val="auto"/>
          <w:sz w:val="28"/>
          <w:szCs w:val="28"/>
        </w:rPr>
        <w:t>3.6.1 应急监测</w:t>
      </w:r>
      <w:r>
        <w:rPr>
          <w:rFonts w:hint="default"/>
          <w:color w:val="auto"/>
          <w:sz w:val="28"/>
          <w:szCs w:val="28"/>
        </w:rPr>
        <w:t>启动与分级响应</w:t>
      </w:r>
      <w:bookmarkEnd w:id="41"/>
    </w:p>
    <w:p>
      <w:pPr>
        <w:pStyle w:val="5"/>
        <w:bidi w:val="0"/>
        <w:rPr>
          <w:rFonts w:hint="eastAsia"/>
          <w:color w:val="auto"/>
          <w:lang w:eastAsia="zh-CN"/>
        </w:rPr>
      </w:pPr>
      <w:r>
        <w:rPr>
          <w:rFonts w:hint="eastAsia"/>
          <w:color w:val="auto"/>
          <w:lang w:eastAsia="zh-CN"/>
        </w:rPr>
        <w:t>3.6.1.1 污染态势初步判别</w:t>
      </w:r>
    </w:p>
    <w:p>
      <w:pPr>
        <w:bidi w:val="0"/>
        <w:rPr>
          <w:rFonts w:hint="eastAsia"/>
          <w:color w:val="auto"/>
          <w:lang w:val="en-US" w:eastAsia="zh-CN"/>
        </w:rPr>
      </w:pPr>
      <w:r>
        <w:rPr>
          <w:rFonts w:hint="eastAsia"/>
          <w:color w:val="auto"/>
          <w:lang w:val="en-US" w:eastAsia="zh-CN"/>
        </w:rPr>
        <w:t xml:space="preserve"> 根据《</w:t>
      </w:r>
      <w:r>
        <w:rPr>
          <w:rFonts w:hint="default"/>
          <w:color w:val="auto"/>
          <w:lang w:val="en-US" w:eastAsia="zh-CN"/>
        </w:rPr>
        <w:t>突发环境事件应急监测技术规范</w:t>
      </w:r>
      <w:r>
        <w:rPr>
          <w:rFonts w:hint="eastAsia"/>
          <w:color w:val="auto"/>
          <w:lang w:val="en-US" w:eastAsia="zh-CN"/>
        </w:rPr>
        <w:t>》</w:t>
      </w:r>
      <w:r>
        <w:rPr>
          <w:rFonts w:hint="default"/>
          <w:color w:val="auto"/>
          <w:lang w:val="en-US" w:eastAsia="zh-CN"/>
        </w:rPr>
        <w:t>（HJ 589</w:t>
      </w:r>
      <w:r>
        <w:rPr>
          <w:rFonts w:hint="eastAsia"/>
          <w:color w:val="auto"/>
          <w:lang w:val="en-US" w:eastAsia="zh-CN"/>
        </w:rPr>
        <w:t>-</w:t>
      </w:r>
      <w:r>
        <w:rPr>
          <w:rFonts w:hint="default"/>
          <w:color w:val="auto"/>
          <w:lang w:val="en-US" w:eastAsia="zh-CN"/>
        </w:rPr>
        <w:t>2021）</w:t>
      </w:r>
      <w:r>
        <w:rPr>
          <w:rFonts w:hint="eastAsia"/>
          <w:color w:val="auto"/>
          <w:lang w:val="en-US" w:eastAsia="zh-CN"/>
        </w:rPr>
        <w:t>，污染态势初步判别是突发生态环境事件应急监测的第一阶段，突发环境事件发生后，确定污染物种类、监测项目及大致污染范围和污染程度的过程。在通过现场信息收集和快速监测，在最短时间内初步判断污染物种类、浓度、可能影响范围，为后续监测方案的制定提供依据。</w:t>
      </w:r>
    </w:p>
    <w:p>
      <w:pPr>
        <w:pStyle w:val="5"/>
        <w:bidi w:val="0"/>
        <w:rPr>
          <w:rFonts w:hint="eastAsia"/>
          <w:color w:val="auto"/>
          <w:lang w:eastAsia="zh-CN"/>
        </w:rPr>
      </w:pPr>
      <w:r>
        <w:rPr>
          <w:rFonts w:hint="eastAsia"/>
          <w:color w:val="auto"/>
          <w:lang w:eastAsia="zh-CN"/>
        </w:rPr>
        <w:t>3.6.1.</w:t>
      </w:r>
      <w:r>
        <w:rPr>
          <w:rFonts w:hint="eastAsia"/>
          <w:color w:val="auto"/>
          <w:lang w:val="en-US" w:eastAsia="zh-CN"/>
        </w:rPr>
        <w:t>2</w:t>
      </w:r>
      <w:r>
        <w:rPr>
          <w:rFonts w:hint="eastAsia"/>
          <w:color w:val="auto"/>
          <w:lang w:eastAsia="zh-CN"/>
        </w:rPr>
        <w:t xml:space="preserve"> </w:t>
      </w:r>
      <w:r>
        <w:rPr>
          <w:rFonts w:hint="eastAsia"/>
          <w:color w:val="auto"/>
          <w:lang w:val="en-US" w:eastAsia="zh-CN"/>
        </w:rPr>
        <w:t>跟踪监测</w:t>
      </w:r>
    </w:p>
    <w:p>
      <w:pPr>
        <w:bidi w:val="0"/>
        <w:rPr>
          <w:rFonts w:hint="default"/>
          <w:color w:val="auto"/>
          <w:lang w:val="en-US" w:eastAsia="zh-CN"/>
        </w:rPr>
      </w:pPr>
      <w:r>
        <w:rPr>
          <w:rFonts w:hint="eastAsia"/>
          <w:color w:val="auto"/>
          <w:lang w:val="en-US" w:eastAsia="zh-CN"/>
        </w:rPr>
        <w:t>跟踪监测为突发生态环境事件应急监测的第二阶段，指污染态势初步判别阶段后至应急响应终止前，开展的确定污染物浓度、污染范围及其动态变化的环境监测活动。根据污染态势初步判别等资料确定的应急监测方案进行采样、送样、检测等一系列工作。</w:t>
      </w:r>
    </w:p>
    <w:p>
      <w:pPr>
        <w:pStyle w:val="5"/>
        <w:bidi w:val="0"/>
        <w:rPr>
          <w:rFonts w:hint="default"/>
          <w:color w:val="auto"/>
          <w:lang w:val="en-US"/>
        </w:rPr>
      </w:pPr>
      <w:r>
        <w:rPr>
          <w:rFonts w:hint="eastAsia"/>
          <w:color w:val="auto"/>
          <w:lang w:eastAsia="zh-CN"/>
        </w:rPr>
        <w:t>3.6.1.</w:t>
      </w:r>
      <w:r>
        <w:rPr>
          <w:rFonts w:hint="eastAsia"/>
          <w:color w:val="auto"/>
          <w:lang w:val="en-US" w:eastAsia="zh-CN"/>
        </w:rPr>
        <w:t>3</w:t>
      </w:r>
      <w:r>
        <w:rPr>
          <w:rFonts w:hint="eastAsia"/>
          <w:color w:val="auto"/>
          <w:lang w:eastAsia="zh-CN"/>
        </w:rPr>
        <w:t xml:space="preserve"> 应急监测</w:t>
      </w:r>
      <w:r>
        <w:rPr>
          <w:rFonts w:hint="eastAsia"/>
          <w:color w:val="auto"/>
          <w:lang w:val="en-US" w:eastAsia="zh-CN"/>
        </w:rPr>
        <w:t>响应单位</w:t>
      </w:r>
    </w:p>
    <w:p>
      <w:pPr>
        <w:snapToGrid w:val="0"/>
        <w:ind w:firstLine="560"/>
        <w:rPr>
          <w:color w:val="auto"/>
          <w:sz w:val="28"/>
          <w:szCs w:val="28"/>
        </w:rPr>
      </w:pPr>
      <w:r>
        <w:rPr>
          <w:rFonts w:hint="default"/>
          <w:color w:val="auto"/>
          <w:sz w:val="28"/>
          <w:szCs w:val="28"/>
        </w:rPr>
        <w:t>当发生或可能发生水源地污染时，应急监测立即启动，并根据事件级别配置监测资源：</w:t>
      </w:r>
    </w:p>
    <w:p>
      <w:pPr>
        <w:numPr>
          <w:ilvl w:val="0"/>
          <w:numId w:val="2"/>
        </w:numPr>
        <w:snapToGrid w:val="0"/>
        <w:ind w:firstLine="560"/>
        <w:rPr>
          <w:rFonts w:hint="default"/>
          <w:color w:val="auto"/>
          <w:sz w:val="28"/>
          <w:szCs w:val="28"/>
          <w:lang w:val="en-US" w:eastAsia="zh-CN"/>
        </w:rPr>
      </w:pPr>
      <w:r>
        <w:rPr>
          <w:rFonts w:hint="default"/>
          <w:color w:val="auto"/>
          <w:sz w:val="28"/>
          <w:szCs w:val="28"/>
          <w:lang w:val="en-US" w:eastAsia="zh-CN"/>
        </w:rPr>
        <w:t>一般事件以区环境监测站为主体，</w:t>
      </w:r>
      <w:r>
        <w:rPr>
          <w:rFonts w:hint="default"/>
          <w:color w:val="auto"/>
          <w:sz w:val="28"/>
          <w:szCs w:val="28"/>
        </w:rPr>
        <w:t>开展特征污染物及常规指标加密监测</w:t>
      </w:r>
      <w:r>
        <w:rPr>
          <w:rFonts w:hint="default"/>
          <w:color w:val="auto"/>
          <w:sz w:val="28"/>
          <w:szCs w:val="28"/>
          <w:lang w:val="en-US" w:eastAsia="zh-CN"/>
        </w:rPr>
        <w:t>；</w:t>
      </w:r>
    </w:p>
    <w:p>
      <w:pPr>
        <w:numPr>
          <w:ilvl w:val="0"/>
          <w:numId w:val="2"/>
        </w:numPr>
        <w:snapToGrid w:val="0"/>
        <w:ind w:firstLine="560"/>
        <w:rPr>
          <w:color w:val="auto"/>
          <w:sz w:val="28"/>
          <w:szCs w:val="28"/>
        </w:rPr>
      </w:pPr>
      <w:r>
        <w:rPr>
          <w:rFonts w:hint="default"/>
          <w:color w:val="auto"/>
          <w:sz w:val="28"/>
          <w:szCs w:val="28"/>
          <w:lang w:val="en-US" w:eastAsia="zh-CN"/>
        </w:rPr>
        <w:t>较大事件以驻市站为主体，区环境监测站配合，</w:t>
      </w:r>
      <w:r>
        <w:rPr>
          <w:rFonts w:hint="default"/>
          <w:color w:val="auto"/>
          <w:sz w:val="28"/>
          <w:szCs w:val="28"/>
        </w:rPr>
        <w:t>开展特征污染物及常规指标加密监测</w:t>
      </w:r>
      <w:r>
        <w:rPr>
          <w:rFonts w:hint="default"/>
          <w:color w:val="auto"/>
          <w:sz w:val="28"/>
          <w:szCs w:val="28"/>
          <w:lang w:eastAsia="zh-CN"/>
        </w:rPr>
        <w:t>；</w:t>
      </w:r>
    </w:p>
    <w:p>
      <w:pPr>
        <w:numPr>
          <w:ilvl w:val="0"/>
          <w:numId w:val="2"/>
        </w:numPr>
        <w:snapToGrid w:val="0"/>
        <w:ind w:firstLine="560"/>
        <w:rPr>
          <w:color w:val="auto"/>
          <w:sz w:val="28"/>
          <w:szCs w:val="28"/>
        </w:rPr>
      </w:pPr>
      <w:r>
        <w:rPr>
          <w:rFonts w:hint="default"/>
          <w:color w:val="auto"/>
          <w:sz w:val="28"/>
          <w:szCs w:val="28"/>
          <w:lang w:val="en-US" w:eastAsia="zh-CN"/>
        </w:rPr>
        <w:t>重大事件由省级生态环境监测机构牵头，市区监测主力实施监测；</w:t>
      </w:r>
    </w:p>
    <w:p>
      <w:pPr>
        <w:numPr>
          <w:ilvl w:val="0"/>
          <w:numId w:val="2"/>
        </w:numPr>
        <w:snapToGrid w:val="0"/>
        <w:ind w:firstLine="560"/>
        <w:rPr>
          <w:color w:val="auto"/>
          <w:sz w:val="28"/>
          <w:szCs w:val="28"/>
        </w:rPr>
      </w:pPr>
      <w:r>
        <w:rPr>
          <w:rFonts w:hint="default"/>
          <w:color w:val="auto"/>
          <w:sz w:val="28"/>
          <w:szCs w:val="28"/>
          <w:lang w:val="en-US" w:eastAsia="zh-CN"/>
        </w:rPr>
        <w:t>特大事件由国家监测力量和专家团队，联合地方协同监测。对环境监测站不具备监测能力的污染物，调动社会环境监测机构参与应急监测。</w:t>
      </w:r>
    </w:p>
    <w:p>
      <w:pPr>
        <w:snapToGrid w:val="0"/>
        <w:ind w:firstLine="560"/>
        <w:rPr>
          <w:color w:val="auto"/>
          <w:sz w:val="28"/>
          <w:szCs w:val="28"/>
        </w:rPr>
      </w:pPr>
      <w:r>
        <w:rPr>
          <w:color w:val="auto"/>
          <w:sz w:val="28"/>
          <w:szCs w:val="28"/>
        </w:rPr>
        <w:t>事件处置初期，应急监测组应按照区现场应急指挥部命令，根据现场实际情况制定监测方案、设置监测点位（断面）、确定监测频次、组织开展监测、形成监测报告，第一时间向区现场应急指挥部报告监测结果。</w:t>
      </w:r>
    </w:p>
    <w:p>
      <w:pPr>
        <w:snapToGrid w:val="0"/>
        <w:ind w:firstLine="560"/>
        <w:rPr>
          <w:color w:val="auto"/>
          <w:sz w:val="28"/>
          <w:szCs w:val="28"/>
        </w:rPr>
      </w:pPr>
      <w:r>
        <w:rPr>
          <w:color w:val="auto"/>
          <w:sz w:val="28"/>
          <w:szCs w:val="28"/>
        </w:rPr>
        <w:t>事件处置中期，应根据事态发展，如上游来水量、应急处置措施效果等情况，适时调整监测点位（断面）和监测频次。</w:t>
      </w:r>
    </w:p>
    <w:p>
      <w:pPr>
        <w:snapToGrid w:val="0"/>
        <w:ind w:firstLine="560"/>
        <w:rPr>
          <w:color w:val="auto"/>
          <w:sz w:val="28"/>
          <w:szCs w:val="28"/>
        </w:rPr>
      </w:pPr>
      <w:r>
        <w:rPr>
          <w:color w:val="auto"/>
          <w:sz w:val="28"/>
          <w:szCs w:val="28"/>
        </w:rPr>
        <w:t>事件处置末期，应按照区现场应急指挥部命令，停止应急监测，并向区现场应急指挥部提交应急监测总结报告。</w:t>
      </w:r>
    </w:p>
    <w:p>
      <w:pPr>
        <w:pStyle w:val="4"/>
        <w:snapToGrid w:val="0"/>
        <w:rPr>
          <w:color w:val="auto"/>
          <w:sz w:val="28"/>
          <w:szCs w:val="28"/>
        </w:rPr>
      </w:pPr>
      <w:bookmarkStart w:id="42" w:name="_Toc19899"/>
      <w:r>
        <w:rPr>
          <w:color w:val="auto"/>
          <w:sz w:val="28"/>
          <w:szCs w:val="28"/>
        </w:rPr>
        <w:t>3.6.2 制定应急监测方案</w:t>
      </w:r>
      <w:bookmarkEnd w:id="42"/>
    </w:p>
    <w:p>
      <w:pPr>
        <w:pStyle w:val="5"/>
        <w:bidi w:val="0"/>
        <w:rPr>
          <w:color w:val="auto"/>
        </w:rPr>
      </w:pPr>
      <w:r>
        <w:rPr>
          <w:color w:val="auto"/>
        </w:rPr>
        <w:t>3.6.</w:t>
      </w:r>
      <w:r>
        <w:rPr>
          <w:rFonts w:hint="eastAsia"/>
          <w:color w:val="auto"/>
          <w:lang w:val="en-US" w:eastAsia="zh-CN"/>
        </w:rPr>
        <w:t>2.1</w:t>
      </w:r>
      <w:r>
        <w:rPr>
          <w:color w:val="auto"/>
        </w:rPr>
        <w:t xml:space="preserve"> </w:t>
      </w:r>
      <w:r>
        <w:rPr>
          <w:rFonts w:hint="eastAsia"/>
          <w:color w:val="auto"/>
          <w:lang w:val="en-US" w:eastAsia="zh-CN"/>
        </w:rPr>
        <w:t>初步</w:t>
      </w:r>
      <w:r>
        <w:rPr>
          <w:color w:val="auto"/>
        </w:rPr>
        <w:t>应急监测方案</w:t>
      </w:r>
    </w:p>
    <w:p>
      <w:pPr>
        <w:snapToGrid w:val="0"/>
        <w:ind w:firstLine="560"/>
        <w:rPr>
          <w:rFonts w:hint="eastAsia"/>
          <w:color w:val="auto"/>
          <w:sz w:val="28"/>
          <w:szCs w:val="28"/>
        </w:rPr>
      </w:pPr>
      <w:r>
        <w:rPr>
          <w:color w:val="auto"/>
          <w:sz w:val="28"/>
          <w:szCs w:val="28"/>
        </w:rPr>
        <w:t>应急监测组</w:t>
      </w:r>
      <w:r>
        <w:rPr>
          <w:rFonts w:hint="eastAsia"/>
          <w:color w:val="auto"/>
          <w:sz w:val="28"/>
          <w:szCs w:val="28"/>
        </w:rPr>
        <w:t>到达现场后，根据现场情况在最短的</w:t>
      </w:r>
      <w:r>
        <w:rPr>
          <w:rFonts w:hint="eastAsia"/>
          <w:color w:val="auto"/>
          <w:sz w:val="28"/>
          <w:szCs w:val="28"/>
          <w:lang w:eastAsia="zh-CN"/>
        </w:rPr>
        <w:t>时间</w:t>
      </w:r>
      <w:r>
        <w:rPr>
          <w:rFonts w:hint="eastAsia"/>
          <w:color w:val="auto"/>
          <w:sz w:val="28"/>
          <w:szCs w:val="28"/>
        </w:rPr>
        <w:t>内</w:t>
      </w:r>
      <w:r>
        <w:rPr>
          <w:rFonts w:hint="default"/>
          <w:color w:val="auto"/>
          <w:sz w:val="28"/>
          <w:szCs w:val="28"/>
          <w:lang w:val="en-US" w:eastAsia="zh-CN"/>
        </w:rPr>
        <w:t>开展现场调查和踏勘，</w:t>
      </w:r>
      <w:r>
        <w:rPr>
          <w:rFonts w:hint="eastAsia"/>
          <w:color w:val="auto"/>
          <w:sz w:val="28"/>
          <w:szCs w:val="28"/>
          <w:lang w:val="en-US" w:eastAsia="zh-CN"/>
        </w:rPr>
        <w:t>利用快速测试工具初步确定污染物情况，及时将现场情况上报</w:t>
      </w:r>
      <w:r>
        <w:rPr>
          <w:rFonts w:hint="eastAsia"/>
          <w:color w:val="auto"/>
          <w:sz w:val="28"/>
          <w:szCs w:val="28"/>
        </w:rPr>
        <w:t>应急监测</w:t>
      </w:r>
      <w:r>
        <w:rPr>
          <w:rFonts w:hint="eastAsia"/>
          <w:color w:val="auto"/>
          <w:sz w:val="28"/>
          <w:szCs w:val="28"/>
          <w:lang w:val="en-US" w:eastAsia="zh-CN"/>
        </w:rPr>
        <w:t>领导小组，</w:t>
      </w:r>
      <w:r>
        <w:rPr>
          <w:rFonts w:hint="eastAsia"/>
          <w:color w:val="auto"/>
          <w:sz w:val="28"/>
          <w:szCs w:val="28"/>
        </w:rPr>
        <w:t>应急监测</w:t>
      </w:r>
      <w:r>
        <w:rPr>
          <w:rFonts w:hint="eastAsia"/>
          <w:color w:val="auto"/>
          <w:sz w:val="28"/>
          <w:szCs w:val="28"/>
          <w:lang w:val="en-US" w:eastAsia="zh-CN"/>
        </w:rPr>
        <w:t>领导小组</w:t>
      </w:r>
      <w:r>
        <w:rPr>
          <w:rFonts w:hint="eastAsia"/>
          <w:color w:val="auto"/>
          <w:sz w:val="28"/>
          <w:szCs w:val="28"/>
        </w:rPr>
        <w:t>依据</w:t>
      </w:r>
      <w:r>
        <w:rPr>
          <w:rFonts w:hint="eastAsia"/>
          <w:color w:val="auto"/>
          <w:sz w:val="28"/>
          <w:szCs w:val="28"/>
          <w:lang w:eastAsia="zh-CN"/>
        </w:rPr>
        <w:t>本预案</w:t>
      </w:r>
      <w:r>
        <w:rPr>
          <w:rFonts w:hint="eastAsia"/>
          <w:color w:val="auto"/>
          <w:sz w:val="28"/>
          <w:szCs w:val="28"/>
        </w:rPr>
        <w:t>要求及有关专家意见</w:t>
      </w:r>
      <w:r>
        <w:rPr>
          <w:rFonts w:hint="eastAsia"/>
          <w:color w:val="auto"/>
          <w:sz w:val="28"/>
          <w:szCs w:val="28"/>
          <w:lang w:eastAsia="zh-CN"/>
        </w:rPr>
        <w:t>，</w:t>
      </w:r>
      <w:r>
        <w:rPr>
          <w:rFonts w:hint="eastAsia"/>
          <w:color w:val="auto"/>
          <w:sz w:val="28"/>
          <w:szCs w:val="28"/>
        </w:rPr>
        <w:t>提出</w:t>
      </w:r>
      <w:r>
        <w:rPr>
          <w:rFonts w:hint="eastAsia"/>
          <w:color w:val="auto"/>
          <w:sz w:val="28"/>
          <w:szCs w:val="28"/>
          <w:lang w:eastAsia="zh-CN"/>
        </w:rPr>
        <w:t>初步的</w:t>
      </w:r>
      <w:r>
        <w:rPr>
          <w:rFonts w:hint="eastAsia"/>
          <w:color w:val="auto"/>
          <w:sz w:val="28"/>
          <w:szCs w:val="28"/>
        </w:rPr>
        <w:t>应急监测方案，确认监测对象、监测点位、监测项目、监测方法、</w:t>
      </w:r>
      <w:r>
        <w:rPr>
          <w:rFonts w:hint="eastAsia"/>
          <w:color w:val="auto"/>
          <w:sz w:val="28"/>
          <w:szCs w:val="28"/>
          <w:lang w:val="en-US" w:eastAsia="zh-CN"/>
        </w:rPr>
        <w:t>监测频次、</w:t>
      </w:r>
      <w:r>
        <w:rPr>
          <w:rFonts w:hint="eastAsia"/>
          <w:color w:val="auto"/>
          <w:sz w:val="28"/>
          <w:szCs w:val="28"/>
          <w:lang w:eastAsia="zh-CN"/>
        </w:rPr>
        <w:t>现场</w:t>
      </w:r>
      <w:r>
        <w:rPr>
          <w:rFonts w:hint="eastAsia"/>
          <w:color w:val="auto"/>
          <w:sz w:val="28"/>
          <w:szCs w:val="28"/>
        </w:rPr>
        <w:t>质控要求等。</w:t>
      </w:r>
    </w:p>
    <w:p>
      <w:pPr>
        <w:snapToGrid w:val="0"/>
        <w:ind w:firstLine="560"/>
        <w:rPr>
          <w:rFonts w:hint="eastAsia"/>
          <w:color w:val="auto"/>
          <w:sz w:val="28"/>
          <w:szCs w:val="28"/>
          <w:lang w:val="en-US" w:eastAsia="zh-CN"/>
        </w:rPr>
      </w:pPr>
      <w:r>
        <w:rPr>
          <w:rFonts w:hint="default"/>
          <w:color w:val="auto"/>
          <w:sz w:val="28"/>
          <w:szCs w:val="28"/>
          <w:lang w:val="en-US" w:eastAsia="zh-CN"/>
        </w:rPr>
        <w:t>对具备现场</w:t>
      </w:r>
      <w:r>
        <w:rPr>
          <w:rFonts w:hint="eastAsia"/>
          <w:color w:val="auto"/>
          <w:sz w:val="28"/>
          <w:szCs w:val="28"/>
          <w:lang w:val="en-US" w:eastAsia="zh-CN"/>
        </w:rPr>
        <w:t>快</w:t>
      </w:r>
      <w:r>
        <w:rPr>
          <w:rFonts w:hint="default"/>
          <w:color w:val="auto"/>
          <w:sz w:val="28"/>
          <w:szCs w:val="28"/>
          <w:lang w:val="en-US" w:eastAsia="zh-CN"/>
        </w:rPr>
        <w:t>速</w:t>
      </w:r>
      <w:r>
        <w:rPr>
          <w:rFonts w:hint="eastAsia"/>
          <w:color w:val="auto"/>
          <w:sz w:val="28"/>
          <w:szCs w:val="28"/>
          <w:lang w:val="en-US" w:eastAsia="zh-CN"/>
        </w:rPr>
        <w:t>检</w:t>
      </w:r>
      <w:r>
        <w:rPr>
          <w:rFonts w:hint="default"/>
          <w:color w:val="auto"/>
          <w:sz w:val="28"/>
          <w:szCs w:val="28"/>
          <w:lang w:val="en-US" w:eastAsia="zh-CN"/>
        </w:rPr>
        <w:t>测能力的项目应采用便携式监测仪器设备，快速进行定性和半定量监测，初步确定事故现场排放污染物的类型、浓度水平并在第一时间快速上报。</w:t>
      </w:r>
      <w:r>
        <w:rPr>
          <w:rFonts w:hint="eastAsia"/>
          <w:color w:val="auto"/>
          <w:sz w:val="28"/>
          <w:szCs w:val="28"/>
          <w:lang w:val="en-US" w:eastAsia="zh-CN"/>
        </w:rPr>
        <w:t>对不具备</w:t>
      </w:r>
      <w:r>
        <w:rPr>
          <w:rFonts w:hint="default"/>
          <w:color w:val="auto"/>
          <w:sz w:val="28"/>
          <w:szCs w:val="28"/>
          <w:lang w:val="en-US" w:eastAsia="zh-CN"/>
        </w:rPr>
        <w:t>现场</w:t>
      </w:r>
      <w:r>
        <w:rPr>
          <w:rFonts w:hint="eastAsia"/>
          <w:color w:val="auto"/>
          <w:sz w:val="28"/>
          <w:szCs w:val="28"/>
          <w:lang w:val="en-US" w:eastAsia="zh-CN"/>
        </w:rPr>
        <w:t>快</w:t>
      </w:r>
      <w:r>
        <w:rPr>
          <w:rFonts w:hint="default"/>
          <w:color w:val="auto"/>
          <w:sz w:val="28"/>
          <w:szCs w:val="28"/>
          <w:lang w:val="en-US" w:eastAsia="zh-CN"/>
        </w:rPr>
        <w:t>速</w:t>
      </w:r>
      <w:r>
        <w:rPr>
          <w:rFonts w:hint="eastAsia"/>
          <w:color w:val="auto"/>
          <w:sz w:val="28"/>
          <w:szCs w:val="28"/>
          <w:lang w:val="en-US" w:eastAsia="zh-CN"/>
        </w:rPr>
        <w:t>检</w:t>
      </w:r>
      <w:r>
        <w:rPr>
          <w:rFonts w:hint="default"/>
          <w:color w:val="auto"/>
          <w:sz w:val="28"/>
          <w:szCs w:val="28"/>
          <w:lang w:val="en-US" w:eastAsia="zh-CN"/>
        </w:rPr>
        <w:t>测能力的项目</w:t>
      </w:r>
      <w:r>
        <w:rPr>
          <w:rFonts w:hint="eastAsia"/>
          <w:color w:val="auto"/>
          <w:sz w:val="28"/>
          <w:szCs w:val="28"/>
          <w:lang w:val="en-US" w:eastAsia="zh-CN"/>
        </w:rPr>
        <w:t>，及时送到监测站实验室分析。</w:t>
      </w:r>
    </w:p>
    <w:p>
      <w:pPr>
        <w:snapToGrid w:val="0"/>
        <w:ind w:firstLine="560"/>
        <w:rPr>
          <w:rFonts w:hint="eastAsia"/>
          <w:color w:val="auto"/>
          <w:sz w:val="28"/>
          <w:szCs w:val="28"/>
          <w:lang w:val="en-US" w:eastAsia="zh-CN"/>
        </w:rPr>
      </w:pPr>
      <w:r>
        <w:rPr>
          <w:color w:val="auto"/>
          <w:sz w:val="28"/>
          <w:szCs w:val="28"/>
        </w:rPr>
        <w:t>专家咨询组为应急监测方案的制定提供技术支持，</w:t>
      </w:r>
      <w:r>
        <w:rPr>
          <w:color w:val="auto"/>
          <w:sz w:val="28"/>
          <w:szCs w:val="28"/>
          <w:lang w:val="en-US" w:eastAsia="zh-CN"/>
        </w:rPr>
        <w:t>当污染来源不明时，应先通过应急监测确定特征污染物</w:t>
      </w:r>
      <w:r>
        <w:rPr>
          <w:rFonts w:hint="eastAsia"/>
          <w:color w:val="auto"/>
          <w:sz w:val="28"/>
          <w:szCs w:val="28"/>
          <w:lang w:val="en-US" w:eastAsia="zh-CN"/>
        </w:rPr>
        <w:t>成分</w:t>
      </w:r>
      <w:r>
        <w:rPr>
          <w:color w:val="auto"/>
          <w:sz w:val="28"/>
          <w:szCs w:val="28"/>
          <w:lang w:val="en-US" w:eastAsia="zh-CN"/>
        </w:rPr>
        <w:t>，再进行污染源排查和先期处置。</w:t>
      </w:r>
    </w:p>
    <w:p>
      <w:pPr>
        <w:pStyle w:val="5"/>
        <w:bidi w:val="0"/>
        <w:rPr>
          <w:rFonts w:hint="eastAsia"/>
          <w:color w:val="auto"/>
          <w:lang w:val="en-US" w:eastAsia="zh-CN"/>
        </w:rPr>
      </w:pPr>
      <w:r>
        <w:rPr>
          <w:color w:val="auto"/>
        </w:rPr>
        <w:t>3.6.</w:t>
      </w:r>
      <w:r>
        <w:rPr>
          <w:rFonts w:hint="eastAsia"/>
          <w:color w:val="auto"/>
          <w:lang w:val="en-US" w:eastAsia="zh-CN"/>
        </w:rPr>
        <w:t>2.2</w:t>
      </w:r>
      <w:r>
        <w:rPr>
          <w:color w:val="auto"/>
        </w:rPr>
        <w:t xml:space="preserve"> 应急监测方案</w:t>
      </w:r>
      <w:r>
        <w:rPr>
          <w:rFonts w:hint="eastAsia"/>
          <w:color w:val="auto"/>
          <w:lang w:val="en-US" w:eastAsia="zh-CN"/>
        </w:rPr>
        <w:t>确定</w:t>
      </w:r>
    </w:p>
    <w:p>
      <w:pPr>
        <w:snapToGrid w:val="0"/>
        <w:ind w:firstLine="560"/>
        <w:rPr>
          <w:color w:val="auto"/>
          <w:sz w:val="28"/>
          <w:szCs w:val="28"/>
        </w:rPr>
      </w:pPr>
      <w:r>
        <w:rPr>
          <w:rFonts w:hint="eastAsia"/>
          <w:color w:val="auto"/>
          <w:sz w:val="28"/>
          <w:szCs w:val="28"/>
          <w:lang w:val="en-US" w:eastAsia="zh-CN"/>
        </w:rPr>
        <w:t>根据初步应急监测方案执行结果，</w:t>
      </w:r>
      <w:r>
        <w:rPr>
          <w:color w:val="auto"/>
          <w:sz w:val="28"/>
          <w:szCs w:val="28"/>
        </w:rPr>
        <w:t>应急监测组需根据事故信息（如危化品泄漏、</w:t>
      </w:r>
      <w:r>
        <w:rPr>
          <w:rFonts w:hint="eastAsia"/>
          <w:color w:val="auto"/>
          <w:sz w:val="28"/>
          <w:szCs w:val="28"/>
          <w:lang w:val="en-US" w:eastAsia="zh-CN"/>
        </w:rPr>
        <w:t>企业排污</w:t>
      </w:r>
      <w:r>
        <w:rPr>
          <w:color w:val="auto"/>
          <w:sz w:val="28"/>
          <w:szCs w:val="28"/>
        </w:rPr>
        <w:t>、油品泄漏等）迅速制定应急监测方案，</w:t>
      </w:r>
      <w:r>
        <w:rPr>
          <w:color w:val="auto"/>
          <w:sz w:val="28"/>
          <w:szCs w:val="28"/>
          <w:lang w:val="en-US" w:eastAsia="zh-CN"/>
        </w:rPr>
        <w:t>应急监测方案应包括</w:t>
      </w:r>
      <w:r>
        <w:rPr>
          <w:rFonts w:hint="eastAsia"/>
          <w:color w:val="auto"/>
          <w:lang w:val="en-US" w:eastAsia="zh-CN"/>
        </w:rPr>
        <w:t>事件概况、监测内容、</w:t>
      </w:r>
      <w:r>
        <w:rPr>
          <w:color w:val="auto"/>
          <w:sz w:val="28"/>
          <w:szCs w:val="28"/>
          <w:lang w:val="en-US" w:eastAsia="zh-CN"/>
        </w:rPr>
        <w:t>布点原则、采样频次</w:t>
      </w:r>
      <w:r>
        <w:rPr>
          <w:rFonts w:hint="eastAsia"/>
          <w:color w:val="auto"/>
          <w:sz w:val="28"/>
          <w:szCs w:val="28"/>
          <w:lang w:val="en-US" w:eastAsia="zh-CN"/>
        </w:rPr>
        <w:t>、</w:t>
      </w:r>
      <w:r>
        <w:rPr>
          <w:rFonts w:hint="eastAsia"/>
          <w:color w:val="auto"/>
          <w:lang w:val="en-US" w:eastAsia="zh-CN"/>
        </w:rPr>
        <w:t>监测方法、执行标准、数据报送、责任分工、质量控制与保证、注意事项、方案启动时间、监测点位示意图等</w:t>
      </w:r>
      <w:r>
        <w:rPr>
          <w:color w:val="auto"/>
          <w:sz w:val="28"/>
          <w:szCs w:val="28"/>
          <w:lang w:val="en-US" w:eastAsia="zh-CN"/>
        </w:rPr>
        <w:t>。</w:t>
      </w:r>
    </w:p>
    <w:p>
      <w:pPr>
        <w:pStyle w:val="5"/>
        <w:bidi w:val="0"/>
        <w:rPr>
          <w:rFonts w:hint="eastAsia"/>
          <w:color w:val="auto"/>
          <w:lang w:val="en-US" w:eastAsia="zh-CN"/>
        </w:rPr>
      </w:pPr>
      <w:r>
        <w:rPr>
          <w:color w:val="auto"/>
        </w:rPr>
        <w:t>3.6.2</w:t>
      </w:r>
      <w:r>
        <w:rPr>
          <w:rFonts w:hint="eastAsia"/>
          <w:color w:val="auto"/>
          <w:lang w:val="en-US" w:eastAsia="zh-CN"/>
        </w:rPr>
        <w:t>.3</w:t>
      </w:r>
      <w:r>
        <w:rPr>
          <w:color w:val="auto"/>
        </w:rPr>
        <w:t xml:space="preserve"> 应急监测</w:t>
      </w:r>
      <w:r>
        <w:rPr>
          <w:rFonts w:hint="eastAsia"/>
          <w:color w:val="auto"/>
          <w:lang w:val="en-US" w:eastAsia="zh-CN"/>
        </w:rPr>
        <w:t>方案重点</w:t>
      </w:r>
    </w:p>
    <w:p>
      <w:pPr>
        <w:rPr>
          <w:rFonts w:hint="default"/>
          <w:color w:val="auto"/>
          <w:lang w:val="en-US" w:eastAsia="zh-CN"/>
        </w:rPr>
      </w:pPr>
      <w:r>
        <w:rPr>
          <w:rFonts w:hint="eastAsia"/>
          <w:color w:val="auto"/>
          <w:lang w:val="en-US" w:eastAsia="zh-CN"/>
        </w:rPr>
        <w:t>根据《</w:t>
      </w:r>
      <w:r>
        <w:rPr>
          <w:rFonts w:hint="default"/>
          <w:color w:val="auto"/>
          <w:lang w:val="en-US" w:eastAsia="zh-CN"/>
        </w:rPr>
        <w:t>突发环境事件应急监测技术规范</w:t>
      </w:r>
      <w:r>
        <w:rPr>
          <w:rFonts w:hint="eastAsia"/>
          <w:color w:val="auto"/>
          <w:lang w:val="en-US" w:eastAsia="zh-CN"/>
        </w:rPr>
        <w:t>》</w:t>
      </w:r>
      <w:r>
        <w:rPr>
          <w:rFonts w:hint="default"/>
          <w:color w:val="auto"/>
          <w:lang w:val="en-US" w:eastAsia="zh-CN"/>
        </w:rPr>
        <w:t>（HJ 589</w:t>
      </w:r>
      <w:r>
        <w:rPr>
          <w:rFonts w:hint="eastAsia"/>
          <w:color w:val="auto"/>
          <w:lang w:val="en-US" w:eastAsia="zh-CN"/>
        </w:rPr>
        <w:t>-</w:t>
      </w:r>
      <w:r>
        <w:rPr>
          <w:rFonts w:hint="default"/>
          <w:color w:val="auto"/>
          <w:lang w:val="en-US" w:eastAsia="zh-CN"/>
        </w:rPr>
        <w:t>2021）</w:t>
      </w:r>
      <w:r>
        <w:rPr>
          <w:rFonts w:hint="eastAsia"/>
          <w:color w:val="auto"/>
          <w:lang w:val="en-US" w:eastAsia="zh-CN"/>
        </w:rPr>
        <w:t>，应急监测方案重点内容如下：</w:t>
      </w:r>
    </w:p>
    <w:p>
      <w:pPr>
        <w:bidi w:val="0"/>
        <w:ind w:firstLine="560" w:firstLineChars="200"/>
        <w:rPr>
          <w:color w:val="auto"/>
        </w:rPr>
      </w:pPr>
      <w:r>
        <w:rPr>
          <w:rFonts w:hint="eastAsia"/>
          <w:color w:val="auto"/>
          <w:lang w:val="en-US" w:eastAsia="zh-CN"/>
        </w:rPr>
        <w:t>（1）</w:t>
      </w:r>
      <w:r>
        <w:rPr>
          <w:color w:val="auto"/>
        </w:rPr>
        <w:t>特征污染物的甄别</w:t>
      </w:r>
    </w:p>
    <w:p>
      <w:pPr>
        <w:rPr>
          <w:rFonts w:hint="default"/>
          <w:color w:val="auto"/>
          <w:lang w:val="en-US" w:eastAsia="zh-CN"/>
        </w:rPr>
      </w:pPr>
      <w:r>
        <w:rPr>
          <w:rFonts w:hint="eastAsia"/>
          <w:color w:val="auto"/>
          <w:lang w:val="en-US" w:eastAsia="zh-CN"/>
        </w:rPr>
        <w:t>①</w:t>
      </w:r>
      <w:r>
        <w:rPr>
          <w:rFonts w:hint="default"/>
          <w:color w:val="auto"/>
          <w:lang w:val="en-US" w:eastAsia="zh-CN"/>
        </w:rPr>
        <w:t>已知污染物</w:t>
      </w:r>
    </w:p>
    <w:p>
      <w:pPr>
        <w:rPr>
          <w:rFonts w:hint="default"/>
          <w:color w:val="auto"/>
          <w:lang w:val="en-US" w:eastAsia="zh-CN"/>
        </w:rPr>
      </w:pPr>
      <w:r>
        <w:rPr>
          <w:rFonts w:hint="eastAsia"/>
          <w:color w:val="auto"/>
          <w:lang w:val="en-US" w:eastAsia="zh-CN"/>
        </w:rPr>
        <w:t>（a）</w:t>
      </w:r>
      <w:r>
        <w:rPr>
          <w:rFonts w:hint="default"/>
          <w:color w:val="auto"/>
          <w:lang w:val="en-US" w:eastAsia="zh-CN"/>
        </w:rPr>
        <w:t>可以立即根据污染物的特点，确定监测项目</w:t>
      </w:r>
      <w:r>
        <w:rPr>
          <w:rFonts w:hint="eastAsia"/>
          <w:color w:val="auto"/>
          <w:lang w:val="en-US" w:eastAsia="zh-CN"/>
        </w:rPr>
        <w:t>，</w:t>
      </w:r>
      <w:r>
        <w:rPr>
          <w:rFonts w:hint="default"/>
          <w:color w:val="auto"/>
          <w:lang w:val="en-US" w:eastAsia="zh-CN"/>
        </w:rPr>
        <w:t>同时应考虑污染物在环境中可能产生的反应，衍生成其他有毒物质。</w:t>
      </w:r>
    </w:p>
    <w:p>
      <w:pPr>
        <w:rPr>
          <w:rFonts w:hint="default"/>
          <w:color w:val="auto"/>
          <w:lang w:val="en-US" w:eastAsia="zh-CN"/>
        </w:rPr>
      </w:pPr>
      <w:r>
        <w:rPr>
          <w:rFonts w:hint="eastAsia"/>
          <w:color w:val="auto"/>
          <w:lang w:val="en-US" w:eastAsia="zh-CN"/>
        </w:rPr>
        <w:t>（b）</w:t>
      </w:r>
      <w:r>
        <w:rPr>
          <w:rFonts w:hint="default"/>
          <w:color w:val="auto"/>
          <w:lang w:val="en-US" w:eastAsia="zh-CN"/>
        </w:rPr>
        <w:t>对固定源引发的</w:t>
      </w:r>
      <w:r>
        <w:rPr>
          <w:rFonts w:hint="eastAsia"/>
          <w:color w:val="auto"/>
          <w:lang w:val="en-US" w:eastAsia="zh-CN"/>
        </w:rPr>
        <w:t>突发生态环境事件</w:t>
      </w:r>
      <w:r>
        <w:rPr>
          <w:rFonts w:hint="default"/>
          <w:color w:val="auto"/>
          <w:lang w:val="en-US" w:eastAsia="zh-CN"/>
        </w:rPr>
        <w:t>，通过对引发</w:t>
      </w:r>
      <w:r>
        <w:rPr>
          <w:rFonts w:hint="eastAsia"/>
          <w:color w:val="auto"/>
          <w:lang w:val="en-US" w:eastAsia="zh-CN"/>
        </w:rPr>
        <w:t>突发生态环境事件</w:t>
      </w:r>
      <w:r>
        <w:rPr>
          <w:rFonts w:hint="default"/>
          <w:color w:val="auto"/>
          <w:lang w:val="en-US" w:eastAsia="zh-CN"/>
        </w:rPr>
        <w:t>固定源单位的有关人员（如管理、技术人员等）的调查询问，查阅环评报告、竣工验收监测报告、</w:t>
      </w:r>
      <w:r>
        <w:rPr>
          <w:rFonts w:hint="eastAsia"/>
          <w:color w:val="auto"/>
          <w:lang w:val="en-US" w:eastAsia="zh-CN"/>
        </w:rPr>
        <w:t>突发生态环境事件</w:t>
      </w:r>
      <w:r>
        <w:rPr>
          <w:rFonts w:hint="default"/>
          <w:color w:val="auto"/>
          <w:lang w:val="en-US" w:eastAsia="zh-CN"/>
        </w:rPr>
        <w:t>应急预案以及对</w:t>
      </w:r>
      <w:r>
        <w:rPr>
          <w:rFonts w:hint="eastAsia"/>
          <w:color w:val="auto"/>
          <w:lang w:val="en-US" w:eastAsia="zh-CN"/>
        </w:rPr>
        <w:t>突发生态环境事件</w:t>
      </w:r>
      <w:r>
        <w:rPr>
          <w:rFonts w:hint="default"/>
          <w:color w:val="auto"/>
          <w:lang w:val="en-US" w:eastAsia="zh-CN"/>
        </w:rPr>
        <w:t>单位所用设备、原辅材料、产品、危险废物等调查，同时采集有代表性的污染源样品，确认主要污染物和监测项目。</w:t>
      </w:r>
    </w:p>
    <w:p>
      <w:pPr>
        <w:rPr>
          <w:rFonts w:hint="default"/>
          <w:color w:val="auto"/>
          <w:lang w:val="en-US" w:eastAsia="zh-CN"/>
        </w:rPr>
      </w:pPr>
      <w:r>
        <w:rPr>
          <w:rFonts w:hint="eastAsia"/>
          <w:color w:val="auto"/>
          <w:lang w:val="en-US" w:eastAsia="zh-CN"/>
        </w:rPr>
        <w:t>（c）</w:t>
      </w:r>
      <w:r>
        <w:rPr>
          <w:rFonts w:hint="default"/>
          <w:color w:val="auto"/>
          <w:lang w:val="en-US" w:eastAsia="zh-CN"/>
        </w:rPr>
        <w:t>对流动源引发的</w:t>
      </w:r>
      <w:r>
        <w:rPr>
          <w:rFonts w:hint="eastAsia"/>
          <w:color w:val="auto"/>
          <w:lang w:val="en-US" w:eastAsia="zh-CN"/>
        </w:rPr>
        <w:t>突发生态环境事件</w:t>
      </w:r>
      <w:r>
        <w:rPr>
          <w:rFonts w:hint="default"/>
          <w:color w:val="auto"/>
          <w:lang w:val="en-US" w:eastAsia="zh-CN"/>
        </w:rPr>
        <w:t>，通过对有关人员（如货主、驾驶员、押运员等）的询问及运送危险化学品或危险废物的外包装、准运证、押运证、上岗证、驾驶证、车号（或船号）等信息，调查运输危险化学品（危险废物）的名称、数量、来源、生产或使用单位，同时采集代表性的污染源样品，确认主要污染物和监测项目。</w:t>
      </w:r>
    </w:p>
    <w:p>
      <w:pPr>
        <w:rPr>
          <w:rFonts w:hint="default"/>
          <w:color w:val="auto"/>
          <w:lang w:val="en-US" w:eastAsia="zh-CN"/>
        </w:rPr>
      </w:pPr>
      <w:r>
        <w:rPr>
          <w:rFonts w:hint="eastAsia"/>
          <w:color w:val="auto"/>
          <w:lang w:val="en-US" w:eastAsia="zh-CN"/>
        </w:rPr>
        <w:t>②</w:t>
      </w:r>
      <w:r>
        <w:rPr>
          <w:rFonts w:hint="default"/>
          <w:color w:val="auto"/>
          <w:lang w:val="en-US" w:eastAsia="zh-CN"/>
        </w:rPr>
        <w:t>未知污染物</w:t>
      </w:r>
    </w:p>
    <w:p>
      <w:pPr>
        <w:rPr>
          <w:rFonts w:hint="default"/>
          <w:color w:val="auto"/>
          <w:lang w:val="en-US" w:eastAsia="zh-CN"/>
        </w:rPr>
      </w:pPr>
      <w:r>
        <w:rPr>
          <w:rFonts w:hint="eastAsia"/>
          <w:color w:val="auto"/>
          <w:lang w:val="en-US" w:eastAsia="zh-CN"/>
        </w:rPr>
        <w:t>（a）</w:t>
      </w:r>
      <w:r>
        <w:rPr>
          <w:rFonts w:hint="default"/>
          <w:color w:val="auto"/>
          <w:lang w:val="en-US" w:eastAsia="zh-CN"/>
        </w:rPr>
        <w:t>通过污染事故现场的一些特征、如气味、挥发性、遇水的反应特性、颜色及对周围环境、作物的影响等，初步确定主要污染物和监测项目。如发生人员或动物中毒事故，可根据中毒反应的特殊症状，初步确定主要污染物和监测项目。</w:t>
      </w:r>
    </w:p>
    <w:p>
      <w:pPr>
        <w:rPr>
          <w:rFonts w:hint="default"/>
          <w:color w:val="auto"/>
          <w:lang w:val="en-US" w:eastAsia="zh-CN"/>
        </w:rPr>
      </w:pPr>
      <w:r>
        <w:rPr>
          <w:rFonts w:hint="eastAsia"/>
          <w:color w:val="auto"/>
          <w:lang w:val="en-US" w:eastAsia="zh-CN"/>
        </w:rPr>
        <w:t>（b）</w:t>
      </w:r>
      <w:r>
        <w:rPr>
          <w:rFonts w:hint="default"/>
          <w:color w:val="auto"/>
          <w:lang w:val="en-US" w:eastAsia="zh-CN"/>
        </w:rPr>
        <w:t>通过事故现场周围可能产生污染的排放源的生产、环保、安全记录，初步确定主要污染物和监测项目。</w:t>
      </w:r>
    </w:p>
    <w:p>
      <w:pPr>
        <w:rPr>
          <w:rFonts w:hint="default"/>
          <w:color w:val="auto"/>
          <w:lang w:val="en-US" w:eastAsia="zh-CN"/>
        </w:rPr>
      </w:pPr>
      <w:r>
        <w:rPr>
          <w:rFonts w:hint="eastAsia"/>
          <w:color w:val="auto"/>
          <w:lang w:val="en-US" w:eastAsia="zh-CN"/>
        </w:rPr>
        <w:t>（c）</w:t>
      </w:r>
      <w:r>
        <w:rPr>
          <w:rFonts w:hint="default"/>
          <w:color w:val="auto"/>
          <w:lang w:val="en-US" w:eastAsia="zh-CN"/>
        </w:rPr>
        <w:t>利用水质自动站和污染源在线监测系统等现有仪器设备，确定主要污染物和监测项目。</w:t>
      </w:r>
    </w:p>
    <w:p>
      <w:pPr>
        <w:rPr>
          <w:rFonts w:hint="default"/>
          <w:color w:val="auto"/>
          <w:lang w:val="en-US" w:eastAsia="zh-CN"/>
        </w:rPr>
      </w:pPr>
      <w:r>
        <w:rPr>
          <w:rFonts w:hint="eastAsia"/>
          <w:color w:val="auto"/>
          <w:lang w:val="en-US" w:eastAsia="zh-CN"/>
        </w:rPr>
        <w:t>（d）</w:t>
      </w:r>
      <w:r>
        <w:rPr>
          <w:rFonts w:hint="default"/>
          <w:color w:val="auto"/>
          <w:lang w:val="en-US" w:eastAsia="zh-CN"/>
        </w:rPr>
        <w:t>通过现场采样分析，包括采集有代表性的污染源样品，利用试纸、快速检测管和便携式监测仪器等现场快速分析手段，确定主要污染物和监测项目。</w:t>
      </w:r>
    </w:p>
    <w:p>
      <w:pPr>
        <w:rPr>
          <w:rFonts w:hint="default"/>
          <w:color w:val="auto"/>
          <w:lang w:val="en-US" w:eastAsia="zh-CN"/>
        </w:rPr>
      </w:pPr>
      <w:r>
        <w:rPr>
          <w:rFonts w:hint="eastAsia"/>
          <w:color w:val="auto"/>
          <w:lang w:val="en-US" w:eastAsia="zh-CN"/>
        </w:rPr>
        <w:t>（e）</w:t>
      </w:r>
      <w:r>
        <w:rPr>
          <w:rFonts w:hint="default"/>
          <w:color w:val="auto"/>
          <w:lang w:val="en-US" w:eastAsia="zh-CN"/>
        </w:rPr>
        <w:t>通过采集样品，包括采集有代表性的污染源样品，送实验室分析后确定主要污染物和监测项目。</w:t>
      </w:r>
    </w:p>
    <w:p>
      <w:pPr>
        <w:rPr>
          <w:rFonts w:hint="eastAsia"/>
          <w:color w:val="auto"/>
          <w:lang w:val="en-US" w:eastAsia="zh-CN"/>
        </w:rPr>
      </w:pPr>
      <w:r>
        <w:rPr>
          <w:rFonts w:hint="eastAsia"/>
          <w:color w:val="auto"/>
          <w:lang w:val="en-US" w:eastAsia="zh-CN"/>
        </w:rPr>
        <w:t>（f）</w:t>
      </w:r>
      <w:r>
        <w:rPr>
          <w:rFonts w:hint="default"/>
          <w:color w:val="auto"/>
          <w:lang w:val="en-US" w:eastAsia="zh-CN"/>
        </w:rPr>
        <w:t>通过专家咨询，锁定监测项目。</w:t>
      </w:r>
    </w:p>
    <w:p>
      <w:pPr>
        <w:numPr>
          <w:ilvl w:val="0"/>
          <w:numId w:val="3"/>
        </w:numPr>
        <w:bidi w:val="0"/>
        <w:rPr>
          <w:rFonts w:hint="default"/>
          <w:color w:val="auto"/>
        </w:rPr>
      </w:pPr>
      <w:r>
        <w:rPr>
          <w:rFonts w:hint="default"/>
          <w:color w:val="auto"/>
        </w:rPr>
        <w:t>监测点位布设</w:t>
      </w:r>
    </w:p>
    <w:p>
      <w:pPr>
        <w:rPr>
          <w:rFonts w:hint="default"/>
          <w:color w:val="auto"/>
          <w:lang w:val="en-US" w:eastAsia="zh-CN"/>
        </w:rPr>
      </w:pPr>
      <w:r>
        <w:rPr>
          <w:rFonts w:hint="default"/>
          <w:color w:val="auto"/>
          <w:lang w:val="en-US" w:eastAsia="zh-CN"/>
        </w:rPr>
        <w:t>应急监测定量和定污染范围阶段、监控污染状况阶段应根据污染事故的特点，由污染物的扩散速度和时间、污染发生地的水文、气象和地域特征、污染物特性，经模拟计算预测污染物可能的扩散范围，在此范围内科学的布设相应数量的监测点位，以便反映事故发生区域环境的污染程度和污染范围。随着污染物扩散情况和监测结果的变化趋势适时调整布点数量和检测频次。</w:t>
      </w:r>
    </w:p>
    <w:p>
      <w:pPr>
        <w:bidi w:val="0"/>
        <w:ind w:firstLine="560" w:firstLineChars="200"/>
        <w:rPr>
          <w:color w:val="auto"/>
        </w:rPr>
      </w:pPr>
      <w:r>
        <w:rPr>
          <w:rFonts w:hint="eastAsia"/>
          <w:color w:val="auto"/>
          <w:lang w:val="en-US" w:eastAsia="zh-CN"/>
        </w:rPr>
        <w:t>①</w:t>
      </w:r>
      <w:r>
        <w:rPr>
          <w:rFonts w:hint="default"/>
          <w:color w:val="auto"/>
        </w:rPr>
        <w:t>对照断面：</w:t>
      </w:r>
      <w:r>
        <w:rPr>
          <w:rFonts w:hint="default"/>
          <w:color w:val="auto"/>
          <w:lang w:eastAsia="zh-CN"/>
        </w:rPr>
        <w:t>在事故点上游不受影响区域布设不少于1个断面，用于掌握污染前的背景水质状况，应优先选择日常监测断面以保证数据可比性</w:t>
      </w:r>
      <w:r>
        <w:rPr>
          <w:rFonts w:hint="default"/>
          <w:color w:val="auto"/>
        </w:rPr>
        <w:t>。</w:t>
      </w:r>
    </w:p>
    <w:p>
      <w:pPr>
        <w:bidi w:val="0"/>
        <w:ind w:firstLine="560" w:firstLineChars="200"/>
        <w:rPr>
          <w:color w:val="auto"/>
        </w:rPr>
      </w:pPr>
      <w:r>
        <w:rPr>
          <w:rFonts w:hint="eastAsia"/>
          <w:color w:val="auto"/>
          <w:lang w:val="en-US" w:eastAsia="zh-CN"/>
        </w:rPr>
        <w:t>②</w:t>
      </w:r>
      <w:r>
        <w:rPr>
          <w:rFonts w:hint="default"/>
          <w:color w:val="auto"/>
        </w:rPr>
        <w:t>控制断面：</w:t>
      </w:r>
    </w:p>
    <w:p>
      <w:pPr>
        <w:bidi w:val="0"/>
        <w:ind w:firstLine="560" w:firstLineChars="200"/>
        <w:rPr>
          <w:color w:val="auto"/>
        </w:rPr>
      </w:pPr>
      <w:r>
        <w:rPr>
          <w:rFonts w:hint="eastAsia"/>
          <w:color w:val="auto"/>
          <w:lang w:val="en-US" w:eastAsia="zh-CN"/>
        </w:rPr>
        <w:t>（a）</w:t>
      </w:r>
      <w:r>
        <w:rPr>
          <w:rFonts w:hint="default"/>
          <w:color w:val="auto"/>
        </w:rPr>
        <w:t>污染源下游附近：用于确定污染源强及初始浓度。</w:t>
      </w:r>
    </w:p>
    <w:p>
      <w:pPr>
        <w:bidi w:val="0"/>
        <w:ind w:firstLine="560" w:firstLineChars="200"/>
        <w:rPr>
          <w:color w:val="auto"/>
        </w:rPr>
      </w:pPr>
      <w:r>
        <w:rPr>
          <w:rFonts w:hint="eastAsia"/>
          <w:color w:val="auto"/>
          <w:lang w:val="en-US" w:eastAsia="zh-CN"/>
        </w:rPr>
        <w:t>（b）</w:t>
      </w:r>
      <w:r>
        <w:rPr>
          <w:rFonts w:hint="default"/>
          <w:color w:val="auto"/>
        </w:rPr>
        <w:t>水源地入口/取水口上游：在取水口上游设置预警断面（如5公里、10公里处），作为启用应急工程措施（如启动活性炭投加</w:t>
      </w:r>
      <w:r>
        <w:rPr>
          <w:rFonts w:hint="eastAsia"/>
          <w:color w:val="auto"/>
          <w:lang w:eastAsia="zh-CN"/>
        </w:rPr>
        <w:t>、</w:t>
      </w:r>
      <w:r>
        <w:rPr>
          <w:rFonts w:hint="eastAsia"/>
          <w:color w:val="auto"/>
          <w:lang w:val="en-US" w:eastAsia="zh-CN"/>
        </w:rPr>
        <w:t>停止取水</w:t>
      </w:r>
      <w:r>
        <w:rPr>
          <w:rFonts w:hint="default"/>
          <w:color w:val="auto"/>
        </w:rPr>
        <w:t>）的关键触发点位。</w:t>
      </w:r>
    </w:p>
    <w:p>
      <w:pPr>
        <w:bidi w:val="0"/>
        <w:ind w:firstLine="560" w:firstLineChars="200"/>
        <w:rPr>
          <w:color w:val="auto"/>
        </w:rPr>
      </w:pPr>
      <w:r>
        <w:rPr>
          <w:rFonts w:hint="eastAsia"/>
          <w:color w:val="auto"/>
          <w:lang w:eastAsia="zh-CN"/>
        </w:rPr>
        <w:t>（</w:t>
      </w:r>
      <w:r>
        <w:rPr>
          <w:rFonts w:hint="eastAsia"/>
          <w:color w:val="auto"/>
          <w:lang w:val="en-US" w:eastAsia="zh-CN"/>
        </w:rPr>
        <w:t>c</w:t>
      </w:r>
      <w:r>
        <w:rPr>
          <w:rFonts w:hint="eastAsia"/>
          <w:color w:val="auto"/>
          <w:lang w:eastAsia="zh-CN"/>
        </w:rPr>
        <w:t>）</w:t>
      </w:r>
      <w:r>
        <w:rPr>
          <w:rFonts w:hint="default"/>
          <w:color w:val="auto"/>
        </w:rPr>
        <w:t>敏感区域：饮用水源保护区边界</w:t>
      </w:r>
      <w:r>
        <w:rPr>
          <w:rFonts w:hint="eastAsia"/>
          <w:color w:val="auto"/>
          <w:lang w:val="en-US" w:eastAsia="zh-CN"/>
        </w:rPr>
        <w:t>和</w:t>
      </w:r>
      <w:r>
        <w:rPr>
          <w:rFonts w:hint="default"/>
          <w:color w:val="auto"/>
        </w:rPr>
        <w:t>水厂取水口。</w:t>
      </w:r>
    </w:p>
    <w:p>
      <w:pPr>
        <w:bidi w:val="0"/>
        <w:ind w:firstLine="560" w:firstLineChars="200"/>
        <w:rPr>
          <w:color w:val="auto"/>
        </w:rPr>
      </w:pPr>
      <w:r>
        <w:rPr>
          <w:rFonts w:hint="eastAsia"/>
          <w:color w:val="auto"/>
          <w:lang w:val="en-US" w:eastAsia="zh-CN"/>
        </w:rPr>
        <w:t>③</w:t>
      </w:r>
      <w:r>
        <w:rPr>
          <w:rFonts w:hint="default"/>
          <w:color w:val="auto"/>
        </w:rPr>
        <w:t>削减断面：在污染带下游，用于追踪污染物降解及浓度变化，直至水质恢复正常。</w:t>
      </w:r>
    </w:p>
    <w:p>
      <w:pPr>
        <w:bidi w:val="0"/>
        <w:ind w:firstLine="560" w:firstLineChars="200"/>
        <w:rPr>
          <w:color w:val="auto"/>
        </w:rPr>
      </w:pPr>
      <w:r>
        <w:rPr>
          <w:rFonts w:hint="eastAsia"/>
          <w:color w:val="auto"/>
          <w:lang w:val="en-US" w:eastAsia="zh-CN"/>
        </w:rPr>
        <w:t>（3）</w:t>
      </w:r>
      <w:r>
        <w:rPr>
          <w:rFonts w:hint="default"/>
          <w:color w:val="auto"/>
        </w:rPr>
        <w:t>监测项目与频次</w:t>
      </w:r>
    </w:p>
    <w:p>
      <w:pPr>
        <w:bidi w:val="0"/>
        <w:ind w:firstLine="560" w:firstLineChars="200"/>
        <w:rPr>
          <w:color w:val="auto"/>
        </w:rPr>
      </w:pPr>
      <w:r>
        <w:rPr>
          <w:rFonts w:hint="eastAsia"/>
          <w:color w:val="auto"/>
          <w:lang w:val="en-US" w:eastAsia="zh-CN"/>
        </w:rPr>
        <w:t>①</w:t>
      </w:r>
      <w:r>
        <w:rPr>
          <w:rFonts w:hint="default"/>
          <w:color w:val="auto"/>
        </w:rPr>
        <w:t>监测指标</w:t>
      </w:r>
    </w:p>
    <w:p>
      <w:pPr>
        <w:bidi w:val="0"/>
        <w:ind w:firstLine="560" w:firstLineChars="200"/>
        <w:rPr>
          <w:color w:val="auto"/>
        </w:rPr>
      </w:pPr>
      <w:r>
        <w:rPr>
          <w:rFonts w:hint="eastAsia"/>
          <w:color w:val="auto"/>
          <w:lang w:val="en-US" w:eastAsia="zh-CN"/>
        </w:rPr>
        <w:t>（a）</w:t>
      </w:r>
      <w:r>
        <w:rPr>
          <w:rFonts w:hint="default"/>
          <w:color w:val="auto"/>
        </w:rPr>
        <w:t>必测项目：pH、溶解氧、电导率、浊度、水温等。</w:t>
      </w:r>
    </w:p>
    <w:p>
      <w:pPr>
        <w:bidi w:val="0"/>
        <w:ind w:firstLine="560" w:firstLineChars="200"/>
        <w:rPr>
          <w:color w:val="auto"/>
        </w:rPr>
      </w:pPr>
      <w:r>
        <w:rPr>
          <w:rFonts w:hint="eastAsia"/>
          <w:color w:val="auto"/>
          <w:lang w:eastAsia="zh-CN"/>
        </w:rPr>
        <w:t>（</w:t>
      </w:r>
      <w:r>
        <w:rPr>
          <w:rFonts w:hint="eastAsia"/>
          <w:color w:val="auto"/>
          <w:lang w:val="en-US" w:eastAsia="zh-CN"/>
        </w:rPr>
        <w:t>b</w:t>
      </w:r>
      <w:r>
        <w:rPr>
          <w:rFonts w:hint="eastAsia"/>
          <w:color w:val="auto"/>
          <w:lang w:eastAsia="zh-CN"/>
        </w:rPr>
        <w:t>）</w:t>
      </w:r>
      <w:r>
        <w:rPr>
          <w:rFonts w:hint="default"/>
          <w:color w:val="auto"/>
        </w:rPr>
        <w:t>特征项目：根据甄别出的特征污染物确定（如苯系物、重金属、挥发酚、石油类等）。</w:t>
      </w:r>
    </w:p>
    <w:p>
      <w:pPr>
        <w:bidi w:val="0"/>
        <w:ind w:firstLine="560" w:firstLineChars="200"/>
        <w:rPr>
          <w:color w:val="auto"/>
        </w:rPr>
      </w:pPr>
      <w:r>
        <w:rPr>
          <w:rFonts w:hint="eastAsia"/>
          <w:color w:val="auto"/>
          <w:lang w:val="en-US" w:eastAsia="zh-CN"/>
        </w:rPr>
        <w:t>（c）</w:t>
      </w:r>
      <w:r>
        <w:rPr>
          <w:rFonts w:hint="default"/>
          <w:color w:val="auto"/>
        </w:rPr>
        <w:t>非常规项目：如发生水华，需增加叶绿素a、藻密度、微囊藻毒素等指标。</w:t>
      </w:r>
    </w:p>
    <w:p>
      <w:pPr>
        <w:bidi w:val="0"/>
        <w:ind w:firstLine="560" w:firstLineChars="200"/>
        <w:rPr>
          <w:rFonts w:hint="default"/>
          <w:color w:val="auto"/>
        </w:rPr>
      </w:pPr>
      <w:r>
        <w:rPr>
          <w:rFonts w:hint="eastAsia"/>
          <w:color w:val="auto"/>
          <w:lang w:val="en-US" w:eastAsia="zh-CN"/>
        </w:rPr>
        <w:t>②</w:t>
      </w:r>
      <w:r>
        <w:rPr>
          <w:rFonts w:hint="default"/>
          <w:color w:val="auto"/>
        </w:rPr>
        <w:t>监测频次</w:t>
      </w:r>
    </w:p>
    <w:p>
      <w:pPr>
        <w:snapToGrid w:val="0"/>
        <w:ind w:firstLine="560"/>
        <w:rPr>
          <w:rFonts w:hint="default"/>
          <w:color w:val="auto"/>
        </w:rPr>
      </w:pPr>
      <w:r>
        <w:rPr>
          <w:rFonts w:hint="default"/>
          <w:color w:val="auto"/>
          <w:sz w:val="28"/>
          <w:szCs w:val="28"/>
        </w:rPr>
        <w:t>事故发生初期，可根据现场的水文、气象条件，适当加密采样频次，待摸清污染物变化规律后，可逐步减少采样频次</w:t>
      </w:r>
      <w:r>
        <w:rPr>
          <w:rFonts w:hint="default"/>
          <w:color w:val="auto"/>
          <w:sz w:val="28"/>
          <w:szCs w:val="28"/>
          <w:lang w:eastAsia="zh-CN"/>
        </w:rPr>
        <w:t>，力求以最低的采样频次，取得最有代表性的样品，既满足反映环境污染程度、范围的要求，又切实可行。</w:t>
      </w:r>
    </w:p>
    <w:p>
      <w:pPr>
        <w:bidi w:val="0"/>
        <w:ind w:firstLine="560" w:firstLineChars="200"/>
        <w:rPr>
          <w:color w:val="auto"/>
        </w:rPr>
      </w:pPr>
      <w:r>
        <w:rPr>
          <w:rFonts w:hint="eastAsia"/>
          <w:color w:val="auto"/>
          <w:lang w:eastAsia="zh-CN"/>
        </w:rPr>
        <w:t>（</w:t>
      </w:r>
      <w:r>
        <w:rPr>
          <w:rFonts w:hint="eastAsia"/>
          <w:color w:val="auto"/>
          <w:lang w:val="en-US" w:eastAsia="zh-CN"/>
        </w:rPr>
        <w:t>a</w:t>
      </w:r>
      <w:r>
        <w:rPr>
          <w:rFonts w:hint="eastAsia"/>
          <w:color w:val="auto"/>
          <w:lang w:eastAsia="zh-CN"/>
        </w:rPr>
        <w:t>）</w:t>
      </w:r>
      <w:r>
        <w:rPr>
          <w:rFonts w:hint="default"/>
          <w:color w:val="auto"/>
        </w:rPr>
        <w:t>应急初期：加密监测，根据水文条件，一般每1-2小时或2-4小时采样一次，实时追踪污染团。</w:t>
      </w:r>
    </w:p>
    <w:p>
      <w:pPr>
        <w:bidi w:val="0"/>
        <w:ind w:firstLine="560" w:firstLineChars="200"/>
        <w:rPr>
          <w:color w:val="auto"/>
        </w:rPr>
      </w:pPr>
      <w:r>
        <w:rPr>
          <w:rFonts w:hint="eastAsia"/>
          <w:color w:val="auto"/>
          <w:lang w:eastAsia="zh-CN"/>
        </w:rPr>
        <w:t>（</w:t>
      </w:r>
      <w:r>
        <w:rPr>
          <w:rFonts w:hint="eastAsia"/>
          <w:color w:val="auto"/>
          <w:lang w:val="en-US" w:eastAsia="zh-CN"/>
        </w:rPr>
        <w:t>b</w:t>
      </w:r>
      <w:r>
        <w:rPr>
          <w:rFonts w:hint="eastAsia"/>
          <w:color w:val="auto"/>
          <w:lang w:eastAsia="zh-CN"/>
        </w:rPr>
        <w:t>）</w:t>
      </w:r>
      <w:r>
        <w:rPr>
          <w:rFonts w:hint="default"/>
          <w:color w:val="auto"/>
        </w:rPr>
        <w:t>应急中期：污染团通过取水口或得到控制后，可降低频次（如每4-8小时一次），持续关注水质恢复情况。</w:t>
      </w:r>
    </w:p>
    <w:p>
      <w:pPr>
        <w:bidi w:val="0"/>
        <w:ind w:firstLine="560" w:firstLineChars="200"/>
        <w:rPr>
          <w:rFonts w:hint="default"/>
          <w:color w:val="auto"/>
        </w:rPr>
      </w:pPr>
      <w:r>
        <w:rPr>
          <w:rFonts w:hint="eastAsia"/>
          <w:color w:val="auto"/>
          <w:lang w:eastAsia="zh-CN"/>
        </w:rPr>
        <w:t>（</w:t>
      </w:r>
      <w:r>
        <w:rPr>
          <w:rFonts w:hint="eastAsia"/>
          <w:color w:val="auto"/>
          <w:lang w:val="en-US" w:eastAsia="zh-CN"/>
        </w:rPr>
        <w:t>c</w:t>
      </w:r>
      <w:r>
        <w:rPr>
          <w:rFonts w:hint="eastAsia"/>
          <w:color w:val="auto"/>
          <w:lang w:eastAsia="zh-CN"/>
        </w:rPr>
        <w:t>）</w:t>
      </w:r>
      <w:r>
        <w:rPr>
          <w:rFonts w:hint="default"/>
          <w:color w:val="auto"/>
        </w:rPr>
        <w:t>应急后期：每天1-2次，直至连续两次监测结果均达到地表水环境质量标准限值。</w:t>
      </w:r>
    </w:p>
    <w:p>
      <w:pPr>
        <w:bidi w:val="0"/>
        <w:ind w:firstLine="560" w:firstLineChars="200"/>
        <w:rPr>
          <w:rFonts w:hint="eastAsia"/>
          <w:color w:val="auto"/>
          <w:lang w:val="en-US" w:eastAsia="zh-CN"/>
        </w:rPr>
      </w:pPr>
      <w:r>
        <w:rPr>
          <w:rFonts w:hint="eastAsia"/>
          <w:color w:val="auto"/>
          <w:lang w:val="en-US" w:eastAsia="zh-CN"/>
        </w:rPr>
        <w:t>（4）跟踪监测</w:t>
      </w:r>
    </w:p>
    <w:p>
      <w:pPr>
        <w:bidi w:val="0"/>
        <w:ind w:firstLine="560" w:firstLineChars="200"/>
        <w:rPr>
          <w:rFonts w:hint="default"/>
          <w:color w:val="auto"/>
          <w:lang w:val="en-US" w:eastAsia="zh-CN"/>
        </w:rPr>
      </w:pPr>
      <w:r>
        <w:rPr>
          <w:rFonts w:hint="default"/>
          <w:color w:val="auto"/>
          <w:lang w:val="en-US" w:eastAsia="zh-CN"/>
        </w:rPr>
        <w:t>跟踪监测是应急监测的第二阶段，核心任务是在初步确定污染物后，持续追踪其浓度变化与污染带移动，</w:t>
      </w:r>
      <w:r>
        <w:rPr>
          <w:rFonts w:hint="eastAsia"/>
          <w:color w:val="auto"/>
          <w:lang w:val="en-US" w:eastAsia="zh-CN"/>
        </w:rPr>
        <w:t>抓住污染带前锋、峰值位置和浓度变化，对污染带移动过程形成动态监控，</w:t>
      </w:r>
      <w:r>
        <w:rPr>
          <w:rFonts w:hint="default"/>
          <w:color w:val="auto"/>
          <w:lang w:val="en-US" w:eastAsia="zh-CN"/>
        </w:rPr>
        <w:t>为应急处置决策和评估效果提供实时数据支撑</w:t>
      </w:r>
      <w:r>
        <w:rPr>
          <w:rFonts w:hint="eastAsia"/>
          <w:color w:val="auto"/>
          <w:lang w:val="en-US" w:eastAsia="zh-CN"/>
        </w:rPr>
        <w:t>，主要工作内容如下：</w:t>
      </w:r>
    </w:p>
    <w:p>
      <w:pPr>
        <w:bidi w:val="0"/>
        <w:ind w:firstLine="560" w:firstLineChars="200"/>
        <w:rPr>
          <w:rFonts w:hint="eastAsia"/>
          <w:color w:val="auto"/>
          <w:lang w:val="en-US" w:eastAsia="zh-CN"/>
        </w:rPr>
      </w:pPr>
      <w:r>
        <w:rPr>
          <w:rFonts w:hint="eastAsia"/>
          <w:color w:val="auto"/>
          <w:lang w:val="en-US" w:eastAsia="zh-CN"/>
        </w:rPr>
        <w:t>①动态调整监测方案：根据事态发展（如应急处置效果），适时调整监测点位、断面和监测频次</w:t>
      </w:r>
      <w:r>
        <w:rPr>
          <w:rFonts w:hint="eastAsia"/>
          <w:color w:val="auto"/>
          <w:lang w:val="en-US" w:eastAsia="zh-CN"/>
        </w:rPr>
        <w:fldChar w:fldCharType="begin"/>
      </w:r>
      <w:r>
        <w:rPr>
          <w:rFonts w:hint="eastAsia"/>
          <w:color w:val="auto"/>
          <w:lang w:val="en-US" w:eastAsia="zh-CN"/>
        </w:rPr>
        <w:instrText xml:space="preserve"> HYPERLINK "http://dongfang.hainan.gov.cn/xxgkzl/szfbgs/xxgkml/202307/P020230713557323321437.docx" \l "10#4"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"https://new.yctwx.gov.cn/ycsrmzf/c104856/202601/419003.shtml"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"https://www.zuoyun.gov.cn/zyxrmzfz/zzf/202505/4f0212932e5e4b3eab660b9202a9a010.shtml"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t>。在污染物可能抵达取水口的关键时段加密监测</w:t>
      </w:r>
      <w:r>
        <w:rPr>
          <w:rFonts w:hint="eastAsia"/>
          <w:color w:val="auto"/>
          <w:lang w:val="en-US" w:eastAsia="zh-CN"/>
        </w:rPr>
        <w:fldChar w:fldCharType="begin"/>
      </w:r>
      <w:r>
        <w:rPr>
          <w:rFonts w:hint="eastAsia"/>
          <w:color w:val="auto"/>
          <w:lang w:val="en-US" w:eastAsia="zh-CN"/>
        </w:rPr>
        <w:instrText xml:space="preserve"> HYPERLINK "https://d.wanfangdata.com.cn/periodical/zgzq202302009"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t>，处置见效后可适当放宽。</w:t>
      </w:r>
    </w:p>
    <w:p>
      <w:pPr>
        <w:bidi w:val="0"/>
        <w:ind w:firstLine="560" w:firstLineChars="200"/>
        <w:rPr>
          <w:rFonts w:hint="eastAsia"/>
          <w:color w:val="auto"/>
          <w:lang w:val="en-US" w:eastAsia="zh-CN"/>
        </w:rPr>
      </w:pPr>
      <w:r>
        <w:rPr>
          <w:rFonts w:hint="eastAsia"/>
          <w:color w:val="auto"/>
          <w:lang w:val="en-US" w:eastAsia="zh-CN"/>
        </w:rPr>
        <w:t>②精准布点与加密监测：以事件发生地为中心，结合水文条件，在污染扩散方向及取水口密集布点</w:t>
      </w:r>
      <w:r>
        <w:rPr>
          <w:rFonts w:hint="eastAsia"/>
          <w:color w:val="auto"/>
          <w:lang w:val="en-US" w:eastAsia="zh-CN"/>
        </w:rPr>
        <w:fldChar w:fldCharType="begin"/>
      </w:r>
      <w:r>
        <w:rPr>
          <w:rFonts w:hint="eastAsia"/>
          <w:color w:val="auto"/>
          <w:lang w:val="en-US" w:eastAsia="zh-CN"/>
        </w:rPr>
        <w:instrText xml:space="preserve"> HYPERLINK "http://dongfang.hainan.gov.cn/xxgkzl/szfbgs/xxgkml/202307/P020230713557323321437.docx" \l "10#4"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"https://new.yctwx.gov.cn/ycsrmzf/c104856/202601/419003.shtml"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"https://huanbao.bjx.com.cn/news/20180408/890142-6.shtml"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t>。不同污染源类型有不同侧重点：</w:t>
      </w:r>
    </w:p>
    <w:p>
      <w:pPr>
        <w:bidi w:val="0"/>
        <w:ind w:firstLine="560" w:firstLineChars="200"/>
        <w:rPr>
          <w:rFonts w:hint="eastAsia"/>
          <w:color w:val="auto"/>
          <w:lang w:val="en-US" w:eastAsia="zh-CN"/>
        </w:rPr>
      </w:pPr>
      <w:r>
        <w:rPr>
          <w:rFonts w:hint="eastAsia"/>
          <w:color w:val="auto"/>
          <w:lang w:val="en-US" w:eastAsia="zh-CN"/>
        </w:rPr>
        <w:t>（a）固定源事件：对排污口附近水域、下游水源地进行加密跟踪监测</w:t>
      </w:r>
      <w:r>
        <w:rPr>
          <w:rFonts w:hint="eastAsia"/>
          <w:color w:val="auto"/>
          <w:lang w:val="en-US" w:eastAsia="zh-CN"/>
        </w:rPr>
        <w:fldChar w:fldCharType="begin"/>
      </w:r>
      <w:r>
        <w:rPr>
          <w:rFonts w:hint="eastAsia"/>
          <w:color w:val="auto"/>
          <w:lang w:val="en-US" w:eastAsia="zh-CN"/>
        </w:rPr>
        <w:instrText xml:space="preserve"> HYPERLINK "http://dongfang.hainan.gov.cn/xxgkzl/szfbgs/xxgkml/202307/P020230713557323321437.docx" \l "10#4"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"https://new.yctwx.gov.cn/ycsrmzf/c104856/202601/419003.shtml"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"https://huanbao.bjx.com.cn/news/20180408/890142-6.shtml"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t>。</w:t>
      </w:r>
    </w:p>
    <w:p>
      <w:pPr>
        <w:bidi w:val="0"/>
        <w:ind w:firstLine="560" w:firstLineChars="200"/>
        <w:rPr>
          <w:rFonts w:hint="eastAsia"/>
          <w:color w:val="auto"/>
          <w:lang w:val="en-US" w:eastAsia="zh-CN"/>
        </w:rPr>
      </w:pPr>
      <w:r>
        <w:rPr>
          <w:rFonts w:hint="eastAsia"/>
          <w:color w:val="auto"/>
          <w:lang w:val="en-US" w:eastAsia="zh-CN"/>
        </w:rPr>
        <w:t>（b）流动源/非点源事件：对事发区域下游水域、下游水源地进行加密跟踪监测</w:t>
      </w:r>
      <w:r>
        <w:rPr>
          <w:rFonts w:hint="eastAsia"/>
          <w:color w:val="auto"/>
          <w:lang w:val="en-US" w:eastAsia="zh-CN"/>
        </w:rPr>
        <w:fldChar w:fldCharType="begin"/>
      </w:r>
      <w:r>
        <w:rPr>
          <w:rFonts w:hint="eastAsia"/>
          <w:color w:val="auto"/>
          <w:lang w:val="en-US" w:eastAsia="zh-CN"/>
        </w:rPr>
        <w:instrText xml:space="preserve"> HYPERLINK "http://dongfang.hainan.gov.cn/xxgkzl/szfbgs/xxgkml/202307/P020230713557323321437.docx" \l "10#4"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"https://new.yctwx.gov.cn/ycsrmzf/c104856/202601/419003.shtml"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"https://huanbao.bjx.com.cn/news/20180408/890142-6.shtml"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t>。</w:t>
      </w:r>
    </w:p>
    <w:p>
      <w:pPr>
        <w:bidi w:val="0"/>
        <w:ind w:firstLine="560" w:firstLineChars="200"/>
        <w:rPr>
          <w:rFonts w:hint="eastAsia"/>
          <w:color w:val="auto"/>
          <w:lang w:val="en-US" w:eastAsia="zh-CN"/>
        </w:rPr>
      </w:pPr>
      <w:r>
        <w:rPr>
          <w:rFonts w:hint="eastAsia"/>
          <w:color w:val="auto"/>
          <w:lang w:val="en-US" w:eastAsia="zh-CN"/>
        </w:rPr>
        <w:t>（c）水华灾害：对取水口不同水层进行加密跟踪监测</w:t>
      </w:r>
      <w:r>
        <w:rPr>
          <w:rFonts w:hint="eastAsia"/>
          <w:color w:val="auto"/>
          <w:lang w:val="en-US" w:eastAsia="zh-CN"/>
        </w:rPr>
        <w:fldChar w:fldCharType="begin"/>
      </w:r>
      <w:r>
        <w:rPr>
          <w:rFonts w:hint="eastAsia"/>
          <w:color w:val="auto"/>
          <w:lang w:val="en-US" w:eastAsia="zh-CN"/>
        </w:rPr>
        <w:instrText xml:space="preserve"> HYPERLINK "https://new.yctwx.gov.cn/ycsrmzf/c104856/202601/419003.shtml"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"https://huanbao.bjx.com.cn/news/20180408/890142-6.shtml"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t>。</w:t>
      </w:r>
    </w:p>
    <w:p>
      <w:pPr>
        <w:bidi w:val="0"/>
        <w:ind w:firstLine="560" w:firstLineChars="200"/>
        <w:rPr>
          <w:rFonts w:hint="eastAsia"/>
          <w:color w:val="auto"/>
          <w:lang w:val="en-US" w:eastAsia="zh-CN"/>
        </w:rPr>
      </w:pPr>
      <w:r>
        <w:rPr>
          <w:rFonts w:hint="eastAsia"/>
          <w:color w:val="auto"/>
          <w:lang w:val="en-US" w:eastAsia="zh-CN"/>
        </w:rPr>
        <w:t>③锁定与扩展监测项目：重点监测已确定的主要污染物及其浓度变化</w:t>
      </w:r>
      <w:r>
        <w:rPr>
          <w:rFonts w:hint="eastAsia"/>
          <w:color w:val="auto"/>
          <w:lang w:val="en-US" w:eastAsia="zh-CN"/>
        </w:rPr>
        <w:fldChar w:fldCharType="begin"/>
      </w:r>
      <w:r>
        <w:rPr>
          <w:rFonts w:hint="eastAsia"/>
          <w:color w:val="auto"/>
          <w:lang w:val="en-US" w:eastAsia="zh-CN"/>
        </w:rPr>
        <w:instrText xml:space="preserve"> HYPERLINK "http://dongfang.hainan.gov.cn/xxgkzl/szfbgs/xxgkml/202307/P020230713557323321437.docx" \l "10#4"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"https://new.yctwx.gov.cn/ycsrmzf/c104856/202601/419003.shtml"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"https://huanbao.bjx.com.cn/news/20180408/890142-6.shtml"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t>，同时关注其可能产生的化学反应或衍生的其他有毒有害物质，必要时同步监测</w:t>
      </w:r>
      <w:r>
        <w:rPr>
          <w:rFonts w:hint="eastAsia"/>
          <w:color w:val="auto"/>
          <w:lang w:val="en-US" w:eastAsia="zh-CN"/>
        </w:rPr>
        <w:fldChar w:fldCharType="begin"/>
      </w:r>
      <w:r>
        <w:rPr>
          <w:rFonts w:hint="eastAsia"/>
          <w:color w:val="auto"/>
          <w:lang w:val="en-US" w:eastAsia="zh-CN"/>
        </w:rPr>
        <w:instrText xml:space="preserve"> HYPERLINK "http://dongfang.hainan.gov.cn/xxgkzl/szfbgs/xxgkml/202307/P020230713557323321437.docx" \l "10#4"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"https://new.yctwx.gov.cn/ycsrmzf/c104856/202601/419003.shtml"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"https://huanbao.bjx.com.cn/news/20180408/890142-6.shtml"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t>。</w:t>
      </w:r>
    </w:p>
    <w:p>
      <w:pPr>
        <w:bidi w:val="0"/>
        <w:ind w:firstLine="560" w:firstLineChars="200"/>
        <w:rPr>
          <w:rFonts w:hint="eastAsia"/>
          <w:color w:val="auto"/>
          <w:lang w:val="en-US" w:eastAsia="zh-CN"/>
        </w:rPr>
      </w:pPr>
      <w:r>
        <w:rPr>
          <w:rFonts w:hint="eastAsia"/>
          <w:color w:val="auto"/>
          <w:lang w:val="en-US" w:eastAsia="zh-CN"/>
        </w:rPr>
        <w:t>④快速报告与数据应用：监测结果需在第一时间通过电话、快报、简报等形式报告给现场应急指挥部</w:t>
      </w:r>
      <w:r>
        <w:rPr>
          <w:rFonts w:hint="eastAsia"/>
          <w:color w:val="auto"/>
          <w:lang w:val="en-US" w:eastAsia="zh-CN"/>
        </w:rPr>
        <w:fldChar w:fldCharType="begin"/>
      </w:r>
      <w:r>
        <w:rPr>
          <w:rFonts w:hint="eastAsia"/>
          <w:color w:val="auto"/>
          <w:lang w:val="en-US" w:eastAsia="zh-CN"/>
        </w:rPr>
        <w:instrText xml:space="preserve"> HYPERLINK "http://dongfang.hainan.gov.cn/xxgkzl/szfbgs/xxgkml/202307/P020230713557323321437.docx" \l "10#4"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"https://new.yctwx.gov.cn/ycsrmzf/c104856/202601/419003.shtml"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fldChar w:fldCharType="begin"/>
      </w:r>
      <w:r>
        <w:rPr>
          <w:rFonts w:hint="eastAsia"/>
          <w:color w:val="auto"/>
          <w:lang w:val="en-US" w:eastAsia="zh-CN"/>
        </w:rPr>
        <w:instrText xml:space="preserve"> HYPERLINK "https://huanbao.bjx.com.cn/news/20180408/890142-6.shtml" \t "https://chat.deepseek.com/a/chat/s/_blank" </w:instrText>
      </w:r>
      <w:r>
        <w:rPr>
          <w:rFonts w:hint="eastAsia"/>
          <w:color w:val="auto"/>
          <w:lang w:val="en-US" w:eastAsia="zh-CN"/>
        </w:rPr>
        <w:fldChar w:fldCharType="separate"/>
      </w:r>
      <w:r>
        <w:rPr>
          <w:rFonts w:hint="eastAsia"/>
          <w:color w:val="auto"/>
          <w:lang w:val="en-US" w:eastAsia="zh-CN"/>
        </w:rPr>
        <w:fldChar w:fldCharType="end"/>
      </w:r>
      <w:r>
        <w:rPr>
          <w:rFonts w:hint="eastAsia"/>
          <w:color w:val="auto"/>
          <w:lang w:val="en-US" w:eastAsia="zh-CN"/>
        </w:rPr>
        <w:t>，作为研判处置效果、调整处置方案、决定是否启用备用水源的科学依据。</w:t>
      </w:r>
    </w:p>
    <w:p>
      <w:pPr>
        <w:pStyle w:val="41"/>
        <w:rPr>
          <w:rFonts w:hint="default"/>
          <w:lang w:val="en-US" w:eastAsia="zh-CN"/>
        </w:rPr>
      </w:pPr>
      <w:r>
        <w:rPr>
          <w:rFonts w:hint="eastAsia"/>
          <w:color w:val="auto"/>
          <w:lang w:val="en-US" w:eastAsia="zh-CN"/>
        </w:rPr>
        <w:t>应急监测指标、频次、点位参考附件12。</w:t>
      </w:r>
    </w:p>
    <w:p>
      <w:pPr>
        <w:pStyle w:val="5"/>
        <w:bidi w:val="0"/>
        <w:rPr>
          <w:color w:val="auto"/>
        </w:rPr>
      </w:pPr>
      <w:r>
        <w:rPr>
          <w:color w:val="auto"/>
        </w:rPr>
        <w:t>3.6.2</w:t>
      </w:r>
      <w:r>
        <w:rPr>
          <w:rFonts w:hint="eastAsia"/>
          <w:color w:val="auto"/>
          <w:lang w:val="en-US" w:eastAsia="zh-CN"/>
        </w:rPr>
        <w:t xml:space="preserve">.4 </w:t>
      </w:r>
      <w:r>
        <w:rPr>
          <w:rFonts w:hint="default"/>
          <w:color w:val="auto"/>
        </w:rPr>
        <w:t>现场采样</w:t>
      </w:r>
    </w:p>
    <w:p>
      <w:pPr>
        <w:numPr>
          <w:ilvl w:val="0"/>
          <w:numId w:val="0"/>
        </w:numPr>
        <w:snapToGrid w:val="0"/>
        <w:ind w:firstLine="560" w:firstLineChars="200"/>
        <w:rPr>
          <w:rFonts w:hint="eastAsia"/>
          <w:color w:val="auto"/>
          <w:sz w:val="28"/>
          <w:szCs w:val="28"/>
          <w:lang w:val="en-US" w:eastAsia="zh-CN"/>
        </w:rPr>
      </w:pPr>
      <w:r>
        <w:rPr>
          <w:rFonts w:hint="eastAsia"/>
          <w:color w:val="auto"/>
          <w:sz w:val="28"/>
          <w:szCs w:val="28"/>
          <w:lang w:val="en-US" w:eastAsia="zh-CN"/>
        </w:rPr>
        <w:t>（1）</w:t>
      </w:r>
      <w:r>
        <w:rPr>
          <w:rFonts w:hint="default"/>
          <w:color w:val="auto"/>
        </w:rPr>
        <w:t>严格执行《水质 采样技术指导》（HJ 494）等技术规范</w:t>
      </w:r>
      <w:r>
        <w:rPr>
          <w:rFonts w:hint="eastAsia"/>
          <w:color w:val="auto"/>
          <w:sz w:val="28"/>
          <w:szCs w:val="28"/>
          <w:lang w:val="en-US" w:eastAsia="zh-CN"/>
        </w:rPr>
        <w:t>要求进行采样，做好安全防护，并至少两人同行。必要时，可根据事故现场具体情况制定更详细的采样方案。</w:t>
      </w:r>
    </w:p>
    <w:p>
      <w:pPr>
        <w:numPr>
          <w:ilvl w:val="0"/>
          <w:numId w:val="0"/>
        </w:numPr>
        <w:snapToGrid w:val="0"/>
        <w:ind w:firstLine="560" w:firstLineChars="200"/>
        <w:rPr>
          <w:color w:val="auto"/>
          <w:sz w:val="28"/>
          <w:szCs w:val="28"/>
        </w:rPr>
      </w:pPr>
      <w:r>
        <w:rPr>
          <w:rFonts w:hint="eastAsia"/>
          <w:color w:val="auto"/>
          <w:sz w:val="28"/>
          <w:szCs w:val="28"/>
          <w:lang w:val="en-US" w:eastAsia="zh-CN"/>
        </w:rPr>
        <w:t>（2）</w:t>
      </w:r>
      <w:r>
        <w:rPr>
          <w:color w:val="auto"/>
          <w:sz w:val="28"/>
          <w:szCs w:val="28"/>
        </w:rPr>
        <w:t>应制定采样计划和准备采样器材。采样量应同时满足快速监测、实验室监测和留样的需要。</w:t>
      </w:r>
    </w:p>
    <w:p>
      <w:pPr>
        <w:numPr>
          <w:ilvl w:val="0"/>
          <w:numId w:val="0"/>
        </w:numPr>
        <w:snapToGrid w:val="0"/>
        <w:ind w:firstLine="560" w:firstLineChars="200"/>
        <w:rPr>
          <w:color w:val="auto"/>
          <w:sz w:val="28"/>
          <w:szCs w:val="28"/>
        </w:rPr>
      </w:pPr>
      <w:r>
        <w:rPr>
          <w:rFonts w:hint="eastAsia"/>
          <w:color w:val="auto"/>
          <w:sz w:val="28"/>
          <w:szCs w:val="28"/>
          <w:lang w:val="en-US" w:eastAsia="zh-CN"/>
        </w:rPr>
        <w:t>（3）</w:t>
      </w:r>
      <w:r>
        <w:rPr>
          <w:rFonts w:hint="eastAsia"/>
          <w:color w:val="auto"/>
          <w:sz w:val="28"/>
          <w:szCs w:val="28"/>
          <w:lang w:eastAsia="zh-CN"/>
        </w:rPr>
        <w:t>采样方法及采样量的确定。应急通常采集瞬时样品，采样量根据</w:t>
      </w:r>
      <w:r>
        <w:rPr>
          <w:rFonts w:hint="eastAsia"/>
          <w:color w:val="auto"/>
          <w:sz w:val="28"/>
          <w:szCs w:val="28"/>
          <w:lang w:val="en-US" w:eastAsia="zh-CN"/>
        </w:rPr>
        <w:t>分析项目及分析方法确定，采样量还应满足留样要求。</w:t>
      </w:r>
    </w:p>
    <w:p>
      <w:pPr>
        <w:numPr>
          <w:ilvl w:val="0"/>
          <w:numId w:val="0"/>
        </w:numPr>
        <w:snapToGrid w:val="0"/>
        <w:ind w:firstLine="560" w:firstLineChars="200"/>
        <w:rPr>
          <w:rFonts w:hint="eastAsia"/>
          <w:color w:val="auto"/>
          <w:sz w:val="28"/>
          <w:szCs w:val="28"/>
          <w:lang w:val="en-US" w:eastAsia="zh-CN"/>
        </w:rPr>
      </w:pPr>
      <w:r>
        <w:rPr>
          <w:rFonts w:hint="eastAsia"/>
          <w:color w:val="auto"/>
          <w:sz w:val="28"/>
          <w:szCs w:val="28"/>
          <w:lang w:val="en-US" w:eastAsia="zh-CN"/>
        </w:rPr>
        <w:t>（4）污染事故发生后，应先采集污染源样品，注意采集污染源的代表性。</w:t>
      </w:r>
    </w:p>
    <w:p>
      <w:pPr>
        <w:numPr>
          <w:ilvl w:val="0"/>
          <w:numId w:val="0"/>
        </w:numPr>
        <w:snapToGrid w:val="0"/>
        <w:ind w:firstLine="560" w:firstLineChars="200"/>
        <w:rPr>
          <w:rFonts w:hint="eastAsia"/>
          <w:color w:val="auto"/>
          <w:sz w:val="28"/>
          <w:szCs w:val="28"/>
          <w:lang w:val="en-US" w:eastAsia="zh-CN"/>
        </w:rPr>
      </w:pPr>
      <w:r>
        <w:rPr>
          <w:rFonts w:hint="eastAsia"/>
          <w:color w:val="auto"/>
          <w:sz w:val="28"/>
          <w:szCs w:val="28"/>
          <w:lang w:val="en-US" w:eastAsia="zh-CN"/>
        </w:rPr>
        <w:t>（5）现场采集的样品，要做唯一性标识，采样人员应在现场填写采样原始记录表，内容全面，保证可溯源。</w:t>
      </w:r>
    </w:p>
    <w:p>
      <w:pPr>
        <w:bidi w:val="0"/>
        <w:rPr>
          <w:rFonts w:hint="eastAsia"/>
          <w:color w:val="auto"/>
          <w:sz w:val="28"/>
          <w:szCs w:val="28"/>
          <w:lang w:val="en-US" w:eastAsia="zh-CN"/>
        </w:rPr>
      </w:pPr>
      <w:r>
        <w:rPr>
          <w:rFonts w:hint="eastAsia"/>
          <w:color w:val="auto"/>
          <w:sz w:val="28"/>
          <w:szCs w:val="28"/>
          <w:lang w:val="en-US" w:eastAsia="zh-CN"/>
        </w:rPr>
        <w:t>（6）采样的质量保证。采样人员必须经过培训持证上岗，能切实掌握环境污染事故采样布点技术，熟知采样器具的使用和样品采集（富集）、固定、保存、运输条件。采样仪器应急在校准周期内使用，进行日常的维护、保养，确保仪器设备始终保持良好的技术状态，仪器离开实验室前应进行必要的检查。</w:t>
      </w:r>
    </w:p>
    <w:p>
      <w:pPr>
        <w:pStyle w:val="5"/>
        <w:bidi w:val="0"/>
        <w:rPr>
          <w:rFonts w:hint="default" w:eastAsia="宋体"/>
          <w:color w:val="auto"/>
          <w:lang w:val="en-US" w:eastAsia="zh-CN"/>
        </w:rPr>
      </w:pPr>
      <w:r>
        <w:rPr>
          <w:color w:val="auto"/>
        </w:rPr>
        <w:t>3.6.2</w:t>
      </w:r>
      <w:r>
        <w:rPr>
          <w:rFonts w:hint="eastAsia"/>
          <w:color w:val="auto"/>
          <w:lang w:val="en-US" w:eastAsia="zh-CN"/>
        </w:rPr>
        <w:t>.5</w:t>
      </w:r>
      <w:r>
        <w:rPr>
          <w:color w:val="auto"/>
        </w:rPr>
        <w:t xml:space="preserve"> </w:t>
      </w:r>
      <w:r>
        <w:rPr>
          <w:rFonts w:hint="eastAsia"/>
          <w:color w:val="auto"/>
          <w:lang w:val="en-US" w:eastAsia="zh-CN"/>
        </w:rPr>
        <w:t>监测方法</w:t>
      </w:r>
    </w:p>
    <w:p>
      <w:pPr>
        <w:snapToGrid w:val="0"/>
        <w:ind w:firstLine="560"/>
        <w:rPr>
          <w:rFonts w:hint="eastAsia"/>
          <w:color w:val="auto"/>
          <w:sz w:val="28"/>
          <w:szCs w:val="28"/>
          <w:lang w:val="en-US" w:eastAsia="zh-CN"/>
        </w:rPr>
      </w:pPr>
      <w:r>
        <w:rPr>
          <w:rFonts w:hint="eastAsia"/>
          <w:color w:val="auto"/>
          <w:sz w:val="28"/>
          <w:szCs w:val="28"/>
          <w:lang w:val="en-US" w:eastAsia="zh-CN"/>
        </w:rPr>
        <w:t>（1）</w:t>
      </w:r>
      <w:r>
        <w:rPr>
          <w:rFonts w:hint="default"/>
          <w:color w:val="auto"/>
          <w:sz w:val="28"/>
          <w:szCs w:val="28"/>
        </w:rPr>
        <w:t>污染物定性阶段为迅速查明突发事件污染物的种类、污染程度，应充分利用现场快速监测方法</w:t>
      </w:r>
      <w:r>
        <w:rPr>
          <w:rFonts w:hint="eastAsia"/>
          <w:color w:val="auto"/>
          <w:sz w:val="28"/>
          <w:szCs w:val="28"/>
          <w:lang w:eastAsia="zh-CN"/>
        </w:rPr>
        <w:t>。优先选择检测试纸、水质检测管、便携式监测仪器等现场快速应急检测仪器设备，</w:t>
      </w:r>
      <w:r>
        <w:rPr>
          <w:rFonts w:hint="eastAsia"/>
          <w:color w:val="auto"/>
          <w:sz w:val="28"/>
          <w:szCs w:val="28"/>
          <w:lang w:val="en-US" w:eastAsia="zh-CN"/>
        </w:rPr>
        <w:t>以及现有的水质自动监测站和污染源在线监测系统等</w:t>
      </w:r>
      <w:r>
        <w:rPr>
          <w:rFonts w:hint="eastAsia"/>
          <w:color w:val="auto"/>
          <w:sz w:val="28"/>
          <w:szCs w:val="28"/>
          <w:lang w:eastAsia="zh-CN"/>
        </w:rPr>
        <w:t>。必要</w:t>
      </w:r>
      <w:r>
        <w:rPr>
          <w:rFonts w:hint="eastAsia"/>
          <w:color w:val="auto"/>
          <w:sz w:val="28"/>
          <w:szCs w:val="28"/>
          <w:lang w:val="en-US" w:eastAsia="zh-CN"/>
        </w:rPr>
        <w:t>时，送实验室用不同的分析方法对现场监测结果加以确认、鉴别。</w:t>
      </w:r>
    </w:p>
    <w:p>
      <w:pPr>
        <w:snapToGrid w:val="0"/>
        <w:ind w:firstLine="560"/>
        <w:rPr>
          <w:rFonts w:hint="eastAsia"/>
          <w:color w:val="auto"/>
          <w:sz w:val="28"/>
          <w:szCs w:val="28"/>
          <w:lang w:val="en-US" w:eastAsia="zh-CN"/>
        </w:rPr>
      </w:pPr>
      <w:r>
        <w:rPr>
          <w:rFonts w:hint="eastAsia"/>
          <w:color w:val="auto"/>
          <w:sz w:val="28"/>
          <w:szCs w:val="28"/>
          <w:lang w:val="en-US" w:eastAsia="zh-CN"/>
        </w:rPr>
        <w:t>（2）定量和定污染范围阶段，为确定污染程度和污染范围，可采取现场快速监测方法和室内标准分析方法相结合的方式。</w:t>
      </w:r>
    </w:p>
    <w:p>
      <w:pPr>
        <w:snapToGrid w:val="0"/>
        <w:ind w:left="0" w:leftChars="0" w:firstLine="560" w:firstLineChars="200"/>
        <w:rPr>
          <w:rFonts w:hint="eastAsia"/>
          <w:color w:val="auto"/>
          <w:sz w:val="28"/>
          <w:szCs w:val="28"/>
          <w:lang w:val="en-US" w:eastAsia="zh-CN"/>
        </w:rPr>
      </w:pPr>
      <w:r>
        <w:rPr>
          <w:rFonts w:hint="eastAsia"/>
          <w:color w:val="auto"/>
          <w:sz w:val="28"/>
          <w:szCs w:val="28"/>
          <w:lang w:val="en-US" w:eastAsia="zh-CN"/>
        </w:rPr>
        <w:t>（3）监控污染状况阶段，应尽可能采用现场采样-室内标准方法分析的形式，以对污染进行全面、科学的评价。</w:t>
      </w:r>
    </w:p>
    <w:p>
      <w:pPr>
        <w:pStyle w:val="5"/>
        <w:bidi w:val="0"/>
        <w:rPr>
          <w:rFonts w:hint="eastAsia"/>
          <w:color w:val="auto"/>
          <w:lang w:val="en-US" w:eastAsia="zh-CN"/>
        </w:rPr>
      </w:pPr>
      <w:r>
        <w:rPr>
          <w:rFonts w:hint="default"/>
          <w:color w:val="auto"/>
        </w:rPr>
        <w:t>3.6.2</w:t>
      </w:r>
      <w:r>
        <w:rPr>
          <w:rFonts w:hint="eastAsia"/>
          <w:color w:val="auto"/>
          <w:lang w:val="en-US" w:eastAsia="zh-CN"/>
        </w:rPr>
        <w:t>.6</w:t>
      </w:r>
      <w:r>
        <w:rPr>
          <w:rFonts w:hint="default"/>
          <w:color w:val="auto"/>
        </w:rPr>
        <w:t xml:space="preserve"> </w:t>
      </w:r>
      <w:r>
        <w:rPr>
          <w:rFonts w:hint="eastAsia"/>
          <w:color w:val="auto"/>
          <w:lang w:val="en-US" w:eastAsia="zh-CN"/>
        </w:rPr>
        <w:t>应急监测质量保证</w:t>
      </w:r>
    </w:p>
    <w:p>
      <w:pPr>
        <w:numPr>
          <w:ilvl w:val="0"/>
          <w:numId w:val="4"/>
        </w:numPr>
        <w:bidi w:val="0"/>
        <w:rPr>
          <w:rFonts w:hint="default"/>
          <w:color w:val="auto"/>
          <w:lang w:eastAsia="zh-CN"/>
        </w:rPr>
      </w:pPr>
      <w:r>
        <w:rPr>
          <w:rFonts w:hint="default"/>
          <w:color w:val="auto"/>
        </w:rPr>
        <w:t>应急监测人员</w:t>
      </w:r>
      <w:r>
        <w:rPr>
          <w:rFonts w:hint="eastAsia"/>
          <w:color w:val="auto"/>
          <w:lang w:val="en-US" w:eastAsia="zh-CN"/>
        </w:rPr>
        <w:t>应</w:t>
      </w:r>
      <w:r>
        <w:rPr>
          <w:rFonts w:hint="default"/>
          <w:color w:val="auto"/>
        </w:rPr>
        <w:t>按照行政主管部门要求持证上岗，依据有关技术标准及管理规定进行环境监测工作</w:t>
      </w:r>
      <w:r>
        <w:rPr>
          <w:rFonts w:hint="default"/>
          <w:color w:val="auto"/>
          <w:lang w:eastAsia="zh-CN"/>
        </w:rPr>
        <w:t>。</w:t>
      </w:r>
    </w:p>
    <w:p>
      <w:pPr>
        <w:numPr>
          <w:ilvl w:val="0"/>
          <w:numId w:val="4"/>
        </w:numPr>
        <w:bidi w:val="0"/>
        <w:rPr>
          <w:rFonts w:hint="default"/>
          <w:color w:val="auto"/>
          <w:lang w:eastAsia="zh-CN"/>
        </w:rPr>
      </w:pPr>
      <w:r>
        <w:rPr>
          <w:rFonts w:hint="default"/>
          <w:color w:val="auto"/>
        </w:rPr>
        <w:t>应急监测人员严格按仪器操作规程和《环境监测技术规范》</w:t>
      </w:r>
      <w:r>
        <w:rPr>
          <w:rFonts w:hint="default"/>
          <w:color w:val="auto"/>
          <w:lang w:eastAsia="zh-CN"/>
        </w:rPr>
        <w:t>、《固定污染源监测质量保证与质量控制技术规范》等</w:t>
      </w:r>
      <w:r>
        <w:rPr>
          <w:rFonts w:hint="default"/>
          <w:color w:val="auto"/>
        </w:rPr>
        <w:t>要求，实施监测分析，并对各自的测定结果负责，实验分析方法采用国家标准方法或国家推荐方法，现场分析方法采用《广东省环境污染事故应急监测行动方案》附件中确定的环境污染事故现场应急监测方法</w:t>
      </w:r>
      <w:r>
        <w:rPr>
          <w:rFonts w:hint="default"/>
          <w:color w:val="auto"/>
          <w:lang w:eastAsia="zh-CN"/>
        </w:rPr>
        <w:t>。</w:t>
      </w:r>
    </w:p>
    <w:p>
      <w:pPr>
        <w:numPr>
          <w:ilvl w:val="0"/>
          <w:numId w:val="4"/>
        </w:numPr>
        <w:bidi w:val="0"/>
        <w:rPr>
          <w:rFonts w:hint="default"/>
          <w:color w:val="auto"/>
          <w:lang w:eastAsia="zh-CN"/>
        </w:rPr>
      </w:pPr>
      <w:r>
        <w:rPr>
          <w:rFonts w:hint="default"/>
          <w:color w:val="auto"/>
          <w:lang w:val="en-US" w:eastAsia="zh-CN"/>
        </w:rPr>
        <w:t>应急监测仪器应在校准周期内使用，并进行日常的维护、保养，确保仪器设备始终保持良好的技术状态，仪器使用前、离开实验室前应进行必要的检查。</w:t>
      </w:r>
    </w:p>
    <w:p>
      <w:pPr>
        <w:numPr>
          <w:ilvl w:val="0"/>
          <w:numId w:val="4"/>
        </w:numPr>
        <w:bidi w:val="0"/>
        <w:rPr>
          <w:rFonts w:hint="default"/>
          <w:color w:val="auto"/>
          <w:lang w:eastAsia="zh-CN"/>
        </w:rPr>
      </w:pPr>
      <w:r>
        <w:rPr>
          <w:rFonts w:hint="default"/>
          <w:color w:val="auto"/>
          <w:lang w:val="en-US" w:eastAsia="zh-CN"/>
        </w:rPr>
        <w:t>实验室用水要符合分析方法要求，试剂和实验辅助材料要按要求做好验收，验收合格后方可使用；实验室采购服务应选择合格的供应商。</w:t>
      </w:r>
    </w:p>
    <w:p>
      <w:pPr>
        <w:numPr>
          <w:ilvl w:val="0"/>
          <w:numId w:val="4"/>
        </w:numPr>
        <w:bidi w:val="0"/>
        <w:rPr>
          <w:rFonts w:hint="default"/>
          <w:color w:val="auto"/>
          <w:lang w:val="en-US" w:eastAsia="zh-CN"/>
        </w:rPr>
      </w:pPr>
      <w:r>
        <w:rPr>
          <w:rFonts w:hint="default"/>
          <w:color w:val="auto"/>
          <w:lang w:val="en-US" w:eastAsia="zh-CN"/>
        </w:rPr>
        <w:t>实验室环境条件应满足分析方法要求，并做好相关记录。</w:t>
      </w:r>
    </w:p>
    <w:p>
      <w:pPr>
        <w:numPr>
          <w:ilvl w:val="0"/>
          <w:numId w:val="4"/>
        </w:numPr>
        <w:bidi w:val="0"/>
        <w:rPr>
          <w:rFonts w:hint="default"/>
          <w:color w:val="auto"/>
          <w:lang w:val="en-US" w:eastAsia="zh-CN"/>
        </w:rPr>
      </w:pPr>
      <w:r>
        <w:rPr>
          <w:rFonts w:hint="default"/>
          <w:color w:val="auto"/>
          <w:lang w:val="en-US" w:eastAsia="zh-CN"/>
        </w:rPr>
        <w:t>样品采集人员根据监测计划按国家标准规定的方法对污染物进行取样， 对取好的样品妥善保存立即送回</w:t>
      </w:r>
      <w:r>
        <w:rPr>
          <w:rFonts w:hint="eastAsia"/>
          <w:color w:val="auto"/>
          <w:lang w:val="en-US" w:eastAsia="zh-CN"/>
        </w:rPr>
        <w:t>实</w:t>
      </w:r>
      <w:r>
        <w:rPr>
          <w:rFonts w:hint="default"/>
          <w:color w:val="auto"/>
          <w:lang w:val="en-US" w:eastAsia="zh-CN"/>
        </w:rPr>
        <w:t>验室进行定量分析。分析人员将所需的试剂准备好，对所需设备进行仔细的检查，需要预热的仪器和设备应预热准备。待样品送到立即进行样品分析，为了保证样品分析结果的可信性，在分析全程空白和空白样基础上，对样品进行加密，同时做质控样，在可能的情况下多做一些平行样和加标回收。并按要求认真填写采样单、分析测试原始记录和报表。</w:t>
      </w:r>
    </w:p>
    <w:p>
      <w:pPr>
        <w:pStyle w:val="5"/>
        <w:bidi w:val="0"/>
        <w:rPr>
          <w:rFonts w:hint="default"/>
          <w:color w:val="auto"/>
        </w:rPr>
      </w:pPr>
      <w:r>
        <w:rPr>
          <w:color w:val="auto"/>
        </w:rPr>
        <w:t>3.6.2</w:t>
      </w:r>
      <w:r>
        <w:rPr>
          <w:rFonts w:hint="eastAsia"/>
          <w:color w:val="auto"/>
          <w:lang w:val="en-US" w:eastAsia="zh-CN"/>
        </w:rPr>
        <w:t>.7</w:t>
      </w:r>
      <w:r>
        <w:rPr>
          <w:color w:val="auto"/>
        </w:rPr>
        <w:t xml:space="preserve"> </w:t>
      </w:r>
      <w:r>
        <w:rPr>
          <w:rFonts w:hint="default"/>
          <w:color w:val="auto"/>
        </w:rPr>
        <w:t>数据报告与信息发布</w:t>
      </w:r>
    </w:p>
    <w:p>
      <w:pPr>
        <w:snapToGrid w:val="0"/>
        <w:ind w:firstLine="560"/>
        <w:rPr>
          <w:color w:val="auto"/>
          <w:sz w:val="28"/>
          <w:szCs w:val="28"/>
        </w:rPr>
      </w:pPr>
      <w:r>
        <w:rPr>
          <w:color w:val="auto"/>
          <w:sz w:val="28"/>
          <w:szCs w:val="28"/>
        </w:rPr>
        <w:t>应按照有关监测技术规范进行数据处理</w:t>
      </w:r>
      <w:r>
        <w:rPr>
          <w:rFonts w:hint="eastAsia"/>
          <w:color w:val="auto"/>
          <w:sz w:val="28"/>
          <w:szCs w:val="28"/>
          <w:lang w:eastAsia="zh-CN"/>
        </w:rPr>
        <w:t>，</w:t>
      </w:r>
      <w:r>
        <w:rPr>
          <w:color w:val="auto"/>
          <w:sz w:val="28"/>
          <w:szCs w:val="28"/>
        </w:rPr>
        <w:t>监测结果可用定性、半定量或定量方式报出。监测结果可采用电话、传真、快报、简报、监测报告等形式第一时间报告现场应急指挥部。</w:t>
      </w:r>
    </w:p>
    <w:p>
      <w:pPr>
        <w:bidi w:val="0"/>
        <w:rPr>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default"/>
          <w:color w:val="auto"/>
        </w:rPr>
        <w:t>速报：</w:t>
      </w:r>
      <w:r>
        <w:rPr>
          <w:rFonts w:hint="default"/>
          <w:color w:val="auto"/>
          <w:lang w:eastAsia="zh-CN"/>
        </w:rPr>
        <w:t>应急监测</w:t>
      </w:r>
      <w:r>
        <w:rPr>
          <w:rFonts w:hint="default"/>
          <w:color w:val="auto"/>
        </w:rPr>
        <w:t>速</w:t>
      </w:r>
      <w:r>
        <w:rPr>
          <w:rFonts w:hint="default"/>
          <w:color w:val="auto"/>
          <w:lang w:eastAsia="zh-CN"/>
        </w:rPr>
        <w:t>报总体上分为监测结果统计表和监测点位示意图两</w:t>
      </w:r>
      <w:r>
        <w:rPr>
          <w:rFonts w:hint="default"/>
          <w:color w:val="auto"/>
          <w:lang w:val="en-US" w:eastAsia="zh-CN"/>
        </w:rPr>
        <w:t>部分内容，</w:t>
      </w:r>
      <w:r>
        <w:rPr>
          <w:rFonts w:hint="default"/>
          <w:color w:val="auto"/>
        </w:rPr>
        <w:t>应急监测初步结果形成后，应在</w:t>
      </w:r>
      <w:r>
        <w:rPr>
          <w:rFonts w:hint="eastAsia"/>
          <w:color w:val="auto"/>
          <w:lang w:val="en-US" w:eastAsia="zh-CN"/>
        </w:rPr>
        <w:t>30分钟</w:t>
      </w:r>
      <w:r>
        <w:rPr>
          <w:rFonts w:hint="default"/>
          <w:color w:val="auto"/>
        </w:rPr>
        <w:t>内上报应急指挥部。</w:t>
      </w:r>
    </w:p>
    <w:p>
      <w:pPr>
        <w:bidi w:val="0"/>
        <w:rPr>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default"/>
          <w:color w:val="auto"/>
        </w:rPr>
        <w:t>续报：应急期间，实行定期报告制度，报送《应急监测快报》，内容包括污染带位置、移动速度、浓度变化、超标倍数等关键信息。</w:t>
      </w:r>
    </w:p>
    <w:p>
      <w:pPr>
        <w:bidi w:val="0"/>
        <w:rPr>
          <w:color w:val="auto"/>
        </w:rPr>
      </w:pPr>
      <w:r>
        <w:rPr>
          <w:rFonts w:hint="eastAsia"/>
          <w:color w:val="auto"/>
          <w:lang w:eastAsia="zh-CN"/>
        </w:rPr>
        <w:t>（</w:t>
      </w:r>
      <w:r>
        <w:rPr>
          <w:rFonts w:hint="eastAsia"/>
          <w:color w:val="auto"/>
          <w:lang w:val="en-US" w:eastAsia="zh-CN"/>
        </w:rPr>
        <w:t>3</w:t>
      </w:r>
      <w:r>
        <w:rPr>
          <w:rFonts w:hint="eastAsia"/>
          <w:color w:val="auto"/>
          <w:lang w:eastAsia="zh-CN"/>
        </w:rPr>
        <w:t>）</w:t>
      </w:r>
      <w:r>
        <w:rPr>
          <w:rFonts w:hint="default"/>
          <w:color w:val="auto"/>
        </w:rPr>
        <w:t>会商研判：监测数据应及时与水文、气象、</w:t>
      </w:r>
      <w:r>
        <w:rPr>
          <w:rFonts w:hint="eastAsia"/>
          <w:color w:val="auto"/>
          <w:lang w:val="en-US" w:eastAsia="zh-CN"/>
        </w:rPr>
        <w:t>生态环境</w:t>
      </w:r>
      <w:r>
        <w:rPr>
          <w:rFonts w:hint="default"/>
          <w:color w:val="auto"/>
        </w:rPr>
        <w:t>等部门共享，召开联合会商会议，共同研判污染发展趋势。</w:t>
      </w:r>
    </w:p>
    <w:p>
      <w:pPr>
        <w:bidi w:val="0"/>
        <w:rPr>
          <w:color w:val="auto"/>
        </w:rPr>
      </w:pPr>
      <w:r>
        <w:rPr>
          <w:rFonts w:hint="eastAsia"/>
          <w:color w:val="auto"/>
          <w:lang w:eastAsia="zh-CN"/>
        </w:rPr>
        <w:t>（</w:t>
      </w:r>
      <w:r>
        <w:rPr>
          <w:rFonts w:hint="eastAsia"/>
          <w:color w:val="auto"/>
          <w:lang w:val="en-US" w:eastAsia="zh-CN"/>
        </w:rPr>
        <w:t>4</w:t>
      </w:r>
      <w:r>
        <w:rPr>
          <w:rFonts w:hint="eastAsia"/>
          <w:color w:val="auto"/>
          <w:lang w:eastAsia="zh-CN"/>
        </w:rPr>
        <w:t>）</w:t>
      </w:r>
      <w:r>
        <w:rPr>
          <w:rFonts w:hint="default"/>
          <w:color w:val="auto"/>
        </w:rPr>
        <w:t>对外发布：需向社会公众发布的饮用水水质信息，必须经应急指挥部审核同意，由新闻宣传组</w:t>
      </w:r>
      <w:r>
        <w:rPr>
          <w:rFonts w:hint="eastAsia"/>
          <w:color w:val="auto"/>
          <w:lang w:val="en-US" w:eastAsia="zh-CN"/>
        </w:rPr>
        <w:t>统筹</w:t>
      </w:r>
      <w:r>
        <w:rPr>
          <w:rFonts w:hint="default"/>
          <w:color w:val="auto"/>
        </w:rPr>
        <w:t>发布，确保信息准确、权威。</w:t>
      </w:r>
    </w:p>
    <w:p>
      <w:pPr>
        <w:pStyle w:val="5"/>
        <w:bidi w:val="0"/>
        <w:rPr>
          <w:rFonts w:hint="default"/>
          <w:color w:val="auto"/>
        </w:rPr>
      </w:pPr>
      <w:r>
        <w:rPr>
          <w:color w:val="auto"/>
        </w:rPr>
        <w:t>3.6.2</w:t>
      </w:r>
      <w:r>
        <w:rPr>
          <w:rFonts w:hint="eastAsia"/>
          <w:color w:val="auto"/>
          <w:lang w:val="en-US" w:eastAsia="zh-CN"/>
        </w:rPr>
        <w:t>.8</w:t>
      </w:r>
      <w:r>
        <w:rPr>
          <w:rFonts w:hint="default"/>
          <w:color w:val="auto"/>
        </w:rPr>
        <w:t xml:space="preserve"> 应急监测终止与后期评估</w:t>
      </w:r>
    </w:p>
    <w:p>
      <w:pPr>
        <w:bidi w:val="0"/>
        <w:rPr>
          <w:color w:val="auto"/>
        </w:rPr>
      </w:pPr>
      <w:r>
        <w:rPr>
          <w:rFonts w:hint="eastAsia"/>
          <w:color w:val="auto"/>
          <w:lang w:val="en-US" w:eastAsia="zh-CN"/>
        </w:rPr>
        <w:t>（1）</w:t>
      </w:r>
      <w:r>
        <w:rPr>
          <w:rFonts w:hint="default"/>
          <w:color w:val="auto"/>
        </w:rPr>
        <w:t>终止条件</w:t>
      </w:r>
    </w:p>
    <w:p>
      <w:pPr>
        <w:bidi w:val="0"/>
        <w:ind w:firstLine="560" w:firstLineChars="200"/>
        <w:rPr>
          <w:color w:val="auto"/>
        </w:rPr>
      </w:pPr>
      <w:r>
        <w:rPr>
          <w:rFonts w:hint="eastAsia"/>
          <w:color w:val="auto"/>
          <w:lang w:val="en-US" w:eastAsia="zh-CN"/>
        </w:rPr>
        <w:t>①</w:t>
      </w:r>
      <w:r>
        <w:rPr>
          <w:rFonts w:hint="default"/>
          <w:color w:val="auto"/>
        </w:rPr>
        <w:t>污染源已得到有效控制，无新增污染物</w:t>
      </w:r>
      <w:r>
        <w:rPr>
          <w:rFonts w:hint="eastAsia"/>
          <w:color w:val="auto"/>
          <w:lang w:val="en-US" w:eastAsia="zh-CN"/>
        </w:rPr>
        <w:t>排入</w:t>
      </w:r>
      <w:r>
        <w:rPr>
          <w:rFonts w:hint="default"/>
          <w:color w:val="auto"/>
        </w:rPr>
        <w:t>。</w:t>
      </w:r>
    </w:p>
    <w:p>
      <w:pPr>
        <w:bidi w:val="0"/>
        <w:ind w:firstLine="560" w:firstLineChars="200"/>
        <w:rPr>
          <w:color w:val="auto"/>
        </w:rPr>
      </w:pPr>
      <w:r>
        <w:rPr>
          <w:rFonts w:hint="eastAsia"/>
          <w:color w:val="auto"/>
          <w:lang w:val="en-US" w:eastAsia="zh-CN"/>
        </w:rPr>
        <w:t>②最近一次应急监测方案中，全部监测点位特征污染物的 48 h 连续监测结果均达到饮用水水源水质要求。</w:t>
      </w:r>
    </w:p>
    <w:p>
      <w:pPr>
        <w:bidi w:val="0"/>
        <w:ind w:firstLine="560" w:firstLineChars="200"/>
        <w:rPr>
          <w:color w:val="auto"/>
        </w:rPr>
      </w:pPr>
      <w:r>
        <w:rPr>
          <w:rFonts w:hint="eastAsia"/>
          <w:color w:val="auto"/>
          <w:lang w:val="en-US" w:eastAsia="zh-CN"/>
        </w:rPr>
        <w:t>③</w:t>
      </w:r>
      <w:r>
        <w:rPr>
          <w:rFonts w:hint="default"/>
          <w:color w:val="auto"/>
        </w:rPr>
        <w:t>经专家咨询组评估，</w:t>
      </w:r>
      <w:r>
        <w:rPr>
          <w:rFonts w:hint="eastAsia"/>
          <w:color w:val="auto"/>
          <w:lang w:eastAsia="zh-CN"/>
        </w:rPr>
        <w:t>突发生态环境事件</w:t>
      </w:r>
      <w:r>
        <w:rPr>
          <w:rFonts w:hint="default"/>
          <w:color w:val="auto"/>
        </w:rPr>
        <w:t>条件已消除。</w:t>
      </w:r>
    </w:p>
    <w:p>
      <w:pPr>
        <w:bidi w:val="0"/>
        <w:rPr>
          <w:color w:val="auto"/>
        </w:rPr>
      </w:pPr>
      <w:r>
        <w:rPr>
          <w:rFonts w:hint="eastAsia"/>
          <w:color w:val="auto"/>
          <w:lang w:val="en-US" w:eastAsia="zh-CN"/>
        </w:rPr>
        <w:t>（2）</w:t>
      </w:r>
      <w:r>
        <w:rPr>
          <w:rFonts w:hint="default"/>
          <w:color w:val="auto"/>
        </w:rPr>
        <w:t>后期评估</w:t>
      </w:r>
    </w:p>
    <w:p>
      <w:pPr>
        <w:bidi w:val="0"/>
        <w:ind w:firstLine="560" w:firstLineChars="200"/>
        <w:rPr>
          <w:color w:val="auto"/>
        </w:rPr>
      </w:pPr>
      <w:r>
        <w:rPr>
          <w:rFonts w:hint="eastAsia"/>
          <w:color w:val="auto"/>
          <w:lang w:val="en-US" w:eastAsia="zh-CN"/>
        </w:rPr>
        <w:t>①</w:t>
      </w:r>
      <w:r>
        <w:rPr>
          <w:rFonts w:hint="default"/>
          <w:color w:val="auto"/>
        </w:rPr>
        <w:t>编制《应急监测总结报告》，分析污染成因、监测布点的合理性、数据准确性。</w:t>
      </w:r>
    </w:p>
    <w:p>
      <w:pPr>
        <w:bidi w:val="0"/>
        <w:ind w:firstLine="560" w:firstLineChars="200"/>
        <w:rPr>
          <w:color w:val="auto"/>
        </w:rPr>
      </w:pPr>
      <w:r>
        <w:rPr>
          <w:rFonts w:hint="eastAsia"/>
          <w:color w:val="auto"/>
          <w:lang w:val="en-US" w:eastAsia="zh-CN"/>
        </w:rPr>
        <w:t>②</w:t>
      </w:r>
      <w:r>
        <w:rPr>
          <w:rFonts w:hint="default"/>
          <w:color w:val="auto"/>
        </w:rPr>
        <w:t>评估应急监测过程中暴露的问题，提出修改</w:t>
      </w:r>
      <w:r>
        <w:rPr>
          <w:rFonts w:hint="eastAsia"/>
          <w:color w:val="auto"/>
          <w:lang w:val="en-US" w:eastAsia="zh-CN"/>
        </w:rPr>
        <w:t>方案、</w:t>
      </w:r>
      <w:r>
        <w:rPr>
          <w:rFonts w:hint="default"/>
          <w:color w:val="auto"/>
        </w:rPr>
        <w:t>优化监测网络及能力建设的建议。</w:t>
      </w:r>
    </w:p>
    <w:p>
      <w:pPr>
        <w:pStyle w:val="3"/>
        <w:snapToGrid w:val="0"/>
        <w:rPr>
          <w:bCs w:val="0"/>
          <w:color w:val="auto"/>
        </w:rPr>
      </w:pPr>
      <w:bookmarkStart w:id="43" w:name="_Toc14978"/>
      <w:r>
        <w:rPr>
          <w:bCs w:val="0"/>
          <w:color w:val="auto"/>
        </w:rPr>
        <w:t>3.7 污染源排查与处置</w:t>
      </w:r>
      <w:bookmarkEnd w:id="43"/>
    </w:p>
    <w:p>
      <w:pPr>
        <w:snapToGrid w:val="0"/>
        <w:ind w:firstLine="560"/>
        <w:rPr>
          <w:color w:val="auto"/>
          <w:sz w:val="28"/>
          <w:szCs w:val="28"/>
        </w:rPr>
      </w:pPr>
      <w:r>
        <w:rPr>
          <w:color w:val="auto"/>
          <w:sz w:val="28"/>
          <w:szCs w:val="28"/>
        </w:rPr>
        <w:t>污染源排查与处置工作主要由现场处置组负责。</w:t>
      </w:r>
    </w:p>
    <w:p>
      <w:pPr>
        <w:pStyle w:val="4"/>
        <w:snapToGrid w:val="0"/>
        <w:rPr>
          <w:color w:val="auto"/>
          <w:sz w:val="28"/>
          <w:szCs w:val="28"/>
        </w:rPr>
      </w:pPr>
      <w:bookmarkStart w:id="44" w:name="_Toc1432"/>
      <w:r>
        <w:rPr>
          <w:color w:val="auto"/>
          <w:sz w:val="28"/>
          <w:szCs w:val="28"/>
        </w:rPr>
        <w:t>3.7.1 明确排查对象</w:t>
      </w:r>
      <w:bookmarkEnd w:id="44"/>
    </w:p>
    <w:p>
      <w:pPr>
        <w:snapToGrid w:val="0"/>
        <w:ind w:firstLine="560"/>
        <w:rPr>
          <w:color w:val="auto"/>
          <w:sz w:val="28"/>
          <w:szCs w:val="28"/>
        </w:rPr>
      </w:pPr>
      <w:r>
        <w:rPr>
          <w:color w:val="auto"/>
          <w:sz w:val="28"/>
          <w:szCs w:val="28"/>
        </w:rPr>
        <w:t>当水质监测发现异常、污染物来源不确定时，现场处置组应根据特征污染物种类、浓度变化、释放总量、释放路径、释放时间，以及当时的水文和气象条件，迅速组织开展污染源排查。</w:t>
      </w:r>
    </w:p>
    <w:p>
      <w:pPr>
        <w:snapToGrid w:val="0"/>
        <w:ind w:firstLine="560"/>
        <w:rPr>
          <w:color w:val="auto"/>
          <w:sz w:val="28"/>
          <w:szCs w:val="28"/>
        </w:rPr>
      </w:pPr>
      <w:r>
        <w:rPr>
          <w:color w:val="auto"/>
          <w:sz w:val="28"/>
          <w:szCs w:val="28"/>
        </w:rPr>
        <w:t>针对不同类型污染物的排查重点和对象如下：</w:t>
      </w:r>
    </w:p>
    <w:p>
      <w:pPr>
        <w:snapToGrid w:val="0"/>
        <w:ind w:firstLine="560"/>
        <w:rPr>
          <w:color w:val="auto"/>
          <w:sz w:val="28"/>
          <w:szCs w:val="28"/>
        </w:rPr>
      </w:pPr>
      <w:r>
        <w:rPr>
          <w:color w:val="auto"/>
          <w:sz w:val="28"/>
          <w:szCs w:val="28"/>
        </w:rPr>
        <w:t>（1）有机类污染：重点排查生活污水处理设施、工业企业，调查污水处理设施运行、尾水排放的异常情况。</w:t>
      </w:r>
    </w:p>
    <w:p>
      <w:pPr>
        <w:snapToGrid w:val="0"/>
        <w:ind w:firstLine="560"/>
        <w:rPr>
          <w:color w:val="auto"/>
          <w:sz w:val="28"/>
          <w:szCs w:val="28"/>
        </w:rPr>
      </w:pPr>
      <w:r>
        <w:rPr>
          <w:color w:val="auto"/>
          <w:sz w:val="28"/>
          <w:szCs w:val="28"/>
        </w:rPr>
        <w:t>（2）营养盐类污染：重点排查生活污水处理设施、工业企业、畜禽养殖场（户）、</w:t>
      </w:r>
      <w:r>
        <w:rPr>
          <w:rFonts w:hint="eastAsia"/>
          <w:color w:val="auto"/>
          <w:sz w:val="28"/>
          <w:szCs w:val="28"/>
          <w:lang w:val="en-US" w:eastAsia="zh-CN"/>
        </w:rPr>
        <w:t>水产养殖企业（户）、</w:t>
      </w:r>
      <w:r>
        <w:rPr>
          <w:color w:val="auto"/>
          <w:sz w:val="28"/>
          <w:szCs w:val="28"/>
        </w:rPr>
        <w:t>农田种植户、农村居民点、医疗场所等，调查污水处理设施运行、养殖废物处理处置、农药化肥施用、农村生活污染、医疗废水处理及消毒设施的异常情况。</w:t>
      </w:r>
    </w:p>
    <w:p>
      <w:pPr>
        <w:snapToGrid w:val="0"/>
        <w:ind w:firstLine="560"/>
        <w:rPr>
          <w:color w:val="auto"/>
          <w:sz w:val="28"/>
          <w:szCs w:val="28"/>
        </w:rPr>
      </w:pPr>
      <w:r>
        <w:rPr>
          <w:color w:val="auto"/>
          <w:sz w:val="28"/>
          <w:szCs w:val="28"/>
        </w:rPr>
        <w:t>（3）细菌类污染：重点排查生活污水处理设施、畜禽养殖场（户）、</w:t>
      </w:r>
      <w:r>
        <w:rPr>
          <w:rFonts w:hint="eastAsia"/>
          <w:color w:val="auto"/>
          <w:sz w:val="28"/>
          <w:szCs w:val="28"/>
          <w:lang w:val="en-US" w:eastAsia="zh-CN"/>
        </w:rPr>
        <w:t>水产养殖企业（户）、</w:t>
      </w:r>
      <w:r>
        <w:rPr>
          <w:color w:val="auto"/>
          <w:sz w:val="28"/>
          <w:szCs w:val="28"/>
        </w:rPr>
        <w:t>农村居民点，调查污水处理设施运行、养殖废物处理处置、医疗场所、农村生活污染的异常情况。</w:t>
      </w:r>
    </w:p>
    <w:p>
      <w:pPr>
        <w:snapToGrid w:val="0"/>
        <w:ind w:firstLine="560"/>
        <w:rPr>
          <w:color w:val="auto"/>
          <w:sz w:val="28"/>
          <w:szCs w:val="28"/>
        </w:rPr>
      </w:pPr>
      <w:r>
        <w:rPr>
          <w:color w:val="auto"/>
          <w:sz w:val="28"/>
          <w:szCs w:val="28"/>
        </w:rPr>
        <w:t>（4）农药类污染：重点排查果园种植园（户）、农田种植户、农灌退水排放口，调查农药施用和流失的异常情况。</w:t>
      </w:r>
    </w:p>
    <w:p>
      <w:pPr>
        <w:snapToGrid w:val="0"/>
        <w:ind w:firstLine="560"/>
        <w:rPr>
          <w:color w:val="auto"/>
          <w:sz w:val="28"/>
          <w:szCs w:val="28"/>
        </w:rPr>
      </w:pPr>
      <w:r>
        <w:rPr>
          <w:color w:val="auto"/>
          <w:sz w:val="28"/>
          <w:szCs w:val="28"/>
        </w:rPr>
        <w:t>（5）石油类污染：重点排查运输车辆、加工和存贮的工业企业，调查上述企业和单位的异常情况。</w:t>
      </w:r>
    </w:p>
    <w:p>
      <w:pPr>
        <w:snapToGrid w:val="0"/>
        <w:ind w:firstLine="560"/>
        <w:rPr>
          <w:color w:val="auto"/>
          <w:sz w:val="28"/>
          <w:szCs w:val="28"/>
        </w:rPr>
      </w:pPr>
      <w:r>
        <w:rPr>
          <w:color w:val="auto"/>
          <w:sz w:val="28"/>
          <w:szCs w:val="28"/>
        </w:rPr>
        <w:t>（6）重金属及其他有毒有害物质污染：重点排查危化品运输车辆</w:t>
      </w:r>
      <w:r>
        <w:rPr>
          <w:rFonts w:hint="eastAsia"/>
          <w:color w:val="auto"/>
          <w:sz w:val="28"/>
          <w:szCs w:val="28"/>
          <w:lang w:val="en-US" w:eastAsia="zh-CN"/>
        </w:rPr>
        <w:t>及先导和华澳等涉重金属企业</w:t>
      </w:r>
      <w:r>
        <w:rPr>
          <w:color w:val="auto"/>
          <w:sz w:val="28"/>
          <w:szCs w:val="28"/>
        </w:rPr>
        <w:t>。</w:t>
      </w:r>
    </w:p>
    <w:p>
      <w:pPr>
        <w:pStyle w:val="4"/>
        <w:snapToGrid w:val="0"/>
        <w:rPr>
          <w:color w:val="auto"/>
          <w:sz w:val="28"/>
          <w:szCs w:val="28"/>
        </w:rPr>
      </w:pPr>
      <w:bookmarkStart w:id="45" w:name="_Toc5509"/>
      <w:r>
        <w:rPr>
          <w:color w:val="auto"/>
          <w:sz w:val="28"/>
          <w:szCs w:val="28"/>
        </w:rPr>
        <w:t>3.7.2 切断污染源</w:t>
      </w:r>
      <w:bookmarkEnd w:id="45"/>
    </w:p>
    <w:p>
      <w:pPr>
        <w:snapToGrid w:val="0"/>
        <w:ind w:firstLine="560"/>
        <w:rPr>
          <w:color w:val="auto"/>
          <w:sz w:val="28"/>
          <w:szCs w:val="28"/>
        </w:rPr>
      </w:pPr>
      <w:r>
        <w:rPr>
          <w:color w:val="auto"/>
          <w:sz w:val="28"/>
          <w:szCs w:val="28"/>
        </w:rPr>
        <w:t>现场处置组负责对水源地应急预案适用地域范围内的污染源实施切断；对水源地应急预案适用地域范围外的污染源，按有关</w:t>
      </w:r>
      <w:r>
        <w:rPr>
          <w:rFonts w:hint="eastAsia"/>
          <w:color w:val="auto"/>
          <w:sz w:val="28"/>
          <w:szCs w:val="28"/>
          <w:lang w:eastAsia="zh-CN"/>
        </w:rPr>
        <w:t>突发生态环境事件</w:t>
      </w:r>
      <w:r>
        <w:rPr>
          <w:color w:val="auto"/>
          <w:sz w:val="28"/>
          <w:szCs w:val="28"/>
        </w:rPr>
        <w:t>应急预案要求进行处置。处置措施主要采取切断污染源、收集和围堵污染物等，包括但不仅限于以下内容：</w:t>
      </w:r>
    </w:p>
    <w:p>
      <w:pPr>
        <w:snapToGrid w:val="0"/>
        <w:ind w:firstLine="560"/>
        <w:rPr>
          <w:color w:val="auto"/>
          <w:sz w:val="28"/>
          <w:szCs w:val="28"/>
        </w:rPr>
      </w:pPr>
      <w:r>
        <w:rPr>
          <w:color w:val="auto"/>
          <w:sz w:val="28"/>
          <w:szCs w:val="28"/>
        </w:rPr>
        <w:t>（1）对发生非正常排放或有毒有害物质泄漏的固定源</w:t>
      </w:r>
      <w:r>
        <w:rPr>
          <w:rFonts w:hint="eastAsia"/>
          <w:color w:val="auto"/>
          <w:sz w:val="28"/>
          <w:szCs w:val="28"/>
          <w:lang w:eastAsia="zh-CN"/>
        </w:rPr>
        <w:t>突发生态环境事件</w:t>
      </w:r>
      <w:r>
        <w:rPr>
          <w:color w:val="auto"/>
          <w:sz w:val="28"/>
          <w:szCs w:val="28"/>
        </w:rPr>
        <w:t>，应尽快采取关闭、封堵、收集、转移等措施，切断污染源或泄漏源。</w:t>
      </w:r>
    </w:p>
    <w:p>
      <w:pPr>
        <w:snapToGrid w:val="0"/>
        <w:ind w:firstLine="560"/>
        <w:rPr>
          <w:color w:val="auto"/>
          <w:sz w:val="28"/>
          <w:szCs w:val="28"/>
        </w:rPr>
      </w:pPr>
      <w:r>
        <w:rPr>
          <w:color w:val="auto"/>
          <w:sz w:val="28"/>
          <w:szCs w:val="28"/>
        </w:rPr>
        <w:t>（2）对道路交通运输过程中发生的流动源突发事件，可启动路面系统的导流槽、应急池或紧急设置围堰、闸坝拦截、油毡吸附、围油栏等方式，对污染源进行围堵并收集污染物。</w:t>
      </w:r>
    </w:p>
    <w:p>
      <w:pPr>
        <w:snapToGrid w:val="0"/>
        <w:ind w:firstLine="560"/>
        <w:rPr>
          <w:color w:val="auto"/>
          <w:sz w:val="28"/>
          <w:szCs w:val="28"/>
        </w:rPr>
      </w:pPr>
      <w:r>
        <w:rPr>
          <w:color w:val="auto"/>
          <w:sz w:val="28"/>
          <w:szCs w:val="28"/>
        </w:rPr>
        <w:t>（3）启动应急收集系统集中收集陆域污染物，设立拦截设施，防止污染物在陆域漫延，组织有关部门对污染物进行回收处置。</w:t>
      </w:r>
    </w:p>
    <w:p>
      <w:pPr>
        <w:snapToGrid w:val="0"/>
        <w:ind w:firstLine="560"/>
        <w:rPr>
          <w:color w:val="auto"/>
          <w:sz w:val="28"/>
          <w:szCs w:val="28"/>
        </w:rPr>
      </w:pPr>
      <w:r>
        <w:rPr>
          <w:color w:val="auto"/>
          <w:sz w:val="28"/>
          <w:szCs w:val="28"/>
        </w:rPr>
        <w:t>（4）根据现场事态发展对扩散至水体的污染物进行处置。</w:t>
      </w:r>
    </w:p>
    <w:p>
      <w:pPr>
        <w:pStyle w:val="3"/>
        <w:snapToGrid w:val="0"/>
        <w:rPr>
          <w:bCs w:val="0"/>
          <w:color w:val="auto"/>
        </w:rPr>
      </w:pPr>
      <w:bookmarkStart w:id="46" w:name="_Toc25053"/>
      <w:r>
        <w:rPr>
          <w:bCs w:val="0"/>
          <w:color w:val="auto"/>
        </w:rPr>
        <w:t>3.8 应急处置</w:t>
      </w:r>
      <w:bookmarkEnd w:id="46"/>
    </w:p>
    <w:p>
      <w:pPr>
        <w:snapToGrid w:val="0"/>
        <w:ind w:firstLine="560"/>
        <w:rPr>
          <w:color w:val="auto"/>
        </w:rPr>
      </w:pPr>
      <w:r>
        <w:rPr>
          <w:color w:val="auto"/>
          <w:sz w:val="28"/>
          <w:szCs w:val="28"/>
        </w:rPr>
        <w:t>应急处置工作主要由现场处置组负责</w:t>
      </w:r>
      <w:r>
        <w:rPr>
          <w:color w:val="auto"/>
        </w:rPr>
        <w:t>。</w:t>
      </w:r>
    </w:p>
    <w:p>
      <w:pPr>
        <w:pStyle w:val="4"/>
        <w:snapToGrid w:val="0"/>
        <w:rPr>
          <w:color w:val="auto"/>
          <w:sz w:val="28"/>
          <w:szCs w:val="28"/>
        </w:rPr>
      </w:pPr>
      <w:bookmarkStart w:id="47" w:name="_Toc22887"/>
      <w:r>
        <w:rPr>
          <w:color w:val="auto"/>
          <w:sz w:val="28"/>
          <w:szCs w:val="28"/>
        </w:rPr>
        <w:t>3.8.1 制定现场处置方案</w:t>
      </w:r>
      <w:bookmarkEnd w:id="47"/>
    </w:p>
    <w:p>
      <w:pPr>
        <w:snapToGrid w:val="0"/>
        <w:ind w:firstLine="560"/>
        <w:rPr>
          <w:color w:val="auto"/>
          <w:sz w:val="28"/>
          <w:szCs w:val="28"/>
        </w:rPr>
      </w:pPr>
      <w:r>
        <w:rPr>
          <w:color w:val="auto"/>
          <w:sz w:val="28"/>
          <w:szCs w:val="28"/>
        </w:rPr>
        <w:t>现场处置要立足于彻底消除污染危害，避免遗留后患，依靠科技和专家力量，尽可能控制和缩小已排出污染物的扩散、</w:t>
      </w:r>
      <w:r>
        <w:rPr>
          <w:rFonts w:hint="eastAsia"/>
          <w:color w:val="auto"/>
          <w:sz w:val="28"/>
          <w:szCs w:val="28"/>
          <w:lang w:eastAsia="zh-CN"/>
        </w:rPr>
        <w:t>蔓延</w:t>
      </w:r>
      <w:r>
        <w:rPr>
          <w:color w:val="auto"/>
          <w:sz w:val="28"/>
          <w:szCs w:val="28"/>
        </w:rPr>
        <w:t>范围，把水源地</w:t>
      </w:r>
      <w:r>
        <w:rPr>
          <w:rFonts w:hint="eastAsia"/>
          <w:color w:val="auto"/>
          <w:sz w:val="28"/>
          <w:szCs w:val="28"/>
          <w:lang w:eastAsia="zh-CN"/>
        </w:rPr>
        <w:t>突发生态环境事件</w:t>
      </w:r>
      <w:r>
        <w:rPr>
          <w:color w:val="auto"/>
          <w:sz w:val="28"/>
          <w:szCs w:val="28"/>
        </w:rPr>
        <w:t>危害降低到</w:t>
      </w:r>
      <w:r>
        <w:rPr>
          <w:rFonts w:hint="eastAsia"/>
          <w:color w:val="auto"/>
          <w:sz w:val="28"/>
          <w:szCs w:val="28"/>
          <w:lang w:eastAsia="zh-CN"/>
        </w:rPr>
        <w:t>最低</w:t>
      </w:r>
      <w:r>
        <w:rPr>
          <w:color w:val="auto"/>
          <w:sz w:val="28"/>
          <w:szCs w:val="28"/>
        </w:rPr>
        <w:t>程度。</w:t>
      </w:r>
    </w:p>
    <w:p>
      <w:pPr>
        <w:snapToGrid w:val="0"/>
        <w:ind w:firstLine="560"/>
        <w:rPr>
          <w:color w:val="auto"/>
          <w:sz w:val="28"/>
          <w:szCs w:val="28"/>
        </w:rPr>
      </w:pPr>
      <w:r>
        <w:rPr>
          <w:color w:val="auto"/>
          <w:sz w:val="28"/>
          <w:szCs w:val="28"/>
        </w:rPr>
        <w:t>（1）现场处置组及应急监测组迅速赶赴现场鉴定、识别、核实造成污染的种类、性质、污染方式、危害程度及受影响范围和边界，判明事件的性质和危害程度。</w:t>
      </w:r>
    </w:p>
    <w:p>
      <w:pPr>
        <w:snapToGrid w:val="0"/>
        <w:ind w:firstLine="560"/>
        <w:rPr>
          <w:color w:val="auto"/>
          <w:sz w:val="28"/>
          <w:szCs w:val="28"/>
        </w:rPr>
      </w:pPr>
      <w:r>
        <w:rPr>
          <w:color w:val="auto"/>
          <w:sz w:val="28"/>
          <w:szCs w:val="28"/>
        </w:rPr>
        <w:t>（2）现场处置组采取一切控制措施如切断泄漏源、关闭闸门、设置围堰、打捞污染物、调水引流、人工增雨、水体增氧等减小或消除污染物污染的范围、程度。</w:t>
      </w:r>
    </w:p>
    <w:p>
      <w:pPr>
        <w:snapToGrid w:val="0"/>
        <w:ind w:firstLine="560"/>
        <w:rPr>
          <w:color w:val="auto"/>
          <w:sz w:val="28"/>
          <w:szCs w:val="28"/>
        </w:rPr>
      </w:pPr>
      <w:r>
        <w:rPr>
          <w:color w:val="auto"/>
          <w:sz w:val="28"/>
          <w:szCs w:val="28"/>
        </w:rPr>
        <w:t>（3）当确定水源地受污染时，供水保障组适时启动供水应急预案，及时调整水处理工艺，强化水处理工艺的净化效果。保障出厂自来水水质达标，必要时采取联网供水、限水、停水、减压供水、改路供水等特殊处理措施，启用应急备用水源地，使用地下水应急供水、供应纯净水等措施保证饮用水安全。</w:t>
      </w:r>
    </w:p>
    <w:p>
      <w:pPr>
        <w:snapToGrid w:val="0"/>
        <w:ind w:firstLine="560"/>
        <w:rPr>
          <w:color w:val="auto"/>
          <w:sz w:val="28"/>
          <w:szCs w:val="28"/>
        </w:rPr>
      </w:pPr>
      <w:r>
        <w:rPr>
          <w:color w:val="auto"/>
          <w:sz w:val="28"/>
          <w:szCs w:val="28"/>
        </w:rPr>
        <w:t>（4）当水源保护区水污染危及人群健康时，</w:t>
      </w:r>
      <w:r>
        <w:rPr>
          <w:rFonts w:hint="eastAsia"/>
          <w:color w:val="auto"/>
          <w:sz w:val="28"/>
          <w:szCs w:val="28"/>
        </w:rPr>
        <w:t>医学救援</w:t>
      </w:r>
      <w:r>
        <w:rPr>
          <w:color w:val="auto"/>
          <w:sz w:val="28"/>
          <w:szCs w:val="28"/>
        </w:rPr>
        <w:t>组加强疾病预防控制工作，对因饮用水源污染可能导致的疾病、疫情进行应急处置。</w:t>
      </w:r>
    </w:p>
    <w:p>
      <w:pPr>
        <w:snapToGrid w:val="0"/>
        <w:ind w:firstLine="560"/>
        <w:rPr>
          <w:color w:val="auto"/>
          <w:sz w:val="28"/>
          <w:szCs w:val="28"/>
        </w:rPr>
      </w:pPr>
      <w:r>
        <w:rPr>
          <w:color w:val="auto"/>
          <w:sz w:val="28"/>
          <w:szCs w:val="28"/>
        </w:rPr>
        <w:t>（5）应急保障组保证应急物资和经费及时到位。根据突发事件应急处置需要，协调区、镇政府及时调集应急物资和筹集应急经费。</w:t>
      </w:r>
    </w:p>
    <w:p>
      <w:pPr>
        <w:snapToGrid w:val="0"/>
        <w:ind w:firstLine="560"/>
        <w:rPr>
          <w:color w:val="auto"/>
          <w:sz w:val="28"/>
          <w:szCs w:val="28"/>
        </w:rPr>
      </w:pPr>
      <w:r>
        <w:rPr>
          <w:color w:val="auto"/>
          <w:sz w:val="28"/>
          <w:szCs w:val="28"/>
        </w:rPr>
        <w:t>（</w:t>
      </w:r>
      <w:r>
        <w:rPr>
          <w:rFonts w:hint="eastAsia"/>
          <w:color w:val="auto"/>
          <w:sz w:val="28"/>
          <w:szCs w:val="28"/>
          <w:lang w:val="en-US" w:eastAsia="zh-CN"/>
        </w:rPr>
        <w:t>6</w:t>
      </w:r>
      <w:r>
        <w:rPr>
          <w:color w:val="auto"/>
          <w:sz w:val="28"/>
          <w:szCs w:val="28"/>
        </w:rPr>
        <w:t>）新闻宣传组应把握全区的舆论导向，指导各新闻单位做好相关报道工作。</w:t>
      </w:r>
    </w:p>
    <w:p>
      <w:pPr>
        <w:snapToGrid w:val="0"/>
        <w:ind w:firstLine="560"/>
        <w:rPr>
          <w:color w:val="auto"/>
          <w:sz w:val="28"/>
          <w:szCs w:val="28"/>
        </w:rPr>
      </w:pPr>
      <w:r>
        <w:rPr>
          <w:color w:val="auto"/>
          <w:sz w:val="28"/>
          <w:szCs w:val="28"/>
        </w:rPr>
        <w:t>现场处置方案包括但不仅限于以下内容：应急监测、污染处置措施、物资调集、应急队伍和人员安排、供水单位应对等。根据污染特征，水源地</w:t>
      </w:r>
      <w:r>
        <w:rPr>
          <w:rFonts w:hint="eastAsia"/>
          <w:color w:val="auto"/>
          <w:sz w:val="28"/>
          <w:szCs w:val="28"/>
          <w:lang w:eastAsia="zh-CN"/>
        </w:rPr>
        <w:t>突发生态环境事件</w:t>
      </w:r>
      <w:r>
        <w:rPr>
          <w:color w:val="auto"/>
          <w:sz w:val="28"/>
          <w:szCs w:val="28"/>
        </w:rPr>
        <w:t>的污染处置措施如下：</w:t>
      </w:r>
    </w:p>
    <w:p>
      <w:pPr>
        <w:snapToGrid w:val="0"/>
        <w:ind w:firstLine="560"/>
        <w:rPr>
          <w:color w:val="auto"/>
          <w:sz w:val="28"/>
          <w:szCs w:val="28"/>
        </w:rPr>
      </w:pPr>
      <w:r>
        <w:rPr>
          <w:color w:val="auto"/>
          <w:sz w:val="28"/>
          <w:szCs w:val="28"/>
        </w:rPr>
        <w:t>（1）水体内污染物治理、总量或浓度削减。根据专家咨询组等意见，制定综合处置方案，经区现场应急指挥部确认后实施。一般采取隔离、吸附、打捞、扰动等物理方法，氧化、沉淀等化学方法，或利用上游调水等稀释方法，可以采取一种或多种方式，力争短时间内削减污染物浓度。区现场应急指挥部可根据需要，对水源地汇水区域内的污染物排放企业实施停产、减产、限产等措施，削减水域污染物总量或浓度。</w:t>
      </w:r>
    </w:p>
    <w:p>
      <w:pPr>
        <w:snapToGrid w:val="0"/>
        <w:ind w:firstLine="560"/>
        <w:rPr>
          <w:color w:val="auto"/>
          <w:sz w:val="28"/>
          <w:szCs w:val="28"/>
        </w:rPr>
      </w:pPr>
      <w:r>
        <w:rPr>
          <w:color w:val="auto"/>
          <w:sz w:val="28"/>
          <w:szCs w:val="28"/>
        </w:rPr>
        <w:t>（2）应急工程设施拦截污染水体。在河道内启用或修建拦截坝、节制闸等工程设施拦截污染水体；通过导流渠将未受污染水体导流至污染水体下游，通过分流沟将污染水体分流至水源保护区外进行收集处置；利用前置库、缓冲池等工程设施，降低污染水体的污染物浓度，为应急处置争取时间。</w:t>
      </w:r>
    </w:p>
    <w:p>
      <w:pPr>
        <w:pStyle w:val="4"/>
        <w:snapToGrid w:val="0"/>
        <w:rPr>
          <w:color w:val="auto"/>
          <w:sz w:val="28"/>
          <w:szCs w:val="28"/>
        </w:rPr>
      </w:pPr>
      <w:bookmarkStart w:id="48" w:name="_Toc10822"/>
      <w:r>
        <w:rPr>
          <w:color w:val="auto"/>
          <w:sz w:val="28"/>
          <w:szCs w:val="28"/>
        </w:rPr>
        <w:t>3.8.2 供水安全保障</w:t>
      </w:r>
      <w:bookmarkEnd w:id="48"/>
    </w:p>
    <w:p>
      <w:pPr>
        <w:snapToGrid w:val="0"/>
        <w:ind w:firstLine="560"/>
        <w:rPr>
          <w:color w:val="auto"/>
          <w:sz w:val="28"/>
          <w:szCs w:val="28"/>
        </w:rPr>
      </w:pPr>
      <w:r>
        <w:rPr>
          <w:color w:val="auto"/>
          <w:sz w:val="28"/>
          <w:szCs w:val="28"/>
        </w:rPr>
        <w:t>供水安全保障工作由供水保障组负责。</w:t>
      </w:r>
    </w:p>
    <w:p>
      <w:pPr>
        <w:snapToGrid w:val="0"/>
        <w:ind w:firstLine="560"/>
        <w:rPr>
          <w:color w:val="auto"/>
          <w:sz w:val="28"/>
          <w:szCs w:val="28"/>
        </w:rPr>
      </w:pPr>
      <w:r>
        <w:rPr>
          <w:color w:val="auto"/>
          <w:sz w:val="28"/>
          <w:szCs w:val="28"/>
        </w:rPr>
        <w:t>供水保障组应明确与供水单位（太和供水公司</w:t>
      </w:r>
      <w:r>
        <w:rPr>
          <w:rFonts w:hint="eastAsia"/>
          <w:color w:val="auto"/>
          <w:sz w:val="28"/>
          <w:szCs w:val="28"/>
          <w:lang w:val="en-US" w:eastAsia="zh-CN"/>
        </w:rPr>
        <w:t>等二家对应供水单位</w:t>
      </w:r>
      <w:r>
        <w:rPr>
          <w:color w:val="auto"/>
          <w:sz w:val="28"/>
          <w:szCs w:val="28"/>
        </w:rPr>
        <w:t>）通报联络的工作人员姓名、职务和联系电话，掌握供水单位的应急监测能力、深度处理设施的处理能力和启动时间、备用水源启动时间等。建立向供水单位通报应急监测信息制度，并在启动预警时第一时间通知供水单位。</w:t>
      </w:r>
    </w:p>
    <w:p>
      <w:pPr>
        <w:snapToGrid w:val="0"/>
        <w:ind w:firstLine="560"/>
        <w:rPr>
          <w:color w:val="auto"/>
          <w:sz w:val="28"/>
          <w:szCs w:val="28"/>
        </w:rPr>
      </w:pPr>
      <w:r>
        <w:rPr>
          <w:color w:val="auto"/>
          <w:sz w:val="28"/>
          <w:szCs w:val="28"/>
        </w:rPr>
        <w:t>供水保障组应根据污染物的种类、浓度、可能影响取水口的时间，及时采取深度处理、低压供水或启动备用水源等应急措施，并加强污染物监测，待水质满足取水要求时恢复取水和供水。无备用水源应使用应急供水车等设施保障居民用水。</w:t>
      </w:r>
    </w:p>
    <w:p>
      <w:pPr>
        <w:pStyle w:val="3"/>
        <w:snapToGrid w:val="0"/>
        <w:rPr>
          <w:bCs w:val="0"/>
          <w:color w:val="auto"/>
        </w:rPr>
      </w:pPr>
      <w:bookmarkStart w:id="49" w:name="_Toc27047"/>
      <w:r>
        <w:rPr>
          <w:bCs w:val="0"/>
          <w:color w:val="auto"/>
        </w:rPr>
        <w:t>3.9 物资调集及应急设施启用</w:t>
      </w:r>
      <w:bookmarkEnd w:id="49"/>
    </w:p>
    <w:p>
      <w:pPr>
        <w:snapToGrid w:val="0"/>
        <w:ind w:firstLine="560"/>
        <w:rPr>
          <w:color w:val="auto"/>
          <w:sz w:val="28"/>
          <w:szCs w:val="28"/>
        </w:rPr>
      </w:pPr>
      <w:r>
        <w:rPr>
          <w:color w:val="auto"/>
          <w:sz w:val="28"/>
          <w:szCs w:val="28"/>
        </w:rPr>
        <w:t>物资调集及应急设施启用工作主要由应急保障组负责。应急保障组应明确负责物资调集的工作人员姓名、职务和联系电话。根据应急物资调查结果，列明应急物资、装备和设施清单，以及调集、运输和使用方式。清单应包括物资、装备和设施的种类、名称、数量、存放位置、规格、性能、用途和用法等信息，还应明确应急物资、装备、设施的定期检查和维护要求。应急物资、装备和设施包括但不限于以下内容</w:t>
      </w:r>
      <w:r>
        <w:rPr>
          <w:rFonts w:hint="eastAsia"/>
          <w:color w:val="auto"/>
          <w:sz w:val="28"/>
          <w:szCs w:val="28"/>
        </w:rPr>
        <w:t>：</w:t>
      </w:r>
    </w:p>
    <w:p>
      <w:pPr>
        <w:snapToGrid w:val="0"/>
        <w:ind w:firstLine="560"/>
        <w:rPr>
          <w:color w:val="auto"/>
          <w:sz w:val="28"/>
          <w:szCs w:val="28"/>
        </w:rPr>
      </w:pPr>
      <w:r>
        <w:rPr>
          <w:color w:val="auto"/>
          <w:sz w:val="28"/>
          <w:szCs w:val="28"/>
        </w:rPr>
        <w:t>（1）对水体内污染物进行打捞和拦截的物资、装备和设施，如救援打捞设备、油毡、围油栏、筑坝材料、溢出控制装备等。</w:t>
      </w:r>
    </w:p>
    <w:p>
      <w:pPr>
        <w:snapToGrid w:val="0"/>
        <w:ind w:firstLine="560"/>
        <w:rPr>
          <w:color w:val="auto"/>
          <w:sz w:val="28"/>
          <w:szCs w:val="28"/>
        </w:rPr>
      </w:pPr>
      <w:r>
        <w:rPr>
          <w:color w:val="auto"/>
          <w:sz w:val="28"/>
          <w:szCs w:val="28"/>
        </w:rPr>
        <w:t>（2）控制和消除污染物的物资、装备和设施，如中和剂、灭火剂、解毒剂、吸收剂等。</w:t>
      </w:r>
    </w:p>
    <w:p>
      <w:pPr>
        <w:snapToGrid w:val="0"/>
        <w:ind w:firstLine="560"/>
        <w:rPr>
          <w:color w:val="auto"/>
          <w:sz w:val="28"/>
          <w:szCs w:val="28"/>
        </w:rPr>
      </w:pPr>
      <w:r>
        <w:rPr>
          <w:color w:val="auto"/>
          <w:sz w:val="28"/>
          <w:szCs w:val="28"/>
        </w:rPr>
        <w:t>（3）移除和拦截移动源的装备和设施，如吊车、临时围堰、导流槽、应急池等。</w:t>
      </w:r>
    </w:p>
    <w:p>
      <w:pPr>
        <w:snapToGrid w:val="0"/>
        <w:ind w:firstLine="560"/>
        <w:rPr>
          <w:color w:val="auto"/>
          <w:sz w:val="28"/>
          <w:szCs w:val="28"/>
        </w:rPr>
      </w:pPr>
      <w:r>
        <w:rPr>
          <w:color w:val="auto"/>
          <w:sz w:val="28"/>
          <w:szCs w:val="28"/>
        </w:rPr>
        <w:t>（4）雨水口垃圾清运和拦截的装备和设施，如格栅、清运车、临时设置的导流槽等。</w:t>
      </w:r>
    </w:p>
    <w:p>
      <w:pPr>
        <w:snapToGrid w:val="0"/>
        <w:ind w:firstLine="560"/>
        <w:rPr>
          <w:color w:val="auto"/>
          <w:sz w:val="28"/>
          <w:szCs w:val="28"/>
        </w:rPr>
      </w:pPr>
      <w:r>
        <w:rPr>
          <w:color w:val="auto"/>
          <w:sz w:val="28"/>
          <w:szCs w:val="28"/>
        </w:rPr>
        <w:t>（5）对污染物进行拦截、导流、分流及降解的应急工程设施，如拦截坝、节制闸、导流渠、分流沟、前置库等。</w:t>
      </w:r>
    </w:p>
    <w:p>
      <w:pPr>
        <w:pStyle w:val="3"/>
        <w:snapToGrid w:val="0"/>
        <w:rPr>
          <w:bCs w:val="0"/>
          <w:color w:val="auto"/>
        </w:rPr>
      </w:pPr>
      <w:bookmarkStart w:id="50" w:name="_Toc19512"/>
      <w:r>
        <w:rPr>
          <w:bCs w:val="0"/>
          <w:color w:val="auto"/>
        </w:rPr>
        <w:t>3.10 医学救援</w:t>
      </w:r>
      <w:bookmarkEnd w:id="50"/>
    </w:p>
    <w:p>
      <w:pPr>
        <w:snapToGrid w:val="0"/>
        <w:ind w:firstLine="560"/>
        <w:rPr>
          <w:color w:val="auto"/>
          <w:sz w:val="28"/>
          <w:szCs w:val="28"/>
        </w:rPr>
      </w:pPr>
      <w:r>
        <w:rPr>
          <w:color w:val="auto"/>
          <w:sz w:val="28"/>
          <w:szCs w:val="28"/>
        </w:rPr>
        <w:t>医学救援工作由医学救援组负责。主要为：</w:t>
      </w:r>
    </w:p>
    <w:p>
      <w:pPr>
        <w:snapToGrid w:val="0"/>
        <w:ind w:firstLine="560"/>
        <w:rPr>
          <w:color w:val="auto"/>
          <w:sz w:val="28"/>
          <w:szCs w:val="28"/>
        </w:rPr>
      </w:pPr>
      <w:r>
        <w:rPr>
          <w:color w:val="auto"/>
          <w:sz w:val="28"/>
          <w:szCs w:val="28"/>
        </w:rPr>
        <w:t>（1）迅速组织当地医疗资源和力量，对伤病员进行诊断治疗，根据需要及时、安全地将重症伤病员转运到有条件的医疗机构加强救治。</w:t>
      </w:r>
    </w:p>
    <w:p>
      <w:pPr>
        <w:snapToGrid w:val="0"/>
        <w:ind w:firstLine="560"/>
        <w:rPr>
          <w:color w:val="auto"/>
          <w:sz w:val="28"/>
          <w:szCs w:val="28"/>
        </w:rPr>
      </w:pPr>
      <w:r>
        <w:rPr>
          <w:color w:val="auto"/>
          <w:sz w:val="28"/>
          <w:szCs w:val="28"/>
        </w:rPr>
        <w:t>（2）指导和协助开展受污染人员的去污洗消工作。</w:t>
      </w:r>
    </w:p>
    <w:p>
      <w:pPr>
        <w:snapToGrid w:val="0"/>
        <w:ind w:firstLine="560"/>
        <w:rPr>
          <w:color w:val="auto"/>
          <w:sz w:val="28"/>
          <w:szCs w:val="28"/>
        </w:rPr>
      </w:pPr>
      <w:r>
        <w:rPr>
          <w:color w:val="auto"/>
          <w:sz w:val="28"/>
          <w:szCs w:val="28"/>
        </w:rPr>
        <w:t>（3）因饮用污染水源导致的区域群发性不适或中毒，可通过新闻、媒体、电信和互联网等提出保护公众健康的措施建议，并加强受影响区域的医疗资源和力量，做好受影响人员的心理援助。</w:t>
      </w:r>
    </w:p>
    <w:p>
      <w:pPr>
        <w:pStyle w:val="3"/>
        <w:snapToGrid w:val="0"/>
        <w:rPr>
          <w:bCs w:val="0"/>
          <w:color w:val="auto"/>
        </w:rPr>
      </w:pPr>
      <w:bookmarkStart w:id="51" w:name="_Toc24148"/>
      <w:r>
        <w:rPr>
          <w:bCs w:val="0"/>
          <w:color w:val="auto"/>
        </w:rPr>
        <w:t>3.11 舆情监测与信息发布</w:t>
      </w:r>
      <w:bookmarkEnd w:id="51"/>
    </w:p>
    <w:p>
      <w:pPr>
        <w:snapToGrid w:val="0"/>
        <w:ind w:firstLine="560"/>
        <w:rPr>
          <w:color w:val="auto"/>
          <w:sz w:val="28"/>
          <w:szCs w:val="28"/>
        </w:rPr>
      </w:pPr>
      <w:r>
        <w:rPr>
          <w:color w:val="auto"/>
          <w:sz w:val="28"/>
          <w:szCs w:val="28"/>
        </w:rPr>
        <w:t>舆情监测与信息发布工作主要由新闻宣传组负责。在水源地</w:t>
      </w:r>
      <w:r>
        <w:rPr>
          <w:rFonts w:hint="eastAsia"/>
          <w:color w:val="auto"/>
          <w:sz w:val="28"/>
          <w:szCs w:val="28"/>
          <w:lang w:eastAsia="zh-CN"/>
        </w:rPr>
        <w:t>突发生态环境事件</w:t>
      </w:r>
      <w:r>
        <w:rPr>
          <w:color w:val="auto"/>
          <w:sz w:val="28"/>
          <w:szCs w:val="28"/>
        </w:rPr>
        <w:t>发生后，新闻宣传组应第一时间借助电视、广播、报纸、互联网、微信、公众告知等多种途径，主动、及时、准确、客观地向社会及时准确发布事态最新情况，公布咨询电话，组织专家解读；加强相关舆情监测，回应社会关切，澄清不实信息，做好舆论引导工作；并针对舆情及时发布事件原因、污染程度、影响区域、已采取的措施及成效、公众应注意的防范措施、热线电话等。</w:t>
      </w:r>
    </w:p>
    <w:p>
      <w:pPr>
        <w:pStyle w:val="3"/>
        <w:snapToGrid w:val="0"/>
        <w:rPr>
          <w:bCs w:val="0"/>
          <w:color w:val="auto"/>
        </w:rPr>
      </w:pPr>
      <w:bookmarkStart w:id="52" w:name="_Toc26313"/>
      <w:r>
        <w:rPr>
          <w:bCs w:val="0"/>
          <w:color w:val="auto"/>
        </w:rPr>
        <w:t>3.12 响应终止</w:t>
      </w:r>
      <w:bookmarkEnd w:id="52"/>
    </w:p>
    <w:p>
      <w:pPr>
        <w:snapToGrid w:val="0"/>
        <w:ind w:firstLine="560"/>
        <w:rPr>
          <w:color w:val="auto"/>
          <w:sz w:val="28"/>
          <w:szCs w:val="28"/>
        </w:rPr>
      </w:pPr>
      <w:r>
        <w:rPr>
          <w:color w:val="auto"/>
          <w:sz w:val="28"/>
          <w:szCs w:val="28"/>
        </w:rPr>
        <w:t>当符合下列情形之一的，报经区应急指挥部同意后，由区应急指挥部办公室通过电视、广播、报纸、互联网、微信等渠道向受影响的区域或群众发布应急响应终止</w:t>
      </w:r>
      <w:r>
        <w:rPr>
          <w:rFonts w:hint="eastAsia"/>
          <w:color w:val="auto"/>
          <w:sz w:val="28"/>
          <w:szCs w:val="28"/>
        </w:rPr>
        <w:t>：</w:t>
      </w:r>
    </w:p>
    <w:p>
      <w:pPr>
        <w:snapToGrid w:val="0"/>
        <w:ind w:firstLine="560"/>
        <w:rPr>
          <w:color w:val="auto"/>
          <w:sz w:val="28"/>
          <w:szCs w:val="28"/>
        </w:rPr>
      </w:pPr>
      <w:r>
        <w:rPr>
          <w:color w:val="auto"/>
          <w:sz w:val="28"/>
          <w:szCs w:val="28"/>
        </w:rPr>
        <w:t>（1）进入水源保护区陆域范围的污染物已成功围堵，且清运至水源保护区外，未向水域扩散时。</w:t>
      </w:r>
    </w:p>
    <w:p>
      <w:pPr>
        <w:snapToGrid w:val="0"/>
        <w:ind w:firstLine="560"/>
        <w:rPr>
          <w:color w:val="auto"/>
          <w:sz w:val="28"/>
          <w:szCs w:val="28"/>
        </w:rPr>
      </w:pPr>
      <w:r>
        <w:rPr>
          <w:color w:val="auto"/>
          <w:sz w:val="28"/>
          <w:szCs w:val="28"/>
        </w:rPr>
        <w:t>（2）进入水源保护区水域范围的污染团已成功拦截或导流至水源保护区外，没有向取水口扩散的风险，且水质监测结果稳定达标。</w:t>
      </w:r>
    </w:p>
    <w:p>
      <w:pPr>
        <w:snapToGrid w:val="0"/>
        <w:ind w:firstLine="560"/>
        <w:rPr>
          <w:color w:val="auto"/>
          <w:sz w:val="28"/>
          <w:szCs w:val="28"/>
        </w:rPr>
      </w:pPr>
      <w:r>
        <w:rPr>
          <w:color w:val="auto"/>
          <w:sz w:val="28"/>
          <w:szCs w:val="28"/>
        </w:rPr>
        <w:t>（3）水质监测结果尚未稳定达标，但根据专家咨询组建议可恢复正常取水时。</w:t>
      </w:r>
    </w:p>
    <w:p>
      <w:pPr>
        <w:pStyle w:val="2"/>
        <w:snapToGrid w:val="0"/>
        <w:jc w:val="both"/>
        <w:rPr>
          <w:color w:val="auto"/>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pPr>
    </w:p>
    <w:p>
      <w:pPr>
        <w:pStyle w:val="2"/>
        <w:snapToGrid w:val="0"/>
        <w:jc w:val="both"/>
        <w:rPr>
          <w:color w:val="auto"/>
          <w:szCs w:val="32"/>
        </w:rPr>
      </w:pPr>
      <w:bookmarkStart w:id="53" w:name="_Toc3200"/>
      <w:r>
        <w:rPr>
          <w:color w:val="auto"/>
          <w:szCs w:val="32"/>
        </w:rPr>
        <w:t>4 后期工作</w:t>
      </w:r>
      <w:bookmarkEnd w:id="53"/>
    </w:p>
    <w:p>
      <w:pPr>
        <w:pStyle w:val="3"/>
        <w:snapToGrid w:val="0"/>
        <w:rPr>
          <w:bCs w:val="0"/>
          <w:color w:val="auto"/>
        </w:rPr>
      </w:pPr>
      <w:bookmarkStart w:id="54" w:name="_Toc11205"/>
      <w:r>
        <w:rPr>
          <w:bCs w:val="0"/>
          <w:color w:val="auto"/>
        </w:rPr>
        <w:t>4.1 后期防控</w:t>
      </w:r>
      <w:bookmarkEnd w:id="54"/>
    </w:p>
    <w:p>
      <w:pPr>
        <w:snapToGrid w:val="0"/>
        <w:ind w:firstLine="560"/>
        <w:rPr>
          <w:color w:val="auto"/>
          <w:sz w:val="28"/>
          <w:szCs w:val="28"/>
        </w:rPr>
      </w:pPr>
      <w:r>
        <w:rPr>
          <w:color w:val="auto"/>
          <w:sz w:val="28"/>
          <w:szCs w:val="28"/>
        </w:rPr>
        <w:t>水源地</w:t>
      </w:r>
      <w:r>
        <w:rPr>
          <w:rFonts w:hint="eastAsia"/>
          <w:color w:val="auto"/>
          <w:sz w:val="28"/>
          <w:szCs w:val="28"/>
          <w:lang w:eastAsia="zh-CN"/>
        </w:rPr>
        <w:t>突发生态环境事件</w:t>
      </w:r>
      <w:r>
        <w:rPr>
          <w:color w:val="auto"/>
          <w:sz w:val="28"/>
          <w:szCs w:val="28"/>
        </w:rPr>
        <w:t>应急响应终止后，区应急指挥部应组织应急监测队伍进行后期污染监测；组织专家制定后期污染治理方案，消除投放药剂的残留毒性和后期效应，防止次生</w:t>
      </w:r>
      <w:r>
        <w:rPr>
          <w:rFonts w:hint="eastAsia"/>
          <w:color w:val="auto"/>
          <w:sz w:val="28"/>
          <w:szCs w:val="28"/>
          <w:lang w:eastAsia="zh-CN"/>
        </w:rPr>
        <w:t>突发生态环境事件</w:t>
      </w:r>
      <w:r>
        <w:rPr>
          <w:color w:val="auto"/>
          <w:sz w:val="28"/>
          <w:szCs w:val="28"/>
        </w:rPr>
        <w:t>；事件处理过程中产生的二次污染物应采取措施妥善、合法处置。事故处置过</w:t>
      </w:r>
      <w:r>
        <w:rPr>
          <w:rFonts w:hint="eastAsia"/>
          <w:color w:val="auto"/>
          <w:sz w:val="28"/>
          <w:szCs w:val="28"/>
          <w:lang w:eastAsia="zh-CN"/>
        </w:rPr>
        <w:t>程中</w:t>
      </w:r>
      <w:r>
        <w:rPr>
          <w:color w:val="auto"/>
          <w:sz w:val="28"/>
          <w:szCs w:val="28"/>
        </w:rPr>
        <w:t>产生的废水污染物收集后由</w:t>
      </w:r>
      <w:r>
        <w:rPr>
          <w:rFonts w:hint="eastAsia"/>
          <w:color w:val="auto"/>
          <w:sz w:val="28"/>
          <w:szCs w:val="28"/>
          <w:lang w:val="en-US" w:eastAsia="zh-CN"/>
        </w:rPr>
        <w:t>清远</w:t>
      </w:r>
      <w:r>
        <w:rPr>
          <w:color w:val="auto"/>
          <w:sz w:val="28"/>
          <w:szCs w:val="28"/>
        </w:rPr>
        <w:t>市生态环境局清新分局委托有处理能力的单位处理达标后排放，事故处置过程产生的固废污染物需妥善安全暂存，委托有能力处置单位妥善处置，若为危险废物须交由有资质单位安全处置；在事故场地及</w:t>
      </w:r>
      <w:r>
        <w:rPr>
          <w:rFonts w:hint="eastAsia"/>
          <w:color w:val="auto"/>
          <w:sz w:val="28"/>
          <w:szCs w:val="28"/>
          <w:lang w:eastAsia="zh-CN"/>
        </w:rPr>
        <w:t>蔓延</w:t>
      </w:r>
      <w:r>
        <w:rPr>
          <w:color w:val="auto"/>
          <w:sz w:val="28"/>
          <w:szCs w:val="28"/>
        </w:rPr>
        <w:t>区域的污染物清除完成后，对土壤或水生态系统进行修复；部分污染物导流到水源地下游或其他区域，对这些区域的污染物进行清除等。</w:t>
      </w:r>
    </w:p>
    <w:p>
      <w:pPr>
        <w:pStyle w:val="3"/>
        <w:snapToGrid w:val="0"/>
        <w:rPr>
          <w:bCs w:val="0"/>
          <w:color w:val="auto"/>
        </w:rPr>
      </w:pPr>
      <w:bookmarkStart w:id="55" w:name="_Toc29611"/>
      <w:r>
        <w:rPr>
          <w:bCs w:val="0"/>
          <w:color w:val="auto"/>
        </w:rPr>
        <w:t>4.2 事件调查</w:t>
      </w:r>
      <w:bookmarkEnd w:id="55"/>
    </w:p>
    <w:p>
      <w:pPr>
        <w:snapToGrid w:val="0"/>
        <w:ind w:firstLine="560"/>
        <w:rPr>
          <w:color w:val="auto"/>
          <w:sz w:val="28"/>
          <w:szCs w:val="28"/>
        </w:rPr>
      </w:pPr>
      <w:r>
        <w:rPr>
          <w:color w:val="auto"/>
          <w:sz w:val="28"/>
          <w:szCs w:val="28"/>
        </w:rPr>
        <w:t>水源地</w:t>
      </w:r>
      <w:r>
        <w:rPr>
          <w:rFonts w:hint="eastAsia"/>
          <w:color w:val="auto"/>
          <w:sz w:val="28"/>
          <w:szCs w:val="28"/>
          <w:lang w:eastAsia="zh-CN"/>
        </w:rPr>
        <w:t>突发生态环境事件</w:t>
      </w:r>
      <w:r>
        <w:rPr>
          <w:color w:val="auto"/>
          <w:sz w:val="28"/>
          <w:szCs w:val="28"/>
        </w:rPr>
        <w:t>发生后，根据《突发环境事件调查处理办法》等有关规定，由</w:t>
      </w:r>
      <w:r>
        <w:rPr>
          <w:rFonts w:hint="eastAsia"/>
          <w:color w:val="auto"/>
          <w:sz w:val="28"/>
          <w:szCs w:val="28"/>
          <w:lang w:val="en-US" w:eastAsia="zh-CN"/>
        </w:rPr>
        <w:t>清远</w:t>
      </w:r>
      <w:r>
        <w:rPr>
          <w:color w:val="auto"/>
          <w:sz w:val="28"/>
          <w:szCs w:val="28"/>
        </w:rPr>
        <w:t>市生态环境局清新分局牵头，各有关部门配合，组织开展事件调查，通过对监测数据进行污染源分析、明察暗访等方式查明事件原因和性质，提出整改防范措施和处理建议。</w:t>
      </w:r>
    </w:p>
    <w:p>
      <w:pPr>
        <w:pStyle w:val="3"/>
        <w:snapToGrid w:val="0"/>
        <w:rPr>
          <w:bCs w:val="0"/>
          <w:color w:val="auto"/>
        </w:rPr>
      </w:pPr>
      <w:bookmarkStart w:id="56" w:name="_Toc26121"/>
      <w:r>
        <w:rPr>
          <w:bCs w:val="0"/>
          <w:color w:val="auto"/>
        </w:rPr>
        <w:t>4.3 损害评估</w:t>
      </w:r>
      <w:bookmarkEnd w:id="56"/>
    </w:p>
    <w:p>
      <w:pPr>
        <w:snapToGrid w:val="0"/>
        <w:ind w:firstLine="560"/>
        <w:rPr>
          <w:color w:val="auto"/>
          <w:sz w:val="28"/>
          <w:szCs w:val="28"/>
        </w:rPr>
      </w:pPr>
      <w:r>
        <w:rPr>
          <w:color w:val="auto"/>
          <w:sz w:val="28"/>
          <w:szCs w:val="28"/>
        </w:rPr>
        <w:t>事件发生后，</w:t>
      </w:r>
      <w:r>
        <w:rPr>
          <w:rFonts w:hint="eastAsia"/>
          <w:color w:val="auto"/>
          <w:sz w:val="28"/>
          <w:szCs w:val="28"/>
          <w:lang w:val="en-US" w:eastAsia="zh-CN"/>
        </w:rPr>
        <w:t>清远</w:t>
      </w:r>
      <w:r>
        <w:rPr>
          <w:color w:val="auto"/>
          <w:sz w:val="28"/>
          <w:szCs w:val="28"/>
        </w:rPr>
        <w:t>市生态环境局清新分局应及时委托生态环境损害鉴定评估机构组织开展生态环境损害鉴定评估，并将评估结果向社会公布。评估结论作为事件调查处理、损害赔偿、环境修复和生态恢复重建的依据。</w:t>
      </w:r>
    </w:p>
    <w:p>
      <w:pPr>
        <w:snapToGrid w:val="0"/>
        <w:ind w:firstLine="560"/>
        <w:rPr>
          <w:color w:val="auto"/>
          <w:sz w:val="28"/>
          <w:szCs w:val="28"/>
        </w:rPr>
      </w:pPr>
      <w:r>
        <w:rPr>
          <w:color w:val="auto"/>
          <w:sz w:val="28"/>
          <w:szCs w:val="28"/>
        </w:rPr>
        <w:t>生态环境损害鉴定评估机构应当在</w:t>
      </w:r>
      <w:r>
        <w:rPr>
          <w:rFonts w:hint="eastAsia"/>
          <w:color w:val="auto"/>
          <w:sz w:val="28"/>
          <w:szCs w:val="28"/>
          <w:lang w:eastAsia="zh-CN"/>
        </w:rPr>
        <w:t>突发生态环境事件</w:t>
      </w:r>
      <w:r>
        <w:rPr>
          <w:color w:val="auto"/>
          <w:sz w:val="28"/>
          <w:szCs w:val="28"/>
        </w:rPr>
        <w:t>发生后即开展污染损害评估前期工作，并在应急处置工作结束后及时制订评估工作方案，具体实施污染损害评估，对事件造成的生态环境损害费用进行量化，评估其损害数额，作为肇事者承担责任的依据。生态环境损害费用包括清除污染的费用、生态环境修复费用、生态环境修复期间服务功能的损失、生态环境功能永久性损害造成的损失以及生态环境损害赔偿调查、鉴定评估等</w:t>
      </w:r>
      <w:r>
        <w:rPr>
          <w:rFonts w:hint="eastAsia"/>
          <w:color w:val="auto"/>
          <w:sz w:val="28"/>
          <w:szCs w:val="28"/>
          <w:lang w:eastAsia="zh-CN"/>
        </w:rPr>
        <w:t>其他</w:t>
      </w:r>
      <w:r>
        <w:rPr>
          <w:color w:val="auto"/>
          <w:sz w:val="28"/>
          <w:szCs w:val="28"/>
        </w:rPr>
        <w:t>合理费用。</w:t>
      </w:r>
    </w:p>
    <w:p>
      <w:pPr>
        <w:pStyle w:val="3"/>
        <w:snapToGrid w:val="0"/>
        <w:rPr>
          <w:bCs w:val="0"/>
          <w:color w:val="auto"/>
        </w:rPr>
      </w:pPr>
      <w:bookmarkStart w:id="57" w:name="_Toc16172"/>
      <w:r>
        <w:rPr>
          <w:bCs w:val="0"/>
          <w:color w:val="auto"/>
        </w:rPr>
        <w:t>4.4 善后处理</w:t>
      </w:r>
      <w:bookmarkEnd w:id="57"/>
    </w:p>
    <w:p>
      <w:pPr>
        <w:snapToGrid w:val="0"/>
        <w:ind w:firstLine="560"/>
        <w:rPr>
          <w:color w:val="auto"/>
          <w:sz w:val="28"/>
          <w:szCs w:val="28"/>
        </w:rPr>
      </w:pPr>
      <w:r>
        <w:rPr>
          <w:color w:val="auto"/>
          <w:sz w:val="28"/>
          <w:szCs w:val="28"/>
        </w:rPr>
        <w:t>善后处置工作主要由区政府负责、事发地镇政府和有关部门配合，内容包括损害赔偿、风险源整改和污染场地修复等具体工作方案。</w:t>
      </w:r>
    </w:p>
    <w:p>
      <w:pPr>
        <w:snapToGrid w:val="0"/>
        <w:ind w:firstLine="560"/>
        <w:rPr>
          <w:color w:val="auto"/>
          <w:sz w:val="28"/>
          <w:szCs w:val="28"/>
        </w:rPr>
      </w:pPr>
      <w:r>
        <w:rPr>
          <w:color w:val="auto"/>
          <w:sz w:val="28"/>
          <w:szCs w:val="28"/>
        </w:rPr>
        <w:t>环境应急工作结束后，</w:t>
      </w:r>
      <w:r>
        <w:rPr>
          <w:rFonts w:hint="eastAsia"/>
          <w:color w:val="auto"/>
          <w:sz w:val="28"/>
          <w:szCs w:val="28"/>
          <w:lang w:val="en-US" w:eastAsia="zh-CN"/>
        </w:rPr>
        <w:t>清远</w:t>
      </w:r>
      <w:r>
        <w:rPr>
          <w:color w:val="auto"/>
          <w:sz w:val="28"/>
          <w:szCs w:val="28"/>
        </w:rPr>
        <w:t>市生态环境局清新分局应继续跟踪监测污染物的变化情况，直至稳定恢复。区卫生健康局要做好灾害事故现场的消毒与疫情的监控工作。在应急处置过程中征用的救治、救援物资，交通工具及设施、设备等，应依据有关标准和程序归还，对一次性或损坏的应急用品给予补偿。</w:t>
      </w:r>
    </w:p>
    <w:p>
      <w:pPr>
        <w:snapToGrid w:val="0"/>
        <w:ind w:firstLine="560"/>
        <w:rPr>
          <w:color w:val="auto"/>
          <w:sz w:val="28"/>
          <w:szCs w:val="28"/>
        </w:rPr>
      </w:pPr>
      <w:r>
        <w:rPr>
          <w:color w:val="auto"/>
          <w:sz w:val="28"/>
          <w:szCs w:val="28"/>
        </w:rPr>
        <w:t>区应急指挥部应组织有关专家对受灾范围进行科学评估，提出补偿和对受污染的生态环境进行恢复的建议、计划；协调处理污染赔偿和其他事项。如果环境污染造成了人员伤害，应当依据国家相关规定制定救助、补偿、治疗、抚恤、安置等善后工作方案并实施，对污染区域采取必要的疾病预防措施。</w:t>
      </w:r>
    </w:p>
    <w:p>
      <w:pPr>
        <w:pStyle w:val="2"/>
        <w:snapToGrid w:val="0"/>
        <w:jc w:val="both"/>
        <w:rPr>
          <w:color w:val="auto"/>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pPr>
    </w:p>
    <w:p>
      <w:pPr>
        <w:pStyle w:val="2"/>
        <w:snapToGrid w:val="0"/>
        <w:jc w:val="both"/>
        <w:rPr>
          <w:color w:val="auto"/>
          <w:szCs w:val="32"/>
        </w:rPr>
      </w:pPr>
      <w:bookmarkStart w:id="58" w:name="_Toc14267"/>
      <w:r>
        <w:rPr>
          <w:color w:val="auto"/>
          <w:szCs w:val="32"/>
        </w:rPr>
        <w:t>5 应急保障</w:t>
      </w:r>
      <w:bookmarkEnd w:id="58"/>
    </w:p>
    <w:p>
      <w:pPr>
        <w:snapToGrid w:val="0"/>
        <w:ind w:firstLine="560"/>
        <w:rPr>
          <w:color w:val="auto"/>
          <w:sz w:val="28"/>
          <w:szCs w:val="28"/>
        </w:rPr>
      </w:pPr>
      <w:r>
        <w:rPr>
          <w:color w:val="auto"/>
          <w:sz w:val="28"/>
          <w:szCs w:val="28"/>
          <w:lang w:val="en-US" w:eastAsia="zh-CN"/>
        </w:rPr>
        <w:t>应急保障部分，应包括通讯与信息保障、应急队伍保障、应急物资保障、应急资源保障、经费保障及其他保障等内容。</w:t>
      </w:r>
    </w:p>
    <w:p>
      <w:pPr>
        <w:pStyle w:val="3"/>
        <w:snapToGrid w:val="0"/>
        <w:rPr>
          <w:bCs w:val="0"/>
          <w:color w:val="auto"/>
        </w:rPr>
      </w:pPr>
      <w:bookmarkStart w:id="59" w:name="_Toc17430"/>
      <w:r>
        <w:rPr>
          <w:bCs w:val="0"/>
          <w:color w:val="auto"/>
        </w:rPr>
        <w:t>5.1 通讯与信息保障</w:t>
      </w:r>
      <w:bookmarkEnd w:id="59"/>
    </w:p>
    <w:p>
      <w:pPr>
        <w:snapToGrid w:val="0"/>
        <w:ind w:firstLine="560"/>
        <w:rPr>
          <w:color w:val="auto"/>
          <w:sz w:val="28"/>
          <w:szCs w:val="28"/>
        </w:rPr>
      </w:pPr>
      <w:r>
        <w:rPr>
          <w:color w:val="auto"/>
          <w:sz w:val="28"/>
          <w:szCs w:val="28"/>
        </w:rPr>
        <w:t>区应急指挥部与各成员单位应建立和完善通讯联络系统，各单位要配备必要的有线、无线通讯器材并保证运行状况良好，手机务必保持24小时畅通。区应急指挥部各成员单位应将应急队伍联系人、联系电话报区应急指挥部办公室备案，区应急指挥部办公室汇总后下发水源地</w:t>
      </w:r>
      <w:r>
        <w:rPr>
          <w:rFonts w:hint="eastAsia"/>
          <w:color w:val="auto"/>
          <w:sz w:val="28"/>
          <w:szCs w:val="28"/>
          <w:lang w:eastAsia="zh-CN"/>
        </w:rPr>
        <w:t>突发生态环境事件</w:t>
      </w:r>
      <w:r>
        <w:rPr>
          <w:color w:val="auto"/>
          <w:sz w:val="28"/>
          <w:szCs w:val="28"/>
        </w:rPr>
        <w:t>应急处置专用通讯录。区应急指挥部办公室负责应急处置专用通信录的动态更新工作。</w:t>
      </w:r>
    </w:p>
    <w:p>
      <w:pPr>
        <w:snapToGrid w:val="0"/>
        <w:ind w:firstLine="560"/>
        <w:rPr>
          <w:color w:val="auto"/>
          <w:sz w:val="28"/>
          <w:szCs w:val="28"/>
        </w:rPr>
      </w:pPr>
      <w:r>
        <w:rPr>
          <w:color w:val="auto"/>
          <w:sz w:val="28"/>
          <w:szCs w:val="28"/>
        </w:rPr>
        <w:t>区应急指挥部办公室加强环境应急值守，确保报警电话畅通，并确保24小时有人值守。</w:t>
      </w:r>
    </w:p>
    <w:p>
      <w:pPr>
        <w:snapToGrid w:val="0"/>
        <w:ind w:firstLine="560"/>
        <w:rPr>
          <w:color w:val="auto"/>
          <w:sz w:val="28"/>
          <w:szCs w:val="28"/>
        </w:rPr>
      </w:pPr>
      <w:r>
        <w:rPr>
          <w:color w:val="auto"/>
          <w:sz w:val="28"/>
          <w:szCs w:val="28"/>
        </w:rPr>
        <w:t>新闻宣传组负责对外发布事件信息及应急处置进展情况。区应急指挥部负责提供准确、权威的信息，区委宣传部组织统一发布，确保信息准确、及时传递，正确引导社会舆论。事件发生的第一时间要向社会发布简要信息，随后发布初步核实情况、政府应对措施等，并根据事件处置情况做好后续发布工作。</w:t>
      </w:r>
    </w:p>
    <w:p>
      <w:pPr>
        <w:pStyle w:val="3"/>
        <w:snapToGrid w:val="0"/>
        <w:rPr>
          <w:bCs w:val="0"/>
          <w:color w:val="auto"/>
        </w:rPr>
      </w:pPr>
      <w:bookmarkStart w:id="60" w:name="_Toc30492"/>
      <w:r>
        <w:rPr>
          <w:bCs w:val="0"/>
          <w:color w:val="auto"/>
        </w:rPr>
        <w:t>5.2 应急队伍保障</w:t>
      </w:r>
      <w:bookmarkEnd w:id="60"/>
    </w:p>
    <w:p>
      <w:pPr>
        <w:snapToGrid w:val="0"/>
        <w:ind w:firstLine="560"/>
        <w:rPr>
          <w:color w:val="auto"/>
          <w:sz w:val="28"/>
          <w:szCs w:val="28"/>
        </w:rPr>
      </w:pPr>
      <w:r>
        <w:rPr>
          <w:color w:val="auto"/>
          <w:sz w:val="28"/>
          <w:szCs w:val="28"/>
        </w:rPr>
        <w:t>区应急指挥部成员单位应建立多层次的应急保障队伍，进一步加强公安消防等队伍处置</w:t>
      </w:r>
      <w:r>
        <w:rPr>
          <w:rFonts w:hint="eastAsia"/>
          <w:color w:val="auto"/>
          <w:sz w:val="28"/>
          <w:szCs w:val="28"/>
          <w:lang w:eastAsia="zh-CN"/>
        </w:rPr>
        <w:t>突发生态环境事件</w:t>
      </w:r>
      <w:r>
        <w:rPr>
          <w:color w:val="auto"/>
          <w:sz w:val="28"/>
          <w:szCs w:val="28"/>
        </w:rPr>
        <w:t>的能力，同时依托生态环境专业处置企业等社会化力量，建立社会化的环境应急救援队伍，加强应急队伍培训和演练。各成员单位应制订年度培训、演练计划，并认真组织实施；区应急指挥部组织开展应急演练，发现不足及时改进，不断提高各部门协同作战能力。</w:t>
      </w:r>
    </w:p>
    <w:p>
      <w:pPr>
        <w:snapToGrid w:val="0"/>
        <w:ind w:firstLine="560"/>
        <w:rPr>
          <w:color w:val="auto"/>
          <w:sz w:val="28"/>
          <w:szCs w:val="28"/>
        </w:rPr>
      </w:pPr>
      <w:r>
        <w:rPr>
          <w:color w:val="auto"/>
          <w:sz w:val="28"/>
          <w:szCs w:val="28"/>
          <w:lang w:val="en-US" w:eastAsia="zh-CN"/>
        </w:rPr>
        <w:t>应急队伍培训，由</w:t>
      </w:r>
      <w:r>
        <w:rPr>
          <w:rFonts w:hint="eastAsia"/>
          <w:color w:val="auto"/>
          <w:sz w:val="28"/>
          <w:szCs w:val="28"/>
          <w:lang w:val="en-US" w:eastAsia="zh-CN"/>
        </w:rPr>
        <w:t>清新区</w:t>
      </w:r>
      <w:r>
        <w:rPr>
          <w:color w:val="auto"/>
          <w:sz w:val="28"/>
          <w:szCs w:val="28"/>
          <w:lang w:val="en-US" w:eastAsia="zh-CN"/>
        </w:rPr>
        <w:t>人民政府根据应急队伍知识技能掌握程度自定，至少每年一次，包括信息报告、个体防护、应急资源使用、应急监测布点及监测方法、应急处置方法等培训科目。</w:t>
      </w:r>
    </w:p>
    <w:p>
      <w:pPr>
        <w:pStyle w:val="3"/>
        <w:snapToGrid w:val="0"/>
        <w:rPr>
          <w:bCs w:val="0"/>
          <w:color w:val="auto"/>
        </w:rPr>
      </w:pPr>
      <w:bookmarkStart w:id="61" w:name="_Toc26425"/>
      <w:r>
        <w:rPr>
          <w:bCs w:val="0"/>
          <w:color w:val="auto"/>
        </w:rPr>
        <w:t>5.3 应急资源保障</w:t>
      </w:r>
      <w:bookmarkEnd w:id="61"/>
    </w:p>
    <w:p>
      <w:pPr>
        <w:snapToGrid w:val="0"/>
        <w:ind w:firstLine="560"/>
        <w:rPr>
          <w:color w:val="auto"/>
          <w:sz w:val="28"/>
          <w:szCs w:val="28"/>
        </w:rPr>
      </w:pPr>
      <w:r>
        <w:rPr>
          <w:color w:val="auto"/>
          <w:sz w:val="28"/>
          <w:szCs w:val="28"/>
        </w:rPr>
        <w:t>区应急指挥部各成员单位根据职责分工，组织做好环境应急物资紧急生产、储备调用、紧急配送工作并做好本单位应急物资的更新及养护，保障应急处置和后续环境恢复需要。应根据事件和演练经验，持续改进药剂、物资、装备的规范存放，提高应急设施的建设要求，确保事件发生时能够快速高效的使用应急资源。</w:t>
      </w:r>
    </w:p>
    <w:p>
      <w:pPr>
        <w:snapToGrid w:val="0"/>
        <w:ind w:firstLine="560"/>
        <w:rPr>
          <w:color w:val="auto"/>
          <w:sz w:val="28"/>
          <w:szCs w:val="28"/>
        </w:rPr>
      </w:pPr>
      <w:r>
        <w:rPr>
          <w:rFonts w:hint="eastAsia"/>
          <w:color w:val="auto"/>
          <w:sz w:val="28"/>
          <w:szCs w:val="28"/>
          <w:lang w:val="en-US" w:eastAsia="zh-CN"/>
        </w:rPr>
        <w:t>清远</w:t>
      </w:r>
      <w:r>
        <w:rPr>
          <w:color w:val="auto"/>
          <w:sz w:val="28"/>
          <w:szCs w:val="28"/>
        </w:rPr>
        <w:t>市生态环境局清新分局做好环境应急物资储备库物资储备、更新、调度和紧急配送等信息动态管理工作。区应急指挥部各成员单位要制定环境应急物资储备计划，强化环境应急物资储备，鼓励通过政府补贴、第三方服务等方式，建立符合实际的应急物资储备体系，提高</w:t>
      </w:r>
      <w:r>
        <w:rPr>
          <w:rFonts w:hint="eastAsia"/>
          <w:color w:val="auto"/>
          <w:sz w:val="28"/>
          <w:szCs w:val="28"/>
          <w:lang w:eastAsia="zh-CN"/>
        </w:rPr>
        <w:t>突发生态环境事件</w:t>
      </w:r>
      <w:r>
        <w:rPr>
          <w:color w:val="auto"/>
          <w:sz w:val="28"/>
          <w:szCs w:val="28"/>
        </w:rPr>
        <w:t>救援能力。</w:t>
      </w:r>
    </w:p>
    <w:p>
      <w:pPr>
        <w:snapToGrid w:val="0"/>
        <w:ind w:firstLine="560"/>
        <w:rPr>
          <w:color w:val="auto"/>
          <w:sz w:val="28"/>
          <w:szCs w:val="28"/>
        </w:rPr>
      </w:pPr>
      <w:r>
        <w:rPr>
          <w:rFonts w:hint="eastAsia"/>
          <w:color w:val="auto"/>
          <w:sz w:val="28"/>
          <w:szCs w:val="28"/>
          <w:lang w:val="en-US" w:eastAsia="zh-CN"/>
        </w:rPr>
        <w:t>清新区人民政府</w:t>
      </w:r>
      <w:r>
        <w:rPr>
          <w:color w:val="auto"/>
          <w:sz w:val="28"/>
          <w:szCs w:val="28"/>
        </w:rPr>
        <w:t>应结合水源地环境风险特点，加强对当地环境应急物资生产、储存、更新、补充和紧急配送等信息的动态管理。加强对危险化学品、重金属、石油类的分析检测系统的建设，加强包括清污、除油、解毒、防酸碱、防腐蚀等试剂材料、快速检验检测设备、隔离及卫生防护用品等的储备。</w:t>
      </w:r>
    </w:p>
    <w:p>
      <w:pPr>
        <w:snapToGrid w:val="0"/>
        <w:ind w:firstLine="560"/>
        <w:rPr>
          <w:color w:val="auto"/>
          <w:sz w:val="28"/>
          <w:szCs w:val="28"/>
        </w:rPr>
      </w:pPr>
      <w:r>
        <w:rPr>
          <w:color w:val="auto"/>
          <w:sz w:val="28"/>
          <w:szCs w:val="28"/>
        </w:rPr>
        <w:t>各应急物资储备库应制定相关管理制度，包括定期对仓库管理员进行教育培训；做好应急物资的入库质量把控、物资验收、登记建档等工作，建档内容包括：品名、规格型号、数量、入库日期、失效日期等。</w:t>
      </w:r>
      <w:r>
        <w:rPr>
          <w:rFonts w:hint="eastAsia"/>
          <w:color w:val="auto"/>
          <w:sz w:val="28"/>
          <w:szCs w:val="28"/>
          <w:lang w:eastAsia="zh-CN"/>
        </w:rPr>
        <w:t>应急物资</w:t>
      </w:r>
      <w:r>
        <w:rPr>
          <w:color w:val="auto"/>
          <w:sz w:val="28"/>
          <w:szCs w:val="28"/>
        </w:rPr>
        <w:t>储备库管理单位应定期对储备库进行全面检查，发现损坏、失效现象时及时更新或维修；发现有欠缺的应急物资，应及时补充添置。</w:t>
      </w:r>
      <w:r>
        <w:rPr>
          <w:rFonts w:hint="eastAsia"/>
          <w:color w:val="auto"/>
          <w:sz w:val="28"/>
          <w:szCs w:val="28"/>
        </w:rPr>
        <w:t>清新区</w:t>
      </w:r>
      <w:r>
        <w:rPr>
          <w:color w:val="auto"/>
          <w:sz w:val="28"/>
          <w:szCs w:val="28"/>
        </w:rPr>
        <w:t>相关政府部门及</w:t>
      </w:r>
      <w:r>
        <w:rPr>
          <w:rFonts w:hint="eastAsia"/>
          <w:color w:val="auto"/>
          <w:sz w:val="28"/>
          <w:szCs w:val="28"/>
        </w:rPr>
        <w:t>公司</w:t>
      </w:r>
      <w:r>
        <w:rPr>
          <w:color w:val="auto"/>
          <w:sz w:val="28"/>
          <w:szCs w:val="28"/>
        </w:rPr>
        <w:t>环境应急</w:t>
      </w:r>
      <w:r>
        <w:rPr>
          <w:rFonts w:hint="eastAsia"/>
          <w:color w:val="auto"/>
          <w:sz w:val="28"/>
          <w:szCs w:val="28"/>
        </w:rPr>
        <w:t>物资</w:t>
      </w:r>
      <w:r>
        <w:rPr>
          <w:color w:val="auto"/>
          <w:sz w:val="28"/>
          <w:szCs w:val="28"/>
        </w:rPr>
        <w:t>与装备信息</w:t>
      </w:r>
      <w:r>
        <w:rPr>
          <w:rFonts w:hint="eastAsia"/>
          <w:color w:val="auto"/>
          <w:sz w:val="28"/>
          <w:szCs w:val="28"/>
        </w:rPr>
        <w:t>详见</w:t>
      </w:r>
      <w:r>
        <w:rPr>
          <w:color w:val="auto"/>
          <w:sz w:val="28"/>
          <w:szCs w:val="28"/>
        </w:rPr>
        <w:t>附件</w:t>
      </w:r>
      <w:r>
        <w:rPr>
          <w:rFonts w:hint="eastAsia"/>
          <w:color w:val="auto"/>
          <w:sz w:val="28"/>
          <w:szCs w:val="28"/>
        </w:rPr>
        <w:t>1</w:t>
      </w:r>
      <w:r>
        <w:rPr>
          <w:rFonts w:hint="eastAsia"/>
          <w:color w:val="auto"/>
          <w:sz w:val="28"/>
          <w:szCs w:val="28"/>
          <w:lang w:val="en-US" w:eastAsia="zh-CN"/>
        </w:rPr>
        <w:t>3</w:t>
      </w:r>
      <w:r>
        <w:rPr>
          <w:rFonts w:hint="eastAsia"/>
          <w:color w:val="auto"/>
          <w:sz w:val="28"/>
          <w:szCs w:val="28"/>
        </w:rPr>
        <w:t>。</w:t>
      </w:r>
    </w:p>
    <w:p>
      <w:pPr>
        <w:pStyle w:val="3"/>
        <w:snapToGrid w:val="0"/>
        <w:rPr>
          <w:bCs w:val="0"/>
          <w:color w:val="auto"/>
        </w:rPr>
      </w:pPr>
      <w:bookmarkStart w:id="62" w:name="_Toc1798"/>
      <w:r>
        <w:rPr>
          <w:bCs w:val="0"/>
          <w:color w:val="auto"/>
        </w:rPr>
        <w:t>5.4 经费保障</w:t>
      </w:r>
      <w:bookmarkEnd w:id="62"/>
    </w:p>
    <w:p>
      <w:pPr>
        <w:snapToGrid w:val="0"/>
        <w:ind w:firstLine="560"/>
        <w:rPr>
          <w:color w:val="auto"/>
          <w:sz w:val="28"/>
          <w:szCs w:val="28"/>
        </w:rPr>
      </w:pPr>
      <w:r>
        <w:rPr>
          <w:color w:val="auto"/>
          <w:sz w:val="28"/>
          <w:szCs w:val="28"/>
        </w:rPr>
        <w:t>应急工作经费（包括水源地应急预案编制、演练、修订及应急处置等费用）由</w:t>
      </w:r>
      <w:r>
        <w:rPr>
          <w:rFonts w:hint="eastAsia"/>
          <w:color w:val="auto"/>
          <w:sz w:val="28"/>
          <w:szCs w:val="28"/>
          <w:lang w:val="en-US" w:eastAsia="zh-CN"/>
        </w:rPr>
        <w:t>清远</w:t>
      </w:r>
      <w:r>
        <w:rPr>
          <w:color w:val="auto"/>
          <w:sz w:val="28"/>
          <w:szCs w:val="28"/>
        </w:rPr>
        <w:t>市生态环境局清新分局提出，经区财政局审核后，按规定程序列入年度财政预算。应急处置工作中需财政负担的经费，按照现行事权、财权划分原则，实行分级负担。应急处置结束后，据实核销应急处置费用。区财政和审计部门要对应急保障资金的使用和效果进行监管和评估，确保专款专用。</w:t>
      </w:r>
    </w:p>
    <w:p>
      <w:pPr>
        <w:snapToGrid w:val="0"/>
        <w:ind w:firstLine="560"/>
        <w:rPr>
          <w:color w:val="auto"/>
          <w:sz w:val="28"/>
          <w:szCs w:val="28"/>
        </w:rPr>
      </w:pPr>
      <w:r>
        <w:rPr>
          <w:color w:val="auto"/>
          <w:sz w:val="28"/>
          <w:szCs w:val="28"/>
        </w:rPr>
        <w:t>区财政局根据</w:t>
      </w:r>
      <w:r>
        <w:rPr>
          <w:rFonts w:hint="eastAsia"/>
          <w:color w:val="auto"/>
          <w:sz w:val="28"/>
          <w:szCs w:val="28"/>
          <w:lang w:eastAsia="zh-CN"/>
        </w:rPr>
        <w:t>突发生态环境事件</w:t>
      </w:r>
      <w:r>
        <w:rPr>
          <w:color w:val="auto"/>
          <w:sz w:val="28"/>
          <w:szCs w:val="28"/>
        </w:rPr>
        <w:t>应急需要，明确应急工作经费（包括水源地应急预案编制、演练、修订及应急处置等费用）来源，通过动用预备费或调剂部门项目资金等方式保障应急经费。</w:t>
      </w:r>
    </w:p>
    <w:p>
      <w:pPr>
        <w:pStyle w:val="3"/>
        <w:snapToGrid w:val="0"/>
        <w:rPr>
          <w:bCs w:val="0"/>
          <w:color w:val="auto"/>
        </w:rPr>
      </w:pPr>
      <w:bookmarkStart w:id="63" w:name="_Toc29734"/>
      <w:r>
        <w:rPr>
          <w:bCs w:val="0"/>
          <w:color w:val="auto"/>
        </w:rPr>
        <w:t>5.5 医疗卫生保障</w:t>
      </w:r>
      <w:bookmarkEnd w:id="63"/>
    </w:p>
    <w:p>
      <w:pPr>
        <w:snapToGrid w:val="0"/>
        <w:ind w:firstLine="560"/>
        <w:rPr>
          <w:color w:val="auto"/>
          <w:sz w:val="28"/>
          <w:szCs w:val="28"/>
        </w:rPr>
      </w:pPr>
      <w:r>
        <w:rPr>
          <w:color w:val="auto"/>
          <w:sz w:val="28"/>
          <w:szCs w:val="28"/>
        </w:rPr>
        <w:t>区卫生健康局负责完善应急救援机制，储备医疗救治、检测检验等卫生应急物资。主要负责对供水单位的卫生监督；对发生</w:t>
      </w:r>
      <w:r>
        <w:rPr>
          <w:rFonts w:hint="eastAsia"/>
          <w:color w:val="auto"/>
          <w:sz w:val="28"/>
          <w:szCs w:val="28"/>
          <w:lang w:eastAsia="zh-CN"/>
        </w:rPr>
        <w:t>突发生态环境事件</w:t>
      </w:r>
      <w:r>
        <w:rPr>
          <w:color w:val="auto"/>
          <w:sz w:val="28"/>
          <w:szCs w:val="28"/>
        </w:rPr>
        <w:t>造成的人员伤亡及时组织医疗急救。</w:t>
      </w:r>
    </w:p>
    <w:p>
      <w:pPr>
        <w:pStyle w:val="3"/>
        <w:snapToGrid w:val="0"/>
        <w:rPr>
          <w:bCs w:val="0"/>
          <w:color w:val="auto"/>
        </w:rPr>
      </w:pPr>
      <w:bookmarkStart w:id="64" w:name="_Toc12381"/>
      <w:r>
        <w:rPr>
          <w:bCs w:val="0"/>
          <w:color w:val="auto"/>
        </w:rPr>
        <w:t>5.6 物资、设备设施运输保障</w:t>
      </w:r>
      <w:bookmarkEnd w:id="64"/>
    </w:p>
    <w:p>
      <w:pPr>
        <w:snapToGrid w:val="0"/>
        <w:ind w:firstLine="560"/>
        <w:rPr>
          <w:color w:val="auto"/>
          <w:sz w:val="28"/>
          <w:szCs w:val="28"/>
        </w:rPr>
      </w:pPr>
      <w:r>
        <w:rPr>
          <w:color w:val="auto"/>
          <w:sz w:val="28"/>
          <w:szCs w:val="28"/>
        </w:rPr>
        <w:t>区交通运输局根据应急指挥部的指令，负责保证应急处置状态下应急处置物资和设备设施的运输保障，应急交通工具优先安排、优先调度。区应急管理局根据区应急指挥部的指令，负责协助清理现场。</w:t>
      </w:r>
    </w:p>
    <w:p>
      <w:pPr>
        <w:pStyle w:val="3"/>
        <w:snapToGrid w:val="0"/>
        <w:rPr>
          <w:bCs w:val="0"/>
          <w:color w:val="auto"/>
        </w:rPr>
      </w:pPr>
      <w:bookmarkStart w:id="65" w:name="_Toc30053"/>
      <w:r>
        <w:rPr>
          <w:bCs w:val="0"/>
          <w:color w:val="auto"/>
        </w:rPr>
        <w:t>5.7 治安和人员安全保障</w:t>
      </w:r>
      <w:bookmarkEnd w:id="65"/>
    </w:p>
    <w:p>
      <w:pPr>
        <w:snapToGrid w:val="0"/>
        <w:ind w:firstLine="560"/>
        <w:rPr>
          <w:color w:val="auto"/>
          <w:sz w:val="28"/>
          <w:szCs w:val="28"/>
        </w:rPr>
      </w:pPr>
      <w:r>
        <w:rPr>
          <w:color w:val="auto"/>
          <w:sz w:val="28"/>
          <w:szCs w:val="28"/>
        </w:rPr>
        <w:t>发生</w:t>
      </w:r>
      <w:r>
        <w:rPr>
          <w:rFonts w:hint="eastAsia"/>
          <w:color w:val="auto"/>
          <w:sz w:val="28"/>
          <w:szCs w:val="28"/>
          <w:lang w:eastAsia="zh-CN"/>
        </w:rPr>
        <w:t>突发生态环境事件</w:t>
      </w:r>
      <w:r>
        <w:rPr>
          <w:color w:val="auto"/>
          <w:sz w:val="28"/>
          <w:szCs w:val="28"/>
        </w:rPr>
        <w:t>时，</w:t>
      </w:r>
      <w:r>
        <w:rPr>
          <w:rFonts w:hint="eastAsia"/>
          <w:color w:val="auto"/>
          <w:sz w:val="28"/>
          <w:szCs w:val="28"/>
          <w:lang w:val="en-US" w:eastAsia="zh-CN"/>
        </w:rPr>
        <w:t>清远</w:t>
      </w:r>
      <w:r>
        <w:rPr>
          <w:color w:val="auto"/>
          <w:sz w:val="28"/>
          <w:szCs w:val="28"/>
        </w:rPr>
        <w:t>市公安局清新分局根据区现场应急指挥部指令，依据相关规定实施治安维护工作，及时做好人员疏散、现场控制、交通管制等工作，采取有力措施防止不法人员趁乱抢劫、盗窃或哄抢财物，依法打击破坏社会秩序的行为，维护社会稳定。</w:t>
      </w:r>
    </w:p>
    <w:p>
      <w:pPr>
        <w:snapToGrid w:val="0"/>
        <w:ind w:firstLine="560"/>
        <w:rPr>
          <w:color w:val="auto"/>
          <w:sz w:val="28"/>
          <w:szCs w:val="28"/>
        </w:rPr>
      </w:pPr>
      <w:r>
        <w:rPr>
          <w:color w:val="auto"/>
          <w:sz w:val="28"/>
          <w:szCs w:val="28"/>
        </w:rPr>
        <w:t>区应急管理局根据区现场应急指挥部的指令，组织协调受灾群众的安置和救助工作，并指导相关部门向群众分发救灾物资。现场处置人员应根据事件特征，配置相应的专业防护装备，采取安全防护措施，严格执行应急处置程序。</w:t>
      </w:r>
    </w:p>
    <w:p>
      <w:pPr>
        <w:pStyle w:val="2"/>
        <w:snapToGrid w:val="0"/>
        <w:jc w:val="both"/>
        <w:rPr>
          <w:color w:val="auto"/>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pPr>
    </w:p>
    <w:p>
      <w:pPr>
        <w:pStyle w:val="2"/>
        <w:snapToGrid w:val="0"/>
        <w:jc w:val="both"/>
        <w:rPr>
          <w:color w:val="auto"/>
          <w:szCs w:val="32"/>
        </w:rPr>
      </w:pPr>
      <w:bookmarkStart w:id="66" w:name="_Toc27637"/>
      <w:r>
        <w:rPr>
          <w:color w:val="auto"/>
          <w:szCs w:val="32"/>
        </w:rPr>
        <w:t>6 附则</w:t>
      </w:r>
      <w:bookmarkEnd w:id="66"/>
    </w:p>
    <w:p>
      <w:pPr>
        <w:pStyle w:val="3"/>
        <w:snapToGrid w:val="0"/>
        <w:rPr>
          <w:color w:val="auto"/>
          <w:szCs w:val="28"/>
        </w:rPr>
      </w:pPr>
      <w:bookmarkStart w:id="67" w:name="_Toc24378"/>
      <w:r>
        <w:rPr>
          <w:color w:val="auto"/>
          <w:szCs w:val="28"/>
        </w:rPr>
        <w:t>6.1 名词术语</w:t>
      </w:r>
      <w:bookmarkEnd w:id="67"/>
    </w:p>
    <w:p>
      <w:pPr>
        <w:snapToGrid w:val="0"/>
        <w:ind w:firstLine="560"/>
        <w:rPr>
          <w:color w:val="auto"/>
          <w:sz w:val="28"/>
          <w:szCs w:val="28"/>
        </w:rPr>
      </w:pPr>
      <w:r>
        <w:rPr>
          <w:color w:val="auto"/>
          <w:sz w:val="28"/>
          <w:szCs w:val="28"/>
        </w:rPr>
        <w:t>（1）集中式地表水饮用水水源地</w:t>
      </w:r>
    </w:p>
    <w:p>
      <w:pPr>
        <w:snapToGrid w:val="0"/>
        <w:ind w:firstLine="560"/>
        <w:rPr>
          <w:color w:val="auto"/>
          <w:sz w:val="28"/>
          <w:szCs w:val="28"/>
        </w:rPr>
      </w:pPr>
      <w:r>
        <w:rPr>
          <w:color w:val="auto"/>
          <w:sz w:val="28"/>
          <w:szCs w:val="28"/>
        </w:rPr>
        <w:t>指进入输水管网、送到用户且具有一定取水规模（供水人口一般大于1000人）的在用、备用和规划的地表水饮用水水源地。依据取水口所在水体类型不同，可分为河流型水源地和湖泊（水库）型水源地。</w:t>
      </w:r>
    </w:p>
    <w:p>
      <w:pPr>
        <w:snapToGrid w:val="0"/>
        <w:ind w:firstLine="560"/>
        <w:rPr>
          <w:color w:val="auto"/>
          <w:sz w:val="28"/>
          <w:szCs w:val="28"/>
        </w:rPr>
      </w:pPr>
      <w:r>
        <w:rPr>
          <w:color w:val="auto"/>
          <w:sz w:val="28"/>
          <w:szCs w:val="28"/>
        </w:rPr>
        <w:t>（2）饮用水水源保护区</w:t>
      </w:r>
    </w:p>
    <w:p>
      <w:pPr>
        <w:snapToGrid w:val="0"/>
        <w:ind w:firstLine="560"/>
        <w:rPr>
          <w:color w:val="auto"/>
          <w:sz w:val="28"/>
          <w:szCs w:val="28"/>
        </w:rPr>
      </w:pPr>
      <w:r>
        <w:rPr>
          <w:color w:val="auto"/>
          <w:sz w:val="28"/>
          <w:szCs w:val="28"/>
        </w:rPr>
        <w:t>指国家为防治饮用水水源地污染、保障水源地环境质量而划定，并要求加以特殊保护的一定面积的水域和陆域。饮用水水源保护区分为一级保护区和二级保护区，必要时可在水源保护区外划定准保护区。</w:t>
      </w:r>
    </w:p>
    <w:p>
      <w:pPr>
        <w:snapToGrid w:val="0"/>
        <w:ind w:firstLine="560"/>
        <w:rPr>
          <w:color w:val="auto"/>
          <w:sz w:val="28"/>
          <w:szCs w:val="28"/>
        </w:rPr>
      </w:pPr>
      <w:r>
        <w:rPr>
          <w:color w:val="auto"/>
          <w:sz w:val="28"/>
          <w:szCs w:val="28"/>
        </w:rPr>
        <w:t>（3）地表水饮用水水源地风险物质</w:t>
      </w:r>
    </w:p>
    <w:p>
      <w:pPr>
        <w:snapToGrid w:val="0"/>
        <w:ind w:firstLine="560"/>
        <w:rPr>
          <w:color w:val="auto"/>
          <w:sz w:val="28"/>
          <w:szCs w:val="28"/>
        </w:rPr>
      </w:pPr>
      <w:r>
        <w:rPr>
          <w:color w:val="auto"/>
          <w:sz w:val="28"/>
          <w:szCs w:val="28"/>
        </w:rPr>
        <w:t>指《地表水环境质量标准》中表1、表2和表3所包含的项目与物质，以及该标准之外其他可能影响人体健康的项目与物质。</w:t>
      </w:r>
    </w:p>
    <w:p>
      <w:pPr>
        <w:snapToGrid w:val="0"/>
        <w:ind w:firstLine="560"/>
        <w:rPr>
          <w:color w:val="auto"/>
          <w:sz w:val="28"/>
          <w:szCs w:val="28"/>
        </w:rPr>
      </w:pPr>
      <w:r>
        <w:rPr>
          <w:color w:val="auto"/>
          <w:sz w:val="28"/>
          <w:szCs w:val="28"/>
        </w:rPr>
        <w:t>（4）危险化学品</w:t>
      </w:r>
    </w:p>
    <w:p>
      <w:pPr>
        <w:snapToGrid w:val="0"/>
        <w:ind w:firstLine="560"/>
        <w:rPr>
          <w:color w:val="auto"/>
          <w:sz w:val="28"/>
          <w:szCs w:val="28"/>
        </w:rPr>
      </w:pPr>
      <w:r>
        <w:rPr>
          <w:color w:val="auto"/>
          <w:sz w:val="28"/>
          <w:szCs w:val="28"/>
        </w:rPr>
        <w:t>指具有毒害、腐蚀、爆炸、燃烧、助燃等性质，对人体、设施、环境具有危害的剧毒化学品和其他化学品。</w:t>
      </w:r>
    </w:p>
    <w:p>
      <w:pPr>
        <w:snapToGrid w:val="0"/>
        <w:ind w:firstLine="560"/>
        <w:rPr>
          <w:rFonts w:hint="eastAsia" w:eastAsia="宋体"/>
          <w:color w:val="auto"/>
          <w:sz w:val="28"/>
          <w:szCs w:val="28"/>
          <w:lang w:eastAsia="zh-CN"/>
        </w:rPr>
      </w:pPr>
      <w:r>
        <w:rPr>
          <w:color w:val="auto"/>
          <w:sz w:val="28"/>
          <w:szCs w:val="28"/>
        </w:rPr>
        <w:t>（5）饮用水水源地</w:t>
      </w:r>
      <w:r>
        <w:rPr>
          <w:rFonts w:hint="eastAsia"/>
          <w:color w:val="auto"/>
          <w:sz w:val="28"/>
          <w:szCs w:val="28"/>
          <w:lang w:eastAsia="zh-CN"/>
        </w:rPr>
        <w:t>突发生态环境事件</w:t>
      </w:r>
    </w:p>
    <w:p>
      <w:pPr>
        <w:snapToGrid w:val="0"/>
        <w:ind w:firstLine="560"/>
        <w:rPr>
          <w:color w:val="auto"/>
          <w:sz w:val="28"/>
          <w:szCs w:val="28"/>
        </w:rPr>
      </w:pPr>
      <w:r>
        <w:rPr>
          <w:color w:val="auto"/>
          <w:sz w:val="28"/>
          <w:szCs w:val="28"/>
        </w:rPr>
        <w:t>指由于污染物排放或自然灾害、生产安全事故、交通运输事故等因素，导致水源地风险物质进入水源保护区或其上游的连接水体，突然造成或可能造成水源地水质超标，影响或可能影响饮用水供水单位正常取水，危及公众身体健康和财产安全，需要采取紧急措施予以应对的事件。</w:t>
      </w:r>
    </w:p>
    <w:p>
      <w:pPr>
        <w:snapToGrid w:val="0"/>
        <w:ind w:firstLine="560"/>
        <w:rPr>
          <w:color w:val="auto"/>
          <w:sz w:val="28"/>
          <w:szCs w:val="28"/>
        </w:rPr>
      </w:pPr>
      <w:r>
        <w:rPr>
          <w:color w:val="auto"/>
          <w:sz w:val="28"/>
          <w:szCs w:val="28"/>
        </w:rPr>
        <w:t>（6）水质超标</w:t>
      </w:r>
    </w:p>
    <w:p>
      <w:pPr>
        <w:snapToGrid w:val="0"/>
        <w:ind w:firstLine="560"/>
        <w:rPr>
          <w:color w:val="auto"/>
          <w:sz w:val="28"/>
          <w:szCs w:val="28"/>
        </w:rPr>
      </w:pPr>
      <w:r>
        <w:rPr>
          <w:color w:val="auto"/>
          <w:sz w:val="28"/>
          <w:szCs w:val="28"/>
        </w:rPr>
        <w:t>指水源地水质超过《地表水环境质量标准》规定的</w:t>
      </w:r>
      <w:r>
        <w:rPr>
          <w:rFonts w:hint="eastAsia" w:ascii="宋体" w:hAnsi="宋体" w:cs="宋体"/>
          <w:color w:val="auto"/>
          <w:sz w:val="28"/>
          <w:szCs w:val="28"/>
        </w:rPr>
        <w:t>Ⅲ</w:t>
      </w:r>
      <w:r>
        <w:rPr>
          <w:color w:val="auto"/>
          <w:sz w:val="28"/>
          <w:szCs w:val="28"/>
        </w:rPr>
        <w:t>类水质标准或标准限值的要求。</w:t>
      </w:r>
    </w:p>
    <w:p>
      <w:pPr>
        <w:snapToGrid w:val="0"/>
        <w:ind w:firstLine="560"/>
        <w:rPr>
          <w:color w:val="auto"/>
          <w:sz w:val="28"/>
          <w:szCs w:val="28"/>
        </w:rPr>
      </w:pPr>
      <w:r>
        <w:rPr>
          <w:color w:val="auto"/>
          <w:sz w:val="28"/>
          <w:szCs w:val="28"/>
        </w:rPr>
        <w:t>《地表水环境质量标准》未包括的项目，可根据物质本身的危害特性和有关供水单位的净化能力，参考国外有关标准（如世界卫生组织、美国环境保护署等）规定的浓度值，由市、县级人民政府组织有关部门会商或依据专家咨询组意见确定。</w:t>
      </w:r>
    </w:p>
    <w:p>
      <w:pPr>
        <w:snapToGrid w:val="0"/>
        <w:ind w:firstLine="560"/>
        <w:rPr>
          <w:color w:val="auto"/>
          <w:sz w:val="28"/>
          <w:szCs w:val="28"/>
        </w:rPr>
      </w:pPr>
      <w:r>
        <w:rPr>
          <w:color w:val="auto"/>
          <w:sz w:val="28"/>
          <w:szCs w:val="28"/>
        </w:rPr>
        <w:t>（7）应急处置</w:t>
      </w:r>
    </w:p>
    <w:p>
      <w:pPr>
        <w:snapToGrid w:val="0"/>
        <w:ind w:firstLine="560"/>
        <w:rPr>
          <w:color w:val="auto"/>
          <w:sz w:val="28"/>
          <w:szCs w:val="28"/>
        </w:rPr>
      </w:pPr>
      <w:r>
        <w:rPr>
          <w:color w:val="auto"/>
          <w:sz w:val="28"/>
          <w:szCs w:val="28"/>
        </w:rPr>
        <w:t>指对即将发生或正在发生或已经发生的</w:t>
      </w:r>
      <w:r>
        <w:rPr>
          <w:rFonts w:hint="eastAsia"/>
          <w:color w:val="auto"/>
          <w:sz w:val="28"/>
          <w:szCs w:val="28"/>
          <w:lang w:eastAsia="zh-CN"/>
        </w:rPr>
        <w:t>突发生态环境事件</w:t>
      </w:r>
      <w:r>
        <w:rPr>
          <w:color w:val="auto"/>
          <w:sz w:val="28"/>
          <w:szCs w:val="28"/>
        </w:rPr>
        <w:t>所采取的一系列的应急响应措施。</w:t>
      </w:r>
    </w:p>
    <w:p>
      <w:pPr>
        <w:snapToGrid w:val="0"/>
        <w:ind w:firstLine="560"/>
        <w:rPr>
          <w:color w:val="auto"/>
          <w:sz w:val="28"/>
          <w:szCs w:val="28"/>
        </w:rPr>
      </w:pPr>
      <w:r>
        <w:rPr>
          <w:color w:val="auto"/>
          <w:sz w:val="28"/>
          <w:szCs w:val="28"/>
        </w:rPr>
        <w:t>（8）泄漏处理</w:t>
      </w:r>
    </w:p>
    <w:p>
      <w:pPr>
        <w:snapToGrid w:val="0"/>
        <w:ind w:firstLine="560"/>
        <w:rPr>
          <w:color w:val="auto"/>
          <w:sz w:val="28"/>
          <w:szCs w:val="28"/>
        </w:rPr>
      </w:pPr>
      <w:r>
        <w:rPr>
          <w:color w:val="auto"/>
          <w:sz w:val="28"/>
          <w:szCs w:val="28"/>
        </w:rPr>
        <w:t>泄漏处理是指对危险化学品、危险废物、放射性物质、有毒气体等污染源因事件发生泄漏</w:t>
      </w:r>
      <w:r>
        <w:rPr>
          <w:rFonts w:hint="eastAsia"/>
          <w:color w:val="auto"/>
          <w:sz w:val="28"/>
          <w:szCs w:val="28"/>
          <w:lang w:eastAsia="zh-CN"/>
        </w:rPr>
        <w:t>时</w:t>
      </w:r>
      <w:r>
        <w:rPr>
          <w:color w:val="auto"/>
          <w:sz w:val="28"/>
          <w:szCs w:val="28"/>
        </w:rPr>
        <w:t>所采取的应急处置措施。泄漏处理要及时、得当，避免重大事件的发生。泄漏处理一般分为泄漏源控制和泄漏物处置两部分。</w:t>
      </w:r>
    </w:p>
    <w:p>
      <w:pPr>
        <w:snapToGrid w:val="0"/>
        <w:ind w:firstLine="560"/>
        <w:rPr>
          <w:color w:val="auto"/>
          <w:sz w:val="28"/>
          <w:szCs w:val="28"/>
        </w:rPr>
      </w:pPr>
      <w:r>
        <w:rPr>
          <w:color w:val="auto"/>
          <w:sz w:val="28"/>
          <w:szCs w:val="28"/>
        </w:rPr>
        <w:t>（9）应急监测</w:t>
      </w:r>
    </w:p>
    <w:p>
      <w:pPr>
        <w:snapToGrid w:val="0"/>
        <w:ind w:firstLine="560"/>
        <w:rPr>
          <w:color w:val="auto"/>
          <w:sz w:val="28"/>
          <w:szCs w:val="28"/>
        </w:rPr>
      </w:pPr>
      <w:r>
        <w:rPr>
          <w:color w:val="auto"/>
          <w:sz w:val="28"/>
          <w:szCs w:val="28"/>
        </w:rPr>
        <w:t>环境应急情况下，为发现和查明环境污染情况和污染范围而进行的环境监测。包括定点监测和动态监测。</w:t>
      </w:r>
    </w:p>
    <w:p>
      <w:pPr>
        <w:snapToGrid w:val="0"/>
        <w:ind w:firstLine="560"/>
        <w:rPr>
          <w:rFonts w:hint="eastAsia" w:eastAsia="宋体"/>
          <w:color w:val="auto"/>
          <w:sz w:val="28"/>
          <w:szCs w:val="28"/>
          <w:lang w:eastAsia="zh-CN"/>
        </w:rPr>
      </w:pPr>
      <w:r>
        <w:rPr>
          <w:rFonts w:hint="eastAsia"/>
          <w:color w:val="auto"/>
          <w:sz w:val="28"/>
          <w:szCs w:val="28"/>
          <w:lang w:eastAsia="zh-CN"/>
        </w:rPr>
        <w:t>（</w:t>
      </w:r>
      <w:r>
        <w:rPr>
          <w:rFonts w:hint="eastAsia"/>
          <w:color w:val="auto"/>
          <w:sz w:val="28"/>
          <w:szCs w:val="28"/>
          <w:lang w:val="en-US" w:eastAsia="zh-CN"/>
        </w:rPr>
        <w:t>10</w:t>
      </w:r>
      <w:r>
        <w:rPr>
          <w:rFonts w:hint="eastAsia"/>
          <w:color w:val="auto"/>
          <w:sz w:val="28"/>
          <w:szCs w:val="28"/>
          <w:lang w:eastAsia="zh-CN"/>
        </w:rPr>
        <w:t>）依据《生态环境法典》，本文件所称突发生态环境事件，对应 HJ 941</w:t>
      </w:r>
      <w:r>
        <w:rPr>
          <w:rFonts w:hint="eastAsia"/>
          <w:color w:val="auto"/>
          <w:sz w:val="28"/>
          <w:szCs w:val="28"/>
          <w:lang w:eastAsia="zh-CN"/>
        </w:rPr>
        <w:noBreakHyphen/>
      </w:r>
      <w:r>
        <w:rPr>
          <w:rFonts w:hint="eastAsia"/>
          <w:color w:val="auto"/>
          <w:sz w:val="28"/>
          <w:szCs w:val="28"/>
          <w:lang w:eastAsia="zh-CN"/>
        </w:rPr>
        <w:t>2018 中的突发环境事件”。</w:t>
      </w:r>
    </w:p>
    <w:p>
      <w:pPr>
        <w:pStyle w:val="3"/>
        <w:snapToGrid w:val="0"/>
        <w:rPr>
          <w:rStyle w:val="52"/>
          <w:b w:val="0"/>
          <w:bCs w:val="0"/>
          <w:color w:val="auto"/>
          <w:sz w:val="28"/>
          <w:szCs w:val="28"/>
        </w:rPr>
      </w:pPr>
      <w:bookmarkStart w:id="68" w:name="_Toc18622"/>
      <w:r>
        <w:rPr>
          <w:color w:val="auto"/>
          <w:szCs w:val="28"/>
        </w:rPr>
        <w:t>6.2 预案发布与解释</w:t>
      </w:r>
      <w:bookmarkEnd w:id="68"/>
    </w:p>
    <w:p>
      <w:pPr>
        <w:snapToGrid w:val="0"/>
        <w:ind w:firstLine="560"/>
        <w:rPr>
          <w:color w:val="auto"/>
          <w:sz w:val="28"/>
          <w:szCs w:val="28"/>
        </w:rPr>
      </w:pPr>
      <w:r>
        <w:rPr>
          <w:color w:val="auto"/>
          <w:sz w:val="28"/>
          <w:szCs w:val="28"/>
        </w:rPr>
        <w:t>本预案由区应急指挥部办公室负责解释。</w:t>
      </w:r>
    </w:p>
    <w:p>
      <w:pPr>
        <w:pStyle w:val="3"/>
        <w:snapToGrid w:val="0"/>
        <w:rPr>
          <w:color w:val="auto"/>
          <w:szCs w:val="28"/>
        </w:rPr>
      </w:pPr>
      <w:bookmarkStart w:id="69" w:name="_Toc10665"/>
      <w:r>
        <w:rPr>
          <w:color w:val="auto"/>
          <w:szCs w:val="28"/>
        </w:rPr>
        <w:t>6.3 预案演练</w:t>
      </w:r>
      <w:bookmarkEnd w:id="69"/>
    </w:p>
    <w:p>
      <w:pPr>
        <w:pStyle w:val="4"/>
        <w:bidi w:val="0"/>
        <w:rPr>
          <w:rFonts w:hint="default"/>
          <w:lang w:val="en-US"/>
        </w:rPr>
      </w:pPr>
      <w:bookmarkStart w:id="70" w:name="_Toc14387"/>
      <w:r>
        <w:rPr>
          <w:rFonts w:hint="eastAsia"/>
          <w:lang w:val="en-US" w:eastAsia="zh-CN"/>
        </w:rPr>
        <w:t>6.3.1 桌面推演</w:t>
      </w:r>
      <w:bookmarkEnd w:id="70"/>
    </w:p>
    <w:p>
      <w:pPr>
        <w:snapToGrid w:val="0"/>
        <w:ind w:firstLine="560"/>
        <w:rPr>
          <w:color w:val="auto"/>
          <w:sz w:val="28"/>
          <w:szCs w:val="28"/>
        </w:rPr>
      </w:pPr>
      <w:r>
        <w:rPr>
          <w:color w:val="auto"/>
          <w:sz w:val="28"/>
          <w:szCs w:val="28"/>
        </w:rPr>
        <w:t>区应急指挥部应定期举行水源地典型</w:t>
      </w:r>
      <w:r>
        <w:rPr>
          <w:rFonts w:hint="eastAsia"/>
          <w:color w:val="auto"/>
          <w:sz w:val="28"/>
          <w:szCs w:val="28"/>
          <w:lang w:eastAsia="zh-CN"/>
        </w:rPr>
        <w:t>突发生态环境事件</w:t>
      </w:r>
      <w:r>
        <w:rPr>
          <w:color w:val="auto"/>
          <w:sz w:val="28"/>
          <w:szCs w:val="28"/>
        </w:rPr>
        <w:t>的应急演练，以检验、改善和强化应急准备和应急响应能力。演练内容主要包括通讯系统是否正常运作、信息报送流程是否畅通、各应急工作组配合是否协调、应急人员能力是否满足需要等。</w:t>
      </w:r>
      <w:r>
        <w:rPr>
          <w:color w:val="auto"/>
          <w:sz w:val="28"/>
          <w:szCs w:val="28"/>
          <w:lang w:val="en-US" w:eastAsia="zh-CN"/>
        </w:rPr>
        <w:t>饮用水水源突发污染事件桌面推演，主要演练内容如下：</w:t>
      </w:r>
    </w:p>
    <w:p>
      <w:pPr>
        <w:snapToGrid w:val="0"/>
        <w:ind w:firstLine="560"/>
        <w:rPr>
          <w:color w:val="auto"/>
          <w:sz w:val="28"/>
          <w:szCs w:val="28"/>
        </w:rPr>
      </w:pPr>
      <w:r>
        <w:rPr>
          <w:rFonts w:hint="eastAsia"/>
          <w:color w:val="auto"/>
          <w:sz w:val="28"/>
          <w:szCs w:val="28"/>
          <w:lang w:val="en-US" w:eastAsia="zh-CN"/>
        </w:rPr>
        <w:t>（1）</w:t>
      </w:r>
      <w:r>
        <w:rPr>
          <w:color w:val="auto"/>
          <w:sz w:val="28"/>
          <w:szCs w:val="28"/>
          <w:lang w:val="en-US" w:eastAsia="zh-CN"/>
        </w:rPr>
        <w:t>突发事件接报、信息核实、初步研判、风险等级判定流程；</w:t>
      </w:r>
    </w:p>
    <w:p>
      <w:pPr>
        <w:snapToGrid w:val="0"/>
        <w:ind w:firstLine="560"/>
        <w:rPr>
          <w:color w:val="auto"/>
          <w:sz w:val="28"/>
          <w:szCs w:val="28"/>
        </w:rPr>
      </w:pPr>
      <w:r>
        <w:rPr>
          <w:rFonts w:hint="eastAsia"/>
          <w:color w:val="auto"/>
          <w:sz w:val="28"/>
          <w:szCs w:val="28"/>
          <w:lang w:val="en-US" w:eastAsia="zh-CN"/>
        </w:rPr>
        <w:t>（2）</w:t>
      </w:r>
      <w:r>
        <w:rPr>
          <w:color w:val="auto"/>
          <w:sz w:val="28"/>
          <w:szCs w:val="28"/>
          <w:lang w:val="en-US" w:eastAsia="zh-CN"/>
        </w:rPr>
        <w:t>应急预警启动、内部信息通报、部门指令下达工作；</w:t>
      </w:r>
    </w:p>
    <w:p>
      <w:pPr>
        <w:snapToGrid w:val="0"/>
        <w:ind w:firstLine="560"/>
        <w:rPr>
          <w:color w:val="auto"/>
          <w:sz w:val="28"/>
          <w:szCs w:val="28"/>
        </w:rPr>
      </w:pPr>
      <w:r>
        <w:rPr>
          <w:rFonts w:hint="eastAsia"/>
          <w:color w:val="auto"/>
          <w:sz w:val="28"/>
          <w:szCs w:val="28"/>
          <w:lang w:val="en-US" w:eastAsia="zh-CN"/>
        </w:rPr>
        <w:t>（3）</w:t>
      </w:r>
      <w:r>
        <w:rPr>
          <w:color w:val="auto"/>
          <w:sz w:val="28"/>
          <w:szCs w:val="28"/>
          <w:lang w:val="en-US" w:eastAsia="zh-CN"/>
        </w:rPr>
        <w:t>应急初期、中期、后期阶段划分判定，以及对应应急监测频次、监测指标切换应用；</w:t>
      </w:r>
    </w:p>
    <w:p>
      <w:pPr>
        <w:snapToGrid w:val="0"/>
        <w:ind w:firstLine="560"/>
        <w:rPr>
          <w:color w:val="auto"/>
          <w:sz w:val="28"/>
          <w:szCs w:val="28"/>
        </w:rPr>
      </w:pPr>
      <w:r>
        <w:rPr>
          <w:rFonts w:hint="eastAsia"/>
          <w:color w:val="auto"/>
          <w:sz w:val="28"/>
          <w:szCs w:val="28"/>
          <w:lang w:val="en-US" w:eastAsia="zh-CN"/>
        </w:rPr>
        <w:t>（4）</w:t>
      </w:r>
      <w:r>
        <w:rPr>
          <w:color w:val="auto"/>
          <w:sz w:val="28"/>
          <w:szCs w:val="28"/>
          <w:lang w:val="en-US" w:eastAsia="zh-CN"/>
        </w:rPr>
        <w:t>上游污染源排查、源头封堵、截污控污措施推演；</w:t>
      </w:r>
    </w:p>
    <w:p>
      <w:pPr>
        <w:snapToGrid w:val="0"/>
        <w:ind w:firstLine="560"/>
        <w:rPr>
          <w:color w:val="auto"/>
          <w:sz w:val="28"/>
          <w:szCs w:val="28"/>
        </w:rPr>
      </w:pPr>
      <w:r>
        <w:rPr>
          <w:rFonts w:hint="eastAsia"/>
          <w:color w:val="auto"/>
          <w:sz w:val="28"/>
          <w:szCs w:val="28"/>
          <w:lang w:val="en-US" w:eastAsia="zh-CN"/>
        </w:rPr>
        <w:t>（5）</w:t>
      </w:r>
      <w:r>
        <w:rPr>
          <w:color w:val="auto"/>
          <w:sz w:val="28"/>
          <w:szCs w:val="28"/>
          <w:lang w:val="en-US" w:eastAsia="zh-CN"/>
        </w:rPr>
        <w:t>污染带迁移风险研判、水源地取水风险评估；</w:t>
      </w:r>
    </w:p>
    <w:p>
      <w:pPr>
        <w:snapToGrid w:val="0"/>
        <w:ind w:firstLine="560"/>
        <w:rPr>
          <w:color w:val="auto"/>
          <w:sz w:val="28"/>
          <w:szCs w:val="28"/>
        </w:rPr>
      </w:pPr>
      <w:r>
        <w:rPr>
          <w:rFonts w:hint="eastAsia"/>
          <w:color w:val="auto"/>
          <w:sz w:val="28"/>
          <w:szCs w:val="28"/>
          <w:lang w:val="en-US" w:eastAsia="zh-CN"/>
        </w:rPr>
        <w:t>（6）</w:t>
      </w:r>
      <w:r>
        <w:rPr>
          <w:color w:val="auto"/>
          <w:sz w:val="28"/>
          <w:szCs w:val="28"/>
          <w:lang w:val="en-US" w:eastAsia="zh-CN"/>
        </w:rPr>
        <w:t>各成员单位职责分工、协同会商、联动处置流程；</w:t>
      </w:r>
    </w:p>
    <w:p>
      <w:pPr>
        <w:snapToGrid w:val="0"/>
        <w:ind w:firstLine="560"/>
        <w:rPr>
          <w:color w:val="auto"/>
          <w:sz w:val="28"/>
          <w:szCs w:val="28"/>
          <w:lang w:val="en-US" w:eastAsia="zh-CN"/>
        </w:rPr>
      </w:pPr>
      <w:r>
        <w:rPr>
          <w:rFonts w:hint="eastAsia"/>
          <w:color w:val="auto"/>
          <w:sz w:val="28"/>
          <w:szCs w:val="28"/>
          <w:lang w:val="en-US" w:eastAsia="zh-CN"/>
        </w:rPr>
        <w:t>（7）</w:t>
      </w:r>
      <w:r>
        <w:rPr>
          <w:color w:val="auto"/>
          <w:sz w:val="28"/>
          <w:szCs w:val="28"/>
          <w:lang w:val="en-US" w:eastAsia="zh-CN"/>
        </w:rPr>
        <w:t>事件分级上报、续报、终报流程及台账资料规范整理。</w:t>
      </w:r>
    </w:p>
    <w:p>
      <w:pPr>
        <w:pStyle w:val="4"/>
        <w:bidi w:val="0"/>
        <w:rPr>
          <w:rFonts w:hint="eastAsia"/>
          <w:lang w:val="en-US" w:eastAsia="zh-CN"/>
        </w:rPr>
      </w:pPr>
      <w:bookmarkStart w:id="71" w:name="_Toc7075"/>
      <w:r>
        <w:rPr>
          <w:rFonts w:hint="eastAsia"/>
          <w:lang w:val="en-US" w:eastAsia="zh-CN"/>
        </w:rPr>
        <w:t>6.3.2 跨界演练内容</w:t>
      </w:r>
      <w:bookmarkEnd w:id="71"/>
    </w:p>
    <w:p>
      <w:pPr>
        <w:bidi w:val="0"/>
        <w:rPr>
          <w:rFonts w:hint="default"/>
          <w:lang w:val="en-US"/>
        </w:rPr>
      </w:pPr>
      <w:r>
        <w:rPr>
          <w:rFonts w:hint="eastAsia"/>
          <w:lang w:val="en-US" w:eastAsia="zh-CN"/>
        </w:rPr>
        <w:t>（1）</w:t>
      </w:r>
      <w:r>
        <w:rPr>
          <w:rFonts w:hint="default"/>
          <w:lang w:val="en-US" w:eastAsia="zh-CN"/>
        </w:rPr>
        <w:t>跨界污染预警信息接收、核实、跨区域联防联控通报对接；</w:t>
      </w:r>
    </w:p>
    <w:p>
      <w:pPr>
        <w:bidi w:val="0"/>
        <w:rPr>
          <w:rFonts w:hint="default"/>
          <w:lang w:val="en-US"/>
        </w:rPr>
      </w:pPr>
      <w:r>
        <w:rPr>
          <w:rFonts w:hint="eastAsia"/>
          <w:lang w:val="en-US" w:eastAsia="zh-CN"/>
        </w:rPr>
        <w:t>（2）</w:t>
      </w:r>
      <w:r>
        <w:rPr>
          <w:rFonts w:hint="default"/>
          <w:lang w:val="en-US" w:eastAsia="zh-CN"/>
        </w:rPr>
        <w:t>快速集结、应急队伍到位、应急物资现场调取与布设；</w:t>
      </w:r>
    </w:p>
    <w:p>
      <w:pPr>
        <w:bidi w:val="0"/>
        <w:rPr>
          <w:rFonts w:hint="default"/>
          <w:lang w:val="en-US"/>
        </w:rPr>
      </w:pPr>
      <w:r>
        <w:rPr>
          <w:rFonts w:hint="eastAsia"/>
          <w:lang w:val="en-US" w:eastAsia="zh-CN"/>
        </w:rPr>
        <w:t>（3）</w:t>
      </w:r>
      <w:r>
        <w:rPr>
          <w:rFonts w:hint="default"/>
          <w:lang w:val="en-US" w:eastAsia="zh-CN"/>
        </w:rPr>
        <w:t>跨界断面、保护区断面、取水口断面三级应急监测布设，落实分阶段监测频次、指标监测、采样留样；</w:t>
      </w:r>
    </w:p>
    <w:p>
      <w:pPr>
        <w:bidi w:val="0"/>
        <w:rPr>
          <w:rFonts w:hint="default"/>
          <w:lang w:val="en-US"/>
        </w:rPr>
      </w:pPr>
      <w:r>
        <w:rPr>
          <w:rFonts w:hint="eastAsia"/>
          <w:lang w:val="en-US" w:eastAsia="zh-CN"/>
        </w:rPr>
        <w:t>（4）</w:t>
      </w:r>
      <w:r>
        <w:rPr>
          <w:rFonts w:hint="default"/>
          <w:lang w:val="en-US" w:eastAsia="zh-CN"/>
        </w:rPr>
        <w:t>污染带跟踪、水质数据动态分析、污染态势研判；</w:t>
      </w:r>
    </w:p>
    <w:p>
      <w:pPr>
        <w:bidi w:val="0"/>
        <w:rPr>
          <w:rFonts w:hint="default"/>
          <w:lang w:val="en-US"/>
        </w:rPr>
      </w:pPr>
      <w:r>
        <w:rPr>
          <w:rFonts w:hint="eastAsia"/>
          <w:lang w:val="en-US" w:eastAsia="zh-CN"/>
        </w:rPr>
        <w:t>（5）</w:t>
      </w:r>
      <w:r>
        <w:rPr>
          <w:rFonts w:hint="default"/>
          <w:lang w:val="en-US" w:eastAsia="zh-CN"/>
        </w:rPr>
        <w:t>现场实施围截、吸附、控污、稳水等应急处置措施；</w:t>
      </w:r>
    </w:p>
    <w:p>
      <w:pPr>
        <w:bidi w:val="0"/>
        <w:rPr>
          <w:rFonts w:hint="default"/>
          <w:lang w:val="en-US"/>
        </w:rPr>
      </w:pPr>
      <w:r>
        <w:rPr>
          <w:rFonts w:hint="eastAsia"/>
          <w:lang w:val="en-US" w:eastAsia="zh-CN"/>
        </w:rPr>
        <w:t>（6）</w:t>
      </w:r>
      <w:r>
        <w:rPr>
          <w:rFonts w:hint="default"/>
          <w:lang w:val="en-US" w:eastAsia="zh-CN"/>
        </w:rPr>
        <w:t>供水企业原水风险管控、净水工艺强化、备用水源切换实操；</w:t>
      </w:r>
    </w:p>
    <w:p>
      <w:pPr>
        <w:bidi w:val="0"/>
        <w:rPr>
          <w:rFonts w:hint="default"/>
          <w:lang w:val="en-US"/>
        </w:rPr>
      </w:pPr>
      <w:r>
        <w:rPr>
          <w:rFonts w:hint="eastAsia"/>
          <w:lang w:val="en-US" w:eastAsia="zh-CN"/>
        </w:rPr>
        <w:t>（7）</w:t>
      </w:r>
      <w:r>
        <w:rPr>
          <w:rFonts w:hint="default"/>
          <w:lang w:val="en-US" w:eastAsia="zh-CN"/>
        </w:rPr>
        <w:t>应急响应升级、降级、终止条件研判及现场闭环处置；</w:t>
      </w:r>
    </w:p>
    <w:p>
      <w:pPr>
        <w:bidi w:val="0"/>
        <w:rPr>
          <w:rFonts w:hint="default"/>
          <w:lang w:val="en-US"/>
        </w:rPr>
      </w:pPr>
      <w:r>
        <w:rPr>
          <w:rFonts w:hint="eastAsia"/>
          <w:lang w:val="en-US" w:eastAsia="zh-CN"/>
        </w:rPr>
        <w:t>（8）</w:t>
      </w:r>
      <w:r>
        <w:rPr>
          <w:rFonts w:hint="default"/>
          <w:lang w:val="en-US" w:eastAsia="zh-CN"/>
        </w:rPr>
        <w:t>演练复盘、问题梳理、隐患整改及预案优化。</w:t>
      </w:r>
    </w:p>
    <w:p>
      <w:pPr>
        <w:pStyle w:val="4"/>
        <w:bidi w:val="0"/>
        <w:rPr>
          <w:rFonts w:hint="default"/>
          <w:lang w:val="en-US"/>
        </w:rPr>
      </w:pPr>
      <w:bookmarkStart w:id="72" w:name="_Toc7007"/>
      <w:r>
        <w:rPr>
          <w:rFonts w:hint="eastAsia"/>
          <w:lang w:val="en-US" w:eastAsia="zh-CN"/>
        </w:rPr>
        <w:t xml:space="preserve">6.3.3 </w:t>
      </w:r>
      <w:r>
        <w:rPr>
          <w:rFonts w:hint="default"/>
          <w:lang w:val="en-US"/>
        </w:rPr>
        <w:t>常态化抽查演练内容（汛期、节假日专项）</w:t>
      </w:r>
      <w:bookmarkEnd w:id="72"/>
    </w:p>
    <w:p>
      <w:pPr>
        <w:bidi w:val="0"/>
        <w:rPr>
          <w:rFonts w:hint="default"/>
          <w:lang w:val="en-US"/>
        </w:rPr>
      </w:pPr>
      <w:r>
        <w:rPr>
          <w:rFonts w:hint="default"/>
          <w:lang w:val="en-US" w:eastAsia="zh-CN"/>
        </w:rPr>
        <w:t>全年结合汛期、重大节假日开展不定时突击抽查演练，主要内容：</w:t>
      </w:r>
    </w:p>
    <w:p>
      <w:pPr>
        <w:bidi w:val="0"/>
        <w:rPr>
          <w:rFonts w:hint="default"/>
          <w:lang w:val="en-US"/>
        </w:rPr>
      </w:pPr>
      <w:r>
        <w:rPr>
          <w:rFonts w:hint="eastAsia"/>
          <w:lang w:val="en-US" w:eastAsia="zh-CN"/>
        </w:rPr>
        <w:t>（1）</w:t>
      </w:r>
      <w:r>
        <w:rPr>
          <w:rFonts w:hint="default"/>
          <w:lang w:val="en-US" w:eastAsia="zh-CN"/>
        </w:rPr>
        <w:t>值班值守、快速响应、人员集结到位情况抽查；</w:t>
      </w:r>
    </w:p>
    <w:p>
      <w:pPr>
        <w:bidi w:val="0"/>
        <w:rPr>
          <w:rFonts w:hint="default"/>
          <w:lang w:val="en-US"/>
        </w:rPr>
      </w:pPr>
      <w:r>
        <w:rPr>
          <w:rFonts w:hint="eastAsia"/>
          <w:lang w:val="en-US" w:eastAsia="zh-CN"/>
        </w:rPr>
        <w:t>（2）</w:t>
      </w:r>
      <w:r>
        <w:rPr>
          <w:rFonts w:hint="default"/>
          <w:lang w:val="en-US" w:eastAsia="zh-CN"/>
        </w:rPr>
        <w:t>应急物资快速调取、设备启用、现场快速布防；</w:t>
      </w:r>
    </w:p>
    <w:p>
      <w:pPr>
        <w:bidi w:val="0"/>
        <w:rPr>
          <w:rFonts w:hint="default"/>
          <w:lang w:val="en-US"/>
        </w:rPr>
      </w:pPr>
      <w:r>
        <w:rPr>
          <w:rFonts w:hint="eastAsia"/>
          <w:lang w:val="en-US" w:eastAsia="zh-CN"/>
        </w:rPr>
        <w:t>（3）</w:t>
      </w:r>
      <w:r>
        <w:rPr>
          <w:rFonts w:hint="default"/>
          <w:lang w:val="en-US" w:eastAsia="zh-CN"/>
        </w:rPr>
        <w:t>现场快速监测、水质初筛、污染快速识别能力；</w:t>
      </w:r>
    </w:p>
    <w:p>
      <w:pPr>
        <w:bidi w:val="0"/>
        <w:rPr>
          <w:rFonts w:hint="default"/>
          <w:lang w:val="en-US"/>
        </w:rPr>
      </w:pPr>
      <w:r>
        <w:rPr>
          <w:rFonts w:hint="eastAsia"/>
          <w:lang w:val="en-US" w:eastAsia="zh-CN"/>
        </w:rPr>
        <w:t>（4）</w:t>
      </w:r>
      <w:r>
        <w:rPr>
          <w:rFonts w:hint="default"/>
          <w:lang w:val="en-US" w:eastAsia="zh-CN"/>
        </w:rPr>
        <w:t>突发事件快速上报、现场警戒、初期处置能力核验。</w:t>
      </w:r>
    </w:p>
    <w:p>
      <w:pPr>
        <w:pStyle w:val="4"/>
        <w:bidi w:val="0"/>
        <w:rPr>
          <w:rFonts w:hint="default" w:eastAsia="宋体"/>
          <w:lang w:val="en-US" w:eastAsia="zh-CN"/>
        </w:rPr>
      </w:pPr>
      <w:bookmarkStart w:id="73" w:name="_Toc22647"/>
      <w:r>
        <w:rPr>
          <w:rFonts w:hint="eastAsia"/>
          <w:lang w:val="en-US" w:eastAsia="zh-CN"/>
        </w:rPr>
        <w:t>6.3.4 演练目的</w:t>
      </w:r>
      <w:bookmarkEnd w:id="73"/>
    </w:p>
    <w:p>
      <w:pPr>
        <w:snapToGrid w:val="0"/>
        <w:ind w:firstLine="560"/>
        <w:rPr>
          <w:color w:val="auto"/>
          <w:sz w:val="28"/>
          <w:szCs w:val="28"/>
        </w:rPr>
      </w:pP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1</w:t>
      </w:r>
      <w:r>
        <w:rPr>
          <w:rFonts w:hint="eastAsia" w:ascii="宋体" w:hAnsi="宋体" w:cs="宋体"/>
          <w:color w:val="auto"/>
          <w:sz w:val="28"/>
          <w:szCs w:val="28"/>
          <w:lang w:eastAsia="zh-CN"/>
        </w:rPr>
        <w:t>）</w:t>
      </w:r>
      <w:r>
        <w:rPr>
          <w:color w:val="auto"/>
          <w:sz w:val="28"/>
          <w:szCs w:val="28"/>
        </w:rPr>
        <w:t>使参加应急响应的各部门熟悉、掌握各自</w:t>
      </w:r>
      <w:r>
        <w:rPr>
          <w:rFonts w:hint="eastAsia"/>
          <w:color w:val="auto"/>
          <w:sz w:val="28"/>
          <w:szCs w:val="28"/>
          <w:lang w:eastAsia="zh-CN"/>
        </w:rPr>
        <w:t>在</w:t>
      </w:r>
      <w:r>
        <w:rPr>
          <w:color w:val="auto"/>
          <w:sz w:val="28"/>
          <w:szCs w:val="28"/>
        </w:rPr>
        <w:t>应急响应行动中的职责，加强各部门之间的协同能力。</w:t>
      </w:r>
    </w:p>
    <w:p>
      <w:pPr>
        <w:snapToGrid w:val="0"/>
        <w:ind w:firstLine="560"/>
        <w:rPr>
          <w:color w:val="auto"/>
          <w:sz w:val="28"/>
          <w:szCs w:val="28"/>
        </w:rPr>
      </w:pP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2</w:t>
      </w:r>
      <w:r>
        <w:rPr>
          <w:rFonts w:hint="eastAsia" w:ascii="宋体" w:hAnsi="宋体" w:cs="宋体"/>
          <w:color w:val="auto"/>
          <w:sz w:val="28"/>
          <w:szCs w:val="28"/>
          <w:lang w:eastAsia="zh-CN"/>
        </w:rPr>
        <w:t>）</w:t>
      </w:r>
      <w:r>
        <w:rPr>
          <w:color w:val="auto"/>
          <w:sz w:val="28"/>
          <w:szCs w:val="28"/>
        </w:rPr>
        <w:t>保证应急响应各有关环节快速、协调、有效地运作。</w:t>
      </w:r>
    </w:p>
    <w:p>
      <w:pPr>
        <w:snapToGrid w:val="0"/>
        <w:ind w:firstLine="560"/>
        <w:rPr>
          <w:color w:val="auto"/>
          <w:sz w:val="28"/>
          <w:szCs w:val="28"/>
        </w:rPr>
      </w:pP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3</w:t>
      </w:r>
      <w:r>
        <w:rPr>
          <w:rFonts w:hint="eastAsia" w:ascii="宋体" w:hAnsi="宋体" w:cs="宋体"/>
          <w:color w:val="auto"/>
          <w:sz w:val="28"/>
          <w:szCs w:val="28"/>
          <w:lang w:eastAsia="zh-CN"/>
        </w:rPr>
        <w:t>）</w:t>
      </w:r>
      <w:r>
        <w:rPr>
          <w:color w:val="auto"/>
          <w:sz w:val="28"/>
          <w:szCs w:val="28"/>
        </w:rPr>
        <w:t>考核各级应急响应人员对所学理论与操作技能熟练掌握的程度。</w:t>
      </w:r>
    </w:p>
    <w:p>
      <w:pPr>
        <w:snapToGrid w:val="0"/>
        <w:ind w:firstLine="560"/>
        <w:rPr>
          <w:color w:val="auto"/>
          <w:sz w:val="28"/>
          <w:szCs w:val="28"/>
        </w:rPr>
      </w:pP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4</w:t>
      </w:r>
      <w:r>
        <w:rPr>
          <w:rFonts w:hint="eastAsia" w:ascii="宋体" w:hAnsi="宋体" w:cs="宋体"/>
          <w:color w:val="auto"/>
          <w:sz w:val="28"/>
          <w:szCs w:val="28"/>
          <w:lang w:eastAsia="zh-CN"/>
        </w:rPr>
        <w:t>）</w:t>
      </w:r>
      <w:r>
        <w:rPr>
          <w:color w:val="auto"/>
          <w:sz w:val="28"/>
          <w:szCs w:val="28"/>
        </w:rPr>
        <w:t>及时发现应急响应计划和应急响应系统存在的问题与不足之处，以便予以改进和完善。</w:t>
      </w:r>
    </w:p>
    <w:p>
      <w:pPr>
        <w:snapToGrid w:val="0"/>
        <w:ind w:firstLine="560"/>
        <w:rPr>
          <w:color w:val="auto"/>
          <w:sz w:val="28"/>
          <w:szCs w:val="28"/>
        </w:rPr>
      </w:pPr>
      <w:r>
        <w:rPr>
          <w:rFonts w:hint="eastAsia"/>
          <w:color w:val="auto"/>
          <w:sz w:val="28"/>
          <w:szCs w:val="28"/>
          <w:lang w:eastAsia="zh-CN"/>
        </w:rPr>
        <w:t>（</w:t>
      </w:r>
      <w:r>
        <w:rPr>
          <w:rFonts w:hint="eastAsia"/>
          <w:color w:val="auto"/>
          <w:sz w:val="28"/>
          <w:szCs w:val="28"/>
          <w:lang w:val="en-US" w:eastAsia="zh-CN"/>
        </w:rPr>
        <w:t>5</w:t>
      </w:r>
      <w:r>
        <w:rPr>
          <w:rFonts w:hint="eastAsia"/>
          <w:color w:val="auto"/>
          <w:sz w:val="28"/>
          <w:szCs w:val="28"/>
          <w:lang w:eastAsia="zh-CN"/>
        </w:rPr>
        <w:t>）</w:t>
      </w:r>
      <w:r>
        <w:rPr>
          <w:color w:val="auto"/>
          <w:sz w:val="28"/>
          <w:szCs w:val="28"/>
        </w:rPr>
        <w:t>演练记录和评价。区应急指挥部办公室应对演练情况予以记录，并妥善保存备查。</w:t>
      </w:r>
    </w:p>
    <w:p>
      <w:pPr>
        <w:pStyle w:val="3"/>
        <w:snapToGrid w:val="0"/>
        <w:rPr>
          <w:color w:val="auto"/>
          <w:szCs w:val="28"/>
        </w:rPr>
      </w:pPr>
      <w:bookmarkStart w:id="74" w:name="_Toc31992"/>
      <w:r>
        <w:rPr>
          <w:color w:val="auto"/>
          <w:szCs w:val="28"/>
        </w:rPr>
        <w:t>6.4 预案修订</w:t>
      </w:r>
      <w:bookmarkEnd w:id="74"/>
    </w:p>
    <w:p>
      <w:pPr>
        <w:snapToGrid w:val="0"/>
        <w:ind w:firstLine="560"/>
        <w:rPr>
          <w:color w:val="auto"/>
          <w:sz w:val="28"/>
          <w:szCs w:val="28"/>
        </w:rPr>
      </w:pPr>
      <w:r>
        <w:rPr>
          <w:color w:val="auto"/>
          <w:sz w:val="28"/>
          <w:szCs w:val="28"/>
        </w:rPr>
        <w:t>本预案每三年进行一次评估，必要时进行修订。当环境应急管理的政策法规发生重大变化或成员单位职责、应急资源发生变化，或者应急过程中发现存在问题和出现新的情况，根据情况对本预案进行修改。</w:t>
      </w:r>
    </w:p>
    <w:p>
      <w:pPr>
        <w:snapToGrid w:val="0"/>
        <w:ind w:firstLine="560"/>
        <w:rPr>
          <w:color w:val="auto"/>
          <w:sz w:val="28"/>
          <w:szCs w:val="28"/>
        </w:rPr>
      </w:pPr>
      <w:r>
        <w:rPr>
          <w:color w:val="auto"/>
          <w:sz w:val="28"/>
          <w:szCs w:val="28"/>
        </w:rPr>
        <w:t>本预案由区应急指挥部办公室负责管理、修订、完善。</w:t>
      </w:r>
    </w:p>
    <w:p>
      <w:pPr>
        <w:pStyle w:val="3"/>
        <w:snapToGrid w:val="0"/>
        <w:rPr>
          <w:color w:val="auto"/>
          <w:szCs w:val="28"/>
        </w:rPr>
      </w:pPr>
      <w:bookmarkStart w:id="75" w:name="_Toc2565"/>
      <w:r>
        <w:rPr>
          <w:color w:val="auto"/>
          <w:szCs w:val="28"/>
        </w:rPr>
        <w:t>6.5 预案实施日期</w:t>
      </w:r>
      <w:bookmarkEnd w:id="75"/>
    </w:p>
    <w:p>
      <w:pPr>
        <w:snapToGrid w:val="0"/>
        <w:ind w:firstLine="560"/>
        <w:rPr>
          <w:color w:val="auto"/>
          <w:sz w:val="28"/>
          <w:szCs w:val="28"/>
        </w:rPr>
      </w:pPr>
      <w:r>
        <w:rPr>
          <w:color w:val="auto"/>
          <w:sz w:val="28"/>
          <w:szCs w:val="28"/>
        </w:rPr>
        <w:t>本预案自印发之日起实施。</w:t>
      </w:r>
    </w:p>
    <w:p>
      <w:pPr>
        <w:widowControl/>
        <w:tabs>
          <w:tab w:val="left" w:pos="1176"/>
        </w:tabs>
        <w:spacing w:line="240" w:lineRule="auto"/>
        <w:ind w:firstLine="0" w:firstLineChars="0"/>
        <w:jc w:val="left"/>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pPr>
      <w:bookmarkStart w:id="76" w:name="_Toc23950550"/>
    </w:p>
    <w:p>
      <w:pPr>
        <w:pStyle w:val="2"/>
        <w:jc w:val="both"/>
        <w:rPr>
          <w:color w:val="auto"/>
          <w:sz w:val="28"/>
          <w:szCs w:val="28"/>
        </w:rPr>
      </w:pPr>
      <w:bookmarkStart w:id="77" w:name="_Toc2399"/>
      <w:r>
        <w:rPr>
          <w:color w:val="auto"/>
          <w:sz w:val="28"/>
          <w:szCs w:val="28"/>
        </w:rPr>
        <w:t>附件1</w:t>
      </w:r>
      <w:r>
        <w:rPr>
          <w:rFonts w:hint="eastAsia"/>
          <w:color w:val="auto"/>
          <w:sz w:val="28"/>
          <w:szCs w:val="28"/>
          <w:lang w:val="en-US" w:eastAsia="zh-CN"/>
        </w:rPr>
        <w:t xml:space="preserve"> </w:t>
      </w:r>
      <w:bookmarkStart w:id="78" w:name="_Toc523223379"/>
      <w:bookmarkStart w:id="79" w:name="_Toc523153566"/>
      <w:bookmarkStart w:id="80" w:name="_Toc23561"/>
      <w:bookmarkStart w:id="81" w:name="_Toc529453291"/>
      <w:bookmarkStart w:id="82" w:name="_Toc529453137"/>
      <w:bookmarkStart w:id="83" w:name="_Toc527026595"/>
      <w:bookmarkStart w:id="84" w:name="_Toc528234273"/>
      <w:bookmarkStart w:id="85" w:name="_Toc2925"/>
      <w:bookmarkStart w:id="86" w:name="_Toc522893262"/>
      <w:bookmarkStart w:id="87" w:name="_Toc523219331"/>
      <w:bookmarkStart w:id="88" w:name="_Toc523219620"/>
      <w:bookmarkStart w:id="89" w:name="_Toc523220135"/>
      <w:bookmarkStart w:id="90" w:name="_Toc523223919"/>
      <w:r>
        <w:rPr>
          <w:color w:val="auto"/>
          <w:sz w:val="28"/>
          <w:szCs w:val="28"/>
        </w:rPr>
        <w:t>水源地应急指挥机构成员</w:t>
      </w:r>
      <w:r>
        <w:rPr>
          <w:rFonts w:hint="eastAsia"/>
          <w:color w:val="auto"/>
          <w:sz w:val="28"/>
          <w:szCs w:val="28"/>
          <w:lang w:val="en-US" w:eastAsia="zh-CN"/>
        </w:rPr>
        <w:t>主要</w:t>
      </w:r>
      <w:r>
        <w:rPr>
          <w:color w:val="auto"/>
          <w:sz w:val="28"/>
          <w:szCs w:val="28"/>
        </w:rPr>
        <w:t>单位职责</w:t>
      </w:r>
      <w:bookmarkEnd w:id="77"/>
      <w:bookmarkEnd w:id="78"/>
      <w:bookmarkEnd w:id="79"/>
      <w:bookmarkEnd w:id="80"/>
      <w:bookmarkEnd w:id="81"/>
      <w:bookmarkEnd w:id="82"/>
      <w:bookmarkEnd w:id="83"/>
      <w:bookmarkEnd w:id="84"/>
      <w:bookmarkEnd w:id="85"/>
      <w:bookmarkEnd w:id="86"/>
      <w:bookmarkEnd w:id="87"/>
      <w:bookmarkEnd w:id="88"/>
      <w:bookmarkEnd w:id="89"/>
      <w:bookmarkEnd w:id="90"/>
    </w:p>
    <w:tbl>
      <w:tblPr>
        <w:tblStyle w:val="42"/>
        <w:tblW w:w="1417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2015"/>
        <w:gridCol w:w="4465"/>
        <w:gridCol w:w="6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right"/>
        </w:trPr>
        <w:tc>
          <w:tcPr>
            <w:tcW w:w="3308" w:type="dxa"/>
            <w:gridSpan w:val="2"/>
            <w:vAlign w:val="center"/>
          </w:tcPr>
          <w:p>
            <w:pPr>
              <w:spacing w:line="360" w:lineRule="auto"/>
              <w:ind w:firstLine="0" w:firstLineChars="0"/>
              <w:jc w:val="center"/>
              <w:rPr>
                <w:b/>
                <w:color w:val="auto"/>
                <w:kern w:val="0"/>
                <w:sz w:val="24"/>
                <w:szCs w:val="24"/>
                <w:lang w:val="zh-CN"/>
              </w:rPr>
            </w:pPr>
            <w:r>
              <w:rPr>
                <w:b/>
                <w:color w:val="auto"/>
                <w:kern w:val="0"/>
                <w:sz w:val="24"/>
                <w:szCs w:val="24"/>
                <w:lang w:val="zh-CN"/>
              </w:rPr>
              <w:t>应急指挥机构组成</w:t>
            </w:r>
          </w:p>
        </w:tc>
        <w:tc>
          <w:tcPr>
            <w:tcW w:w="4465" w:type="dxa"/>
            <w:vAlign w:val="center"/>
          </w:tcPr>
          <w:p>
            <w:pPr>
              <w:spacing w:line="360" w:lineRule="auto"/>
              <w:ind w:firstLine="0" w:firstLineChars="0"/>
              <w:jc w:val="center"/>
              <w:rPr>
                <w:b/>
                <w:color w:val="auto"/>
                <w:kern w:val="0"/>
                <w:sz w:val="24"/>
                <w:szCs w:val="24"/>
                <w:lang w:val="zh-CN"/>
              </w:rPr>
            </w:pPr>
            <w:r>
              <w:rPr>
                <w:b/>
                <w:color w:val="auto"/>
                <w:kern w:val="0"/>
                <w:sz w:val="24"/>
                <w:szCs w:val="24"/>
                <w:lang w:val="zh-CN"/>
              </w:rPr>
              <w:t>日常职责</w:t>
            </w:r>
          </w:p>
        </w:tc>
        <w:tc>
          <w:tcPr>
            <w:tcW w:w="6401" w:type="dxa"/>
            <w:vAlign w:val="center"/>
          </w:tcPr>
          <w:p>
            <w:pPr>
              <w:spacing w:line="360" w:lineRule="auto"/>
              <w:ind w:firstLine="0" w:firstLineChars="0"/>
              <w:jc w:val="center"/>
              <w:rPr>
                <w:b/>
                <w:color w:val="auto"/>
                <w:kern w:val="0"/>
                <w:sz w:val="24"/>
                <w:szCs w:val="24"/>
                <w:lang w:val="zh-CN"/>
              </w:rPr>
            </w:pPr>
            <w:r>
              <w:rPr>
                <w:b/>
                <w:color w:val="auto"/>
                <w:kern w:val="0"/>
                <w:sz w:val="24"/>
                <w:szCs w:val="24"/>
                <w:lang w:val="zh-CN"/>
              </w:rPr>
              <w:t>应急职责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总指挥</w:t>
            </w:r>
          </w:p>
        </w:tc>
        <w:tc>
          <w:tcPr>
            <w:tcW w:w="2015" w:type="dxa"/>
            <w:vAlign w:val="center"/>
          </w:tcPr>
          <w:p>
            <w:pPr>
              <w:spacing w:line="360" w:lineRule="auto"/>
              <w:ind w:firstLine="0" w:firstLineChars="0"/>
              <w:jc w:val="center"/>
              <w:rPr>
                <w:color w:val="auto"/>
                <w:kern w:val="0"/>
                <w:sz w:val="24"/>
                <w:szCs w:val="24"/>
                <w:lang w:val="zh-CN"/>
              </w:rPr>
            </w:pPr>
            <w:r>
              <w:rPr>
                <w:rFonts w:hint="eastAsia"/>
                <w:color w:val="auto"/>
                <w:kern w:val="0"/>
                <w:sz w:val="24"/>
                <w:szCs w:val="24"/>
                <w:lang w:val="zh-CN" w:eastAsia="zh-CN"/>
              </w:rPr>
              <w:t>由区委副书记、区长担任</w:t>
            </w:r>
          </w:p>
        </w:tc>
        <w:tc>
          <w:tcPr>
            <w:tcW w:w="4465" w:type="dxa"/>
            <w:vAlign w:val="center"/>
          </w:tcPr>
          <w:p>
            <w:pPr>
              <w:spacing w:line="360" w:lineRule="auto"/>
              <w:ind w:firstLine="0" w:firstLineChars="0"/>
              <w:rPr>
                <w:color w:val="auto"/>
                <w:sz w:val="24"/>
                <w:szCs w:val="24"/>
              </w:rPr>
            </w:pPr>
            <w:r>
              <w:rPr>
                <w:color w:val="auto"/>
                <w:kern w:val="0"/>
                <w:sz w:val="24"/>
                <w:szCs w:val="24"/>
              </w:rPr>
              <w:t>（1）贯彻执行国家、地方人民政府及有关部门关于水源地</w:t>
            </w:r>
            <w:r>
              <w:rPr>
                <w:rFonts w:hint="eastAsia"/>
                <w:color w:val="auto"/>
                <w:kern w:val="0"/>
                <w:sz w:val="24"/>
                <w:szCs w:val="24"/>
                <w:lang w:eastAsia="zh-CN"/>
              </w:rPr>
              <w:t>突发生态环境事件</w:t>
            </w:r>
            <w:r>
              <w:rPr>
                <w:color w:val="auto"/>
                <w:kern w:val="0"/>
                <w:sz w:val="24"/>
                <w:szCs w:val="24"/>
              </w:rPr>
              <w:t>的各项要求；</w:t>
            </w:r>
          </w:p>
          <w:p>
            <w:pPr>
              <w:spacing w:line="360" w:lineRule="auto"/>
              <w:ind w:firstLine="0" w:firstLineChars="0"/>
              <w:rPr>
                <w:color w:val="auto"/>
                <w:sz w:val="24"/>
                <w:szCs w:val="24"/>
              </w:rPr>
            </w:pPr>
            <w:r>
              <w:rPr>
                <w:color w:val="auto"/>
                <w:kern w:val="0"/>
                <w:sz w:val="24"/>
                <w:szCs w:val="24"/>
              </w:rPr>
              <w:t>（2）组织编制、修订和批准水源地</w:t>
            </w:r>
            <w:r>
              <w:rPr>
                <w:rFonts w:hint="eastAsia"/>
                <w:color w:val="auto"/>
                <w:kern w:val="0"/>
                <w:sz w:val="24"/>
                <w:szCs w:val="24"/>
                <w:lang w:eastAsia="zh-CN"/>
              </w:rPr>
              <w:t>突发生态环境事件</w:t>
            </w:r>
            <w:r>
              <w:rPr>
                <w:color w:val="auto"/>
                <w:kern w:val="0"/>
                <w:sz w:val="24"/>
                <w:szCs w:val="24"/>
              </w:rPr>
              <w:t>应急预案；</w:t>
            </w:r>
          </w:p>
          <w:p>
            <w:pPr>
              <w:spacing w:line="360" w:lineRule="auto"/>
              <w:ind w:firstLine="0" w:firstLineChars="0"/>
              <w:rPr>
                <w:color w:val="auto"/>
                <w:sz w:val="24"/>
                <w:szCs w:val="24"/>
              </w:rPr>
            </w:pPr>
            <w:r>
              <w:rPr>
                <w:color w:val="auto"/>
                <w:kern w:val="0"/>
                <w:sz w:val="24"/>
                <w:szCs w:val="24"/>
              </w:rPr>
              <w:t>（3）指导加强水源地</w:t>
            </w:r>
            <w:r>
              <w:rPr>
                <w:rFonts w:hint="eastAsia"/>
                <w:color w:val="auto"/>
                <w:kern w:val="0"/>
                <w:sz w:val="24"/>
                <w:szCs w:val="24"/>
                <w:lang w:eastAsia="zh-CN"/>
              </w:rPr>
              <w:t>突发生态环境事件</w:t>
            </w:r>
            <w:r>
              <w:rPr>
                <w:color w:val="auto"/>
                <w:kern w:val="0"/>
                <w:sz w:val="24"/>
                <w:szCs w:val="24"/>
              </w:rPr>
              <w:t>应急管理体系建设；</w:t>
            </w:r>
          </w:p>
          <w:p>
            <w:pPr>
              <w:spacing w:line="360" w:lineRule="auto"/>
              <w:ind w:firstLine="0" w:firstLineChars="0"/>
              <w:rPr>
                <w:color w:val="auto"/>
                <w:sz w:val="24"/>
                <w:szCs w:val="24"/>
              </w:rPr>
            </w:pPr>
            <w:r>
              <w:rPr>
                <w:color w:val="auto"/>
                <w:kern w:val="0"/>
                <w:sz w:val="24"/>
                <w:szCs w:val="24"/>
              </w:rPr>
              <w:t>（4）协调保障水源地</w:t>
            </w:r>
            <w:r>
              <w:rPr>
                <w:rFonts w:hint="eastAsia"/>
                <w:color w:val="auto"/>
                <w:kern w:val="0"/>
                <w:sz w:val="24"/>
                <w:szCs w:val="24"/>
                <w:lang w:eastAsia="zh-CN"/>
              </w:rPr>
              <w:t>突发生态环境事件</w:t>
            </w:r>
            <w:r>
              <w:rPr>
                <w:color w:val="auto"/>
                <w:kern w:val="0"/>
                <w:sz w:val="24"/>
                <w:szCs w:val="24"/>
              </w:rPr>
              <w:t>应急管理工作经费。</w:t>
            </w:r>
          </w:p>
        </w:tc>
        <w:tc>
          <w:tcPr>
            <w:tcW w:w="6401" w:type="dxa"/>
            <w:vAlign w:val="center"/>
          </w:tcPr>
          <w:p>
            <w:pPr>
              <w:spacing w:line="360" w:lineRule="auto"/>
              <w:ind w:firstLine="0" w:firstLineChars="0"/>
              <w:rPr>
                <w:color w:val="auto"/>
                <w:sz w:val="24"/>
                <w:szCs w:val="24"/>
              </w:rPr>
            </w:pPr>
            <w:r>
              <w:rPr>
                <w:color w:val="auto"/>
                <w:kern w:val="0"/>
                <w:sz w:val="24"/>
                <w:szCs w:val="24"/>
              </w:rPr>
              <w:t>（1）发生水源地</w:t>
            </w:r>
            <w:r>
              <w:rPr>
                <w:rFonts w:hint="eastAsia"/>
                <w:color w:val="auto"/>
                <w:kern w:val="0"/>
                <w:sz w:val="24"/>
                <w:szCs w:val="24"/>
                <w:lang w:eastAsia="zh-CN"/>
              </w:rPr>
              <w:t>突发生态环境事件</w:t>
            </w:r>
            <w:r>
              <w:rPr>
                <w:color w:val="auto"/>
                <w:kern w:val="0"/>
                <w:sz w:val="24"/>
                <w:szCs w:val="24"/>
              </w:rPr>
              <w:t>时，亲自（或委托副总指挥）赶赴现场进行指挥，组织开展现场应急处置；</w:t>
            </w:r>
          </w:p>
          <w:p>
            <w:pPr>
              <w:spacing w:line="360" w:lineRule="auto"/>
              <w:ind w:firstLine="0" w:firstLineChars="0"/>
              <w:rPr>
                <w:color w:val="auto"/>
                <w:sz w:val="24"/>
                <w:szCs w:val="24"/>
              </w:rPr>
            </w:pPr>
            <w:r>
              <w:rPr>
                <w:color w:val="auto"/>
                <w:kern w:val="0"/>
                <w:sz w:val="24"/>
                <w:szCs w:val="24"/>
              </w:rPr>
              <w:t>（2）贯彻执行上级人民政府及有关部门的应急指令；</w:t>
            </w:r>
          </w:p>
          <w:p>
            <w:pPr>
              <w:spacing w:line="360" w:lineRule="auto"/>
              <w:ind w:firstLine="0" w:firstLineChars="0"/>
              <w:rPr>
                <w:color w:val="auto"/>
                <w:sz w:val="24"/>
                <w:szCs w:val="24"/>
              </w:rPr>
            </w:pPr>
            <w:r>
              <w:rPr>
                <w:color w:val="auto"/>
                <w:kern w:val="0"/>
                <w:sz w:val="24"/>
                <w:szCs w:val="24"/>
              </w:rPr>
              <w:t>（3）按照预警、应急启动或终止条件，决定预案的启动或终止；</w:t>
            </w:r>
          </w:p>
          <w:p>
            <w:pPr>
              <w:spacing w:line="360" w:lineRule="auto"/>
              <w:ind w:firstLine="0" w:firstLineChars="0"/>
              <w:rPr>
                <w:color w:val="auto"/>
                <w:sz w:val="24"/>
                <w:szCs w:val="24"/>
              </w:rPr>
            </w:pPr>
            <w:r>
              <w:rPr>
                <w:color w:val="auto"/>
                <w:kern w:val="0"/>
                <w:sz w:val="24"/>
                <w:szCs w:val="24"/>
              </w:rPr>
              <w:t>（4）研判</w:t>
            </w:r>
            <w:r>
              <w:rPr>
                <w:rFonts w:hint="eastAsia"/>
                <w:color w:val="auto"/>
                <w:kern w:val="0"/>
                <w:sz w:val="24"/>
                <w:szCs w:val="24"/>
                <w:lang w:eastAsia="zh-CN"/>
              </w:rPr>
              <w:t>突发生态环境事件</w:t>
            </w:r>
            <w:r>
              <w:rPr>
                <w:color w:val="auto"/>
                <w:kern w:val="0"/>
                <w:sz w:val="24"/>
                <w:szCs w:val="24"/>
              </w:rPr>
              <w:t>发展态势，组织制定并批准现场处置方案；</w:t>
            </w:r>
          </w:p>
          <w:p>
            <w:pPr>
              <w:spacing w:line="360" w:lineRule="auto"/>
              <w:ind w:firstLine="0" w:firstLineChars="0"/>
              <w:rPr>
                <w:color w:val="auto"/>
                <w:kern w:val="0"/>
                <w:sz w:val="24"/>
                <w:szCs w:val="24"/>
              </w:rPr>
            </w:pPr>
            <w:r>
              <w:rPr>
                <w:color w:val="auto"/>
                <w:kern w:val="0"/>
                <w:sz w:val="24"/>
                <w:szCs w:val="24"/>
              </w:rPr>
              <w:t>（5）组织开展损害评估等后期工作</w:t>
            </w:r>
            <w:r>
              <w:rPr>
                <w:rFonts w:hint="eastAsia"/>
                <w:color w:val="auto"/>
                <w:kern w:val="0"/>
                <w:sz w:val="24"/>
                <w:szCs w:val="24"/>
              </w:rPr>
              <w:t>；</w:t>
            </w:r>
          </w:p>
          <w:p>
            <w:pPr>
              <w:spacing w:line="360" w:lineRule="auto"/>
              <w:ind w:firstLine="0" w:firstLineChars="0"/>
              <w:rPr>
                <w:color w:val="auto"/>
                <w:sz w:val="24"/>
                <w:szCs w:val="24"/>
              </w:rPr>
            </w:pPr>
            <w:r>
              <w:rPr>
                <w:rFonts w:hint="eastAsia"/>
                <w:color w:val="auto"/>
                <w:kern w:val="0"/>
                <w:sz w:val="24"/>
                <w:szCs w:val="24"/>
              </w:rPr>
              <w:t>（6）</w:t>
            </w:r>
            <w:r>
              <w:rPr>
                <w:rFonts w:hint="eastAsia"/>
                <w:color w:val="auto"/>
                <w:kern w:val="0"/>
                <w:sz w:val="24"/>
                <w:szCs w:val="24"/>
                <w:lang w:val="en-US" w:eastAsia="zh-CN"/>
              </w:rPr>
              <w:t>落实上级下达的协调任务，</w:t>
            </w:r>
            <w:r>
              <w:rPr>
                <w:rFonts w:hint="eastAsia"/>
                <w:color w:val="auto"/>
                <w:kern w:val="0"/>
                <w:sz w:val="24"/>
                <w:szCs w:val="24"/>
              </w:rPr>
              <w:t>组织</w:t>
            </w:r>
            <w:r>
              <w:rPr>
                <w:color w:val="auto"/>
                <w:kern w:val="0"/>
                <w:sz w:val="24"/>
                <w:szCs w:val="24"/>
              </w:rPr>
              <w:t>清新区应急组织机构</w:t>
            </w:r>
            <w:r>
              <w:rPr>
                <w:rFonts w:hint="eastAsia"/>
                <w:color w:val="auto"/>
                <w:kern w:val="0"/>
                <w:sz w:val="24"/>
                <w:szCs w:val="24"/>
              </w:rPr>
              <w:t>与有关部门配合完成</w:t>
            </w:r>
            <w:r>
              <w:rPr>
                <w:rFonts w:hint="eastAsia"/>
                <w:color w:val="auto"/>
                <w:kern w:val="0"/>
                <w:sz w:val="24"/>
                <w:szCs w:val="24"/>
                <w:lang w:val="en-US" w:eastAsia="zh-CN"/>
              </w:rPr>
              <w:t>相关</w:t>
            </w:r>
            <w:r>
              <w:rPr>
                <w:rFonts w:hint="eastAsia"/>
                <w:color w:val="auto"/>
                <w:kern w:val="0"/>
                <w:sz w:val="24"/>
                <w:szCs w:val="24"/>
              </w:rPr>
              <w:t>应急处置事宜。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right"/>
        </w:trPr>
        <w:tc>
          <w:tcPr>
            <w:tcW w:w="1293"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副总指挥</w:t>
            </w:r>
          </w:p>
        </w:tc>
        <w:tc>
          <w:tcPr>
            <w:tcW w:w="2015" w:type="dxa"/>
            <w:vAlign w:val="center"/>
          </w:tcPr>
          <w:p>
            <w:pPr>
              <w:spacing w:line="360" w:lineRule="auto"/>
              <w:ind w:firstLine="0" w:firstLineChars="0"/>
              <w:jc w:val="center"/>
              <w:rPr>
                <w:color w:val="auto"/>
                <w:kern w:val="0"/>
                <w:sz w:val="24"/>
                <w:szCs w:val="24"/>
                <w:lang w:val="zh-CN"/>
              </w:rPr>
            </w:pPr>
            <w:r>
              <w:rPr>
                <w:rFonts w:hint="eastAsia"/>
                <w:color w:val="auto"/>
                <w:kern w:val="0"/>
                <w:sz w:val="24"/>
                <w:szCs w:val="24"/>
                <w:lang w:val="zh-CN" w:eastAsia="zh-CN"/>
              </w:rPr>
              <w:t>由联系生态环境工作的区政府分管负责同志担任</w:t>
            </w:r>
          </w:p>
        </w:tc>
        <w:tc>
          <w:tcPr>
            <w:tcW w:w="4465" w:type="dxa"/>
            <w:vAlign w:val="center"/>
          </w:tcPr>
          <w:p>
            <w:pPr>
              <w:spacing w:line="360" w:lineRule="auto"/>
              <w:ind w:firstLine="0" w:firstLineChars="0"/>
              <w:rPr>
                <w:color w:val="auto"/>
                <w:kern w:val="0"/>
                <w:sz w:val="24"/>
                <w:szCs w:val="24"/>
              </w:rPr>
            </w:pPr>
            <w:r>
              <w:rPr>
                <w:color w:val="auto"/>
                <w:kern w:val="0"/>
                <w:sz w:val="24"/>
                <w:szCs w:val="24"/>
              </w:rPr>
              <w:t>（1）协助总指挥开展有关工作；</w:t>
            </w:r>
          </w:p>
          <w:p>
            <w:pPr>
              <w:spacing w:line="360" w:lineRule="auto"/>
              <w:ind w:firstLine="0" w:firstLineChars="0"/>
              <w:rPr>
                <w:color w:val="auto"/>
                <w:sz w:val="24"/>
                <w:szCs w:val="24"/>
              </w:rPr>
            </w:pPr>
            <w:r>
              <w:rPr>
                <w:color w:val="auto"/>
                <w:kern w:val="0"/>
                <w:sz w:val="24"/>
                <w:szCs w:val="24"/>
              </w:rPr>
              <w:t>（2）组织指导预案培训和演练、应急救援队伍建设和能力评估等工作；</w:t>
            </w:r>
          </w:p>
          <w:p>
            <w:pPr>
              <w:spacing w:line="360" w:lineRule="auto"/>
              <w:ind w:firstLine="0" w:firstLineChars="0"/>
              <w:rPr>
                <w:color w:val="auto"/>
                <w:sz w:val="24"/>
                <w:szCs w:val="24"/>
              </w:rPr>
            </w:pPr>
            <w:r>
              <w:rPr>
                <w:color w:val="auto"/>
                <w:kern w:val="0"/>
                <w:sz w:val="24"/>
                <w:szCs w:val="24"/>
              </w:rPr>
              <w:t>（3）指导开展水源地</w:t>
            </w:r>
            <w:r>
              <w:rPr>
                <w:rFonts w:hint="eastAsia"/>
                <w:color w:val="auto"/>
                <w:kern w:val="0"/>
                <w:sz w:val="24"/>
                <w:szCs w:val="24"/>
                <w:lang w:eastAsia="zh-CN"/>
              </w:rPr>
              <w:t>突发生态环境事件</w:t>
            </w:r>
            <w:r>
              <w:rPr>
                <w:color w:val="auto"/>
                <w:kern w:val="0"/>
                <w:sz w:val="24"/>
                <w:szCs w:val="24"/>
              </w:rPr>
              <w:t>风险防范和应急准备工作。</w:t>
            </w:r>
          </w:p>
        </w:tc>
        <w:tc>
          <w:tcPr>
            <w:tcW w:w="6401" w:type="dxa"/>
            <w:vAlign w:val="center"/>
          </w:tcPr>
          <w:p>
            <w:pPr>
              <w:spacing w:line="360" w:lineRule="auto"/>
              <w:ind w:firstLine="0" w:firstLineChars="0"/>
              <w:rPr>
                <w:color w:val="auto"/>
                <w:sz w:val="24"/>
                <w:szCs w:val="24"/>
              </w:rPr>
            </w:pPr>
            <w:r>
              <w:rPr>
                <w:color w:val="auto"/>
                <w:kern w:val="0"/>
                <w:sz w:val="24"/>
                <w:szCs w:val="24"/>
              </w:rPr>
              <w:t>（1）协助总指挥组织开展现场应急处置；</w:t>
            </w:r>
          </w:p>
          <w:p>
            <w:pPr>
              <w:spacing w:line="360" w:lineRule="auto"/>
              <w:ind w:firstLine="0" w:firstLineChars="0"/>
              <w:rPr>
                <w:color w:val="auto"/>
                <w:sz w:val="24"/>
                <w:szCs w:val="24"/>
              </w:rPr>
            </w:pPr>
            <w:r>
              <w:rPr>
                <w:color w:val="auto"/>
                <w:kern w:val="0"/>
                <w:sz w:val="24"/>
                <w:szCs w:val="24"/>
              </w:rPr>
              <w:t>（2）根据分工或总指挥安排，负责现场具体指挥协调；</w:t>
            </w:r>
          </w:p>
          <w:p>
            <w:pPr>
              <w:spacing w:line="360" w:lineRule="auto"/>
              <w:ind w:firstLine="0" w:firstLineChars="0"/>
              <w:rPr>
                <w:color w:val="auto"/>
                <w:sz w:val="24"/>
                <w:szCs w:val="24"/>
              </w:rPr>
            </w:pPr>
            <w:r>
              <w:rPr>
                <w:color w:val="auto"/>
                <w:kern w:val="0"/>
                <w:sz w:val="24"/>
                <w:szCs w:val="24"/>
              </w:rPr>
              <w:t>（3）负责提出有关应急处置建议；</w:t>
            </w:r>
          </w:p>
          <w:p>
            <w:pPr>
              <w:spacing w:line="360" w:lineRule="auto"/>
              <w:ind w:firstLine="0" w:firstLineChars="0"/>
              <w:rPr>
                <w:color w:val="auto"/>
                <w:sz w:val="24"/>
                <w:szCs w:val="24"/>
              </w:rPr>
            </w:pPr>
            <w:r>
              <w:rPr>
                <w:color w:val="auto"/>
                <w:kern w:val="0"/>
                <w:sz w:val="24"/>
                <w:szCs w:val="24"/>
              </w:rPr>
              <w:t>（4）负责向场外人员通报有关应急信息；</w:t>
            </w:r>
          </w:p>
          <w:p>
            <w:pPr>
              <w:spacing w:line="360" w:lineRule="auto"/>
              <w:ind w:firstLine="0" w:firstLineChars="0"/>
              <w:rPr>
                <w:color w:val="auto"/>
                <w:sz w:val="24"/>
                <w:szCs w:val="24"/>
              </w:rPr>
            </w:pPr>
            <w:r>
              <w:rPr>
                <w:color w:val="auto"/>
                <w:kern w:val="0"/>
                <w:sz w:val="24"/>
                <w:szCs w:val="24"/>
              </w:rPr>
              <w:t>（5）负责协调现场与场外应急处置工作；</w:t>
            </w:r>
          </w:p>
          <w:p>
            <w:pPr>
              <w:spacing w:line="360" w:lineRule="auto"/>
              <w:ind w:firstLine="0" w:firstLineChars="0"/>
              <w:rPr>
                <w:color w:val="auto"/>
                <w:sz w:val="24"/>
                <w:szCs w:val="24"/>
              </w:rPr>
            </w:pPr>
            <w:r>
              <w:rPr>
                <w:color w:val="auto"/>
                <w:kern w:val="0"/>
                <w:sz w:val="24"/>
                <w:szCs w:val="24"/>
              </w:rPr>
              <w:t>（6）停止取水后，负责协调保障居民用水；</w:t>
            </w:r>
          </w:p>
          <w:p>
            <w:pPr>
              <w:spacing w:line="360" w:lineRule="auto"/>
              <w:ind w:firstLine="0" w:firstLineChars="0"/>
              <w:rPr>
                <w:color w:val="auto"/>
                <w:sz w:val="24"/>
                <w:szCs w:val="24"/>
              </w:rPr>
            </w:pPr>
            <w:r>
              <w:rPr>
                <w:color w:val="auto"/>
                <w:kern w:val="0"/>
                <w:sz w:val="24"/>
                <w:szCs w:val="24"/>
              </w:rPr>
              <w:t>（7）处置现场出现的紧急情况。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区应急指挥部办公室</w:t>
            </w: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设在</w:t>
            </w:r>
            <w:r>
              <w:rPr>
                <w:rFonts w:hint="eastAsia"/>
                <w:color w:val="auto"/>
                <w:kern w:val="0"/>
                <w:sz w:val="24"/>
                <w:szCs w:val="24"/>
                <w:lang w:val="en-US" w:eastAsia="zh-CN"/>
              </w:rPr>
              <w:t>清远</w:t>
            </w:r>
            <w:r>
              <w:rPr>
                <w:color w:val="auto"/>
                <w:kern w:val="0"/>
                <w:sz w:val="24"/>
                <w:szCs w:val="24"/>
                <w:lang w:val="zh-CN"/>
              </w:rPr>
              <w:t>市生态环境局清新分局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（1）负责应急物资的日常维护管理；</w:t>
            </w:r>
          </w:p>
          <w:p>
            <w:pPr>
              <w:spacing w:line="360" w:lineRule="auto"/>
              <w:ind w:firstLine="0" w:firstLineChars="0"/>
              <w:rPr>
                <w:color w:val="auto"/>
                <w:kern w:val="0"/>
                <w:sz w:val="24"/>
                <w:szCs w:val="24"/>
              </w:rPr>
            </w:pPr>
            <w:r>
              <w:rPr>
                <w:color w:val="auto"/>
                <w:kern w:val="0"/>
                <w:sz w:val="24"/>
                <w:szCs w:val="24"/>
              </w:rPr>
              <w:t>（2）聘请相关领域的专家，组建</w:t>
            </w:r>
            <w:r>
              <w:rPr>
                <w:rFonts w:hint="eastAsia"/>
                <w:color w:val="auto"/>
                <w:kern w:val="0"/>
                <w:sz w:val="24"/>
                <w:szCs w:val="24"/>
              </w:rPr>
              <w:t>水</w:t>
            </w:r>
            <w:r>
              <w:rPr>
                <w:color w:val="auto"/>
                <w:kern w:val="0"/>
                <w:sz w:val="24"/>
                <w:szCs w:val="24"/>
              </w:rPr>
              <w:t>源地</w:t>
            </w:r>
            <w:r>
              <w:rPr>
                <w:rFonts w:hint="eastAsia"/>
                <w:color w:val="auto"/>
                <w:kern w:val="0"/>
                <w:sz w:val="24"/>
                <w:szCs w:val="24"/>
                <w:lang w:eastAsia="zh-CN"/>
              </w:rPr>
              <w:t>突发生态环境事件</w:t>
            </w:r>
            <w:r>
              <w:rPr>
                <w:color w:val="auto"/>
                <w:kern w:val="0"/>
                <w:sz w:val="24"/>
                <w:szCs w:val="24"/>
              </w:rPr>
              <w:t>专家咨询组；</w:t>
            </w:r>
          </w:p>
          <w:p>
            <w:pPr>
              <w:spacing w:line="360" w:lineRule="auto"/>
              <w:ind w:firstLine="0" w:firstLineChars="0"/>
              <w:rPr>
                <w:color w:val="auto"/>
                <w:kern w:val="0"/>
                <w:sz w:val="24"/>
                <w:szCs w:val="24"/>
              </w:rPr>
            </w:pPr>
            <w:r>
              <w:rPr>
                <w:color w:val="auto"/>
                <w:kern w:val="0"/>
                <w:sz w:val="24"/>
                <w:szCs w:val="24"/>
              </w:rPr>
              <w:t>（3）组织编制、修订水源地应急预案；</w:t>
            </w:r>
            <w:r>
              <w:rPr>
                <w:rFonts w:hint="eastAsia"/>
                <w:color w:val="auto"/>
                <w:kern w:val="0"/>
                <w:sz w:val="24"/>
                <w:szCs w:val="24"/>
                <w:lang w:eastAsia="zh-CN"/>
              </w:rPr>
              <w:t>（</w:t>
            </w:r>
            <w:r>
              <w:rPr>
                <w:rFonts w:hint="eastAsia"/>
                <w:color w:val="auto"/>
                <w:kern w:val="0"/>
                <w:sz w:val="24"/>
                <w:szCs w:val="24"/>
                <w:lang w:val="en-US" w:eastAsia="zh-CN"/>
              </w:rPr>
              <w:t>4</w:t>
            </w:r>
            <w:r>
              <w:rPr>
                <w:rFonts w:hint="eastAsia"/>
                <w:color w:val="auto"/>
                <w:kern w:val="0"/>
                <w:sz w:val="24"/>
                <w:szCs w:val="24"/>
                <w:lang w:eastAsia="zh-CN"/>
              </w:rPr>
              <w:t>）</w:t>
            </w:r>
            <w:r>
              <w:rPr>
                <w:color w:val="auto"/>
                <w:kern w:val="0"/>
                <w:sz w:val="24"/>
                <w:szCs w:val="24"/>
              </w:rPr>
              <w:t>负责水源地应急预案的日常管理，开展预案培训和演练、应急救援队伍建设和能力评估等工作；</w:t>
            </w:r>
          </w:p>
          <w:p>
            <w:pPr>
              <w:spacing w:line="360" w:lineRule="auto"/>
              <w:ind w:firstLine="0" w:firstLineChars="0"/>
              <w:rPr>
                <w:color w:val="auto"/>
                <w:sz w:val="24"/>
                <w:szCs w:val="24"/>
              </w:rPr>
            </w:pPr>
            <w:r>
              <w:rPr>
                <w:color w:val="auto"/>
                <w:kern w:val="0"/>
                <w:sz w:val="24"/>
                <w:szCs w:val="24"/>
              </w:rPr>
              <w:t>（</w:t>
            </w:r>
            <w:r>
              <w:rPr>
                <w:rFonts w:hint="eastAsia"/>
                <w:color w:val="auto"/>
                <w:kern w:val="0"/>
                <w:sz w:val="24"/>
                <w:szCs w:val="24"/>
                <w:lang w:val="en-US" w:eastAsia="zh-CN"/>
              </w:rPr>
              <w:t>5</w:t>
            </w:r>
            <w:r>
              <w:rPr>
                <w:color w:val="auto"/>
                <w:kern w:val="0"/>
                <w:sz w:val="24"/>
                <w:szCs w:val="24"/>
              </w:rPr>
              <w:t>）组织开展水源地</w:t>
            </w:r>
            <w:r>
              <w:rPr>
                <w:rFonts w:hint="eastAsia"/>
                <w:color w:val="auto"/>
                <w:kern w:val="0"/>
                <w:sz w:val="24"/>
                <w:szCs w:val="24"/>
                <w:lang w:eastAsia="zh-CN"/>
              </w:rPr>
              <w:t>突发生态环境事件</w:t>
            </w:r>
            <w:r>
              <w:rPr>
                <w:color w:val="auto"/>
                <w:kern w:val="0"/>
                <w:sz w:val="24"/>
                <w:szCs w:val="24"/>
              </w:rPr>
              <w:t>风险防范和应急准备工作。</w:t>
            </w:r>
          </w:p>
        </w:tc>
        <w:tc>
          <w:tcPr>
            <w:tcW w:w="6401" w:type="dxa"/>
            <w:vAlign w:val="center"/>
          </w:tcPr>
          <w:p>
            <w:pPr>
              <w:spacing w:line="360" w:lineRule="auto"/>
              <w:ind w:firstLine="0" w:firstLineChars="0"/>
              <w:rPr>
                <w:color w:val="auto"/>
                <w:sz w:val="24"/>
                <w:szCs w:val="24"/>
              </w:rPr>
            </w:pPr>
            <w:r>
              <w:rPr>
                <w:color w:val="auto"/>
                <w:kern w:val="0"/>
                <w:sz w:val="24"/>
                <w:szCs w:val="24"/>
              </w:rPr>
              <w:t>（1）贯彻执行总指挥、副总指挥的各项指令和要求；</w:t>
            </w:r>
          </w:p>
          <w:p>
            <w:pPr>
              <w:spacing w:line="360" w:lineRule="auto"/>
              <w:ind w:firstLine="0" w:firstLineChars="0"/>
              <w:rPr>
                <w:color w:val="auto"/>
                <w:sz w:val="24"/>
                <w:szCs w:val="24"/>
              </w:rPr>
            </w:pPr>
            <w:r>
              <w:rPr>
                <w:color w:val="auto"/>
                <w:kern w:val="0"/>
                <w:sz w:val="24"/>
                <w:szCs w:val="24"/>
              </w:rPr>
              <w:t>（2）负责信息汇总上报，并与有关的外部应急部门、组织和机构进行联络</w:t>
            </w:r>
            <w:r>
              <w:rPr>
                <w:rFonts w:hint="eastAsia"/>
                <w:color w:val="auto"/>
                <w:kern w:val="0"/>
                <w:sz w:val="24"/>
                <w:szCs w:val="24"/>
              </w:rPr>
              <w:t>，其中，当</w:t>
            </w:r>
            <w:r>
              <w:rPr>
                <w:rFonts w:hint="eastAsia"/>
                <w:color w:val="auto"/>
                <w:kern w:val="0"/>
                <w:sz w:val="24"/>
                <w:szCs w:val="24"/>
                <w:lang w:eastAsia="zh-CN"/>
              </w:rPr>
              <w:t>清新</w:t>
            </w:r>
            <w:r>
              <w:rPr>
                <w:rFonts w:hint="eastAsia"/>
                <w:color w:val="auto"/>
                <w:kern w:val="0"/>
                <w:sz w:val="24"/>
                <w:szCs w:val="24"/>
              </w:rPr>
              <w:t>区辖区内水源地发生</w:t>
            </w:r>
            <w:r>
              <w:rPr>
                <w:rFonts w:hint="eastAsia"/>
                <w:color w:val="auto"/>
                <w:kern w:val="0"/>
                <w:sz w:val="24"/>
                <w:szCs w:val="24"/>
                <w:lang w:eastAsia="zh-CN"/>
              </w:rPr>
              <w:t>突发生态环境事件</w:t>
            </w:r>
            <w:r>
              <w:rPr>
                <w:rFonts w:hint="eastAsia"/>
                <w:color w:val="auto"/>
                <w:kern w:val="0"/>
                <w:sz w:val="24"/>
                <w:szCs w:val="24"/>
              </w:rPr>
              <w:t>，协助总指挥与</w:t>
            </w:r>
            <w:r>
              <w:rPr>
                <w:rFonts w:hint="eastAsia"/>
                <w:color w:val="auto"/>
                <w:kern w:val="0"/>
                <w:sz w:val="24"/>
                <w:szCs w:val="24"/>
                <w:lang w:eastAsia="zh-CN"/>
              </w:rPr>
              <w:t>清新</w:t>
            </w:r>
            <w:r>
              <w:rPr>
                <w:rFonts w:hint="eastAsia"/>
                <w:color w:val="auto"/>
                <w:kern w:val="0"/>
                <w:sz w:val="24"/>
                <w:szCs w:val="24"/>
              </w:rPr>
              <w:t>区有关部门协调，配合完成应急处置事宜</w:t>
            </w:r>
            <w:r>
              <w:rPr>
                <w:color w:val="auto"/>
                <w:kern w:val="0"/>
                <w:sz w:val="24"/>
                <w:szCs w:val="24"/>
              </w:rPr>
              <w:t>；</w:t>
            </w:r>
          </w:p>
          <w:p>
            <w:pPr>
              <w:spacing w:line="360" w:lineRule="auto"/>
              <w:ind w:firstLine="0" w:firstLineChars="0"/>
              <w:rPr>
                <w:color w:val="auto"/>
                <w:sz w:val="24"/>
                <w:szCs w:val="24"/>
              </w:rPr>
            </w:pPr>
            <w:r>
              <w:rPr>
                <w:color w:val="auto"/>
                <w:kern w:val="0"/>
                <w:sz w:val="24"/>
                <w:szCs w:val="24"/>
              </w:rPr>
              <w:t>（3）负责调动应急人员、调配应急资源和联络外部应急组织或机构；</w:t>
            </w:r>
          </w:p>
          <w:p>
            <w:pPr>
              <w:spacing w:line="360" w:lineRule="auto"/>
              <w:ind w:firstLine="0" w:firstLineChars="0"/>
              <w:rPr>
                <w:color w:val="auto"/>
                <w:sz w:val="24"/>
                <w:szCs w:val="24"/>
              </w:rPr>
            </w:pPr>
            <w:r>
              <w:rPr>
                <w:color w:val="auto"/>
                <w:kern w:val="0"/>
                <w:sz w:val="24"/>
                <w:szCs w:val="24"/>
              </w:rPr>
              <w:t>（4）收集整理有关事件数据。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restart"/>
            <w:vAlign w:val="center"/>
          </w:tcPr>
          <w:p>
            <w:pPr>
              <w:spacing w:line="360" w:lineRule="auto"/>
              <w:ind w:firstLine="0" w:firstLineChars="0"/>
              <w:jc w:val="center"/>
              <w:rPr>
                <w:color w:val="auto"/>
                <w:kern w:val="0"/>
                <w:sz w:val="24"/>
                <w:szCs w:val="24"/>
                <w:lang w:val="zh-CN"/>
              </w:rPr>
            </w:pPr>
            <w:r>
              <w:rPr>
                <w:color w:val="auto"/>
                <w:kern w:val="0"/>
                <w:sz w:val="24"/>
                <w:szCs w:val="24"/>
                <w:lang w:val="zh-CN"/>
              </w:rPr>
              <w:t>成员</w:t>
            </w:r>
          </w:p>
          <w:p>
            <w:pPr>
              <w:spacing w:line="360" w:lineRule="auto"/>
              <w:ind w:firstLine="0" w:firstLineChars="0"/>
              <w:jc w:val="center"/>
              <w:rPr>
                <w:color w:val="auto"/>
                <w:kern w:val="0"/>
                <w:sz w:val="24"/>
                <w:szCs w:val="24"/>
                <w:lang w:val="zh-CN"/>
              </w:rPr>
            </w:pPr>
            <w:r>
              <w:rPr>
                <w:color w:val="auto"/>
                <w:kern w:val="0"/>
                <w:sz w:val="24"/>
                <w:szCs w:val="24"/>
                <w:lang w:val="zh-CN"/>
              </w:rPr>
              <w:t>单位</w:t>
            </w: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区委宣传部</w:t>
            </w:r>
          </w:p>
        </w:tc>
        <w:tc>
          <w:tcPr>
            <w:tcW w:w="4465" w:type="dxa"/>
            <w:vAlign w:val="center"/>
          </w:tcPr>
          <w:p>
            <w:pPr>
              <w:spacing w:line="360" w:lineRule="auto"/>
              <w:ind w:firstLine="0" w:firstLineChars="0"/>
              <w:jc w:val="center"/>
              <w:rPr>
                <w:color w:val="auto"/>
                <w:kern w:val="0"/>
                <w:sz w:val="24"/>
                <w:szCs w:val="24"/>
              </w:rPr>
            </w:pPr>
            <w:r>
              <w:rPr>
                <w:color w:val="auto"/>
                <w:kern w:val="0"/>
                <w:sz w:val="24"/>
                <w:szCs w:val="24"/>
              </w:rPr>
              <w:t>/</w:t>
            </w:r>
          </w:p>
        </w:tc>
        <w:tc>
          <w:tcPr>
            <w:tcW w:w="6401" w:type="dxa"/>
            <w:vAlign w:val="center"/>
          </w:tcPr>
          <w:p>
            <w:pPr>
              <w:spacing w:line="360" w:lineRule="auto"/>
              <w:ind w:firstLine="0" w:firstLineChars="0"/>
              <w:rPr>
                <w:color w:val="auto"/>
                <w:sz w:val="24"/>
                <w:szCs w:val="24"/>
              </w:rPr>
            </w:pPr>
            <w:r>
              <w:rPr>
                <w:color w:val="auto"/>
                <w:kern w:val="0"/>
                <w:sz w:val="24"/>
                <w:szCs w:val="24"/>
              </w:rPr>
              <w:t>（1）组织水源地</w:t>
            </w:r>
            <w:r>
              <w:rPr>
                <w:rFonts w:hint="eastAsia"/>
                <w:color w:val="auto"/>
                <w:kern w:val="0"/>
                <w:sz w:val="24"/>
                <w:szCs w:val="24"/>
                <w:lang w:eastAsia="zh-CN"/>
              </w:rPr>
              <w:t>突发生态环境事件</w:t>
            </w:r>
            <w:r>
              <w:rPr>
                <w:color w:val="auto"/>
                <w:kern w:val="0"/>
                <w:sz w:val="24"/>
                <w:szCs w:val="24"/>
              </w:rPr>
              <w:t>应急处置相关信息发布、报道及相关舆论引导工作；</w:t>
            </w:r>
          </w:p>
          <w:p>
            <w:pPr>
              <w:spacing w:line="360" w:lineRule="auto"/>
              <w:ind w:firstLine="0" w:firstLineChars="0"/>
              <w:rPr>
                <w:color w:val="auto"/>
                <w:sz w:val="24"/>
                <w:szCs w:val="24"/>
              </w:rPr>
            </w:pPr>
            <w:r>
              <w:rPr>
                <w:color w:val="auto"/>
                <w:kern w:val="0"/>
                <w:sz w:val="24"/>
                <w:szCs w:val="24"/>
              </w:rPr>
              <w:t>（2）协调解决新闻发布和报道中出现的问题。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区发展和改革局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负责将全区环境应急救援体系建设纳入</w:t>
            </w:r>
            <w:r>
              <w:rPr>
                <w:rFonts w:hint="eastAsia"/>
                <w:color w:val="auto"/>
                <w:kern w:val="0"/>
                <w:sz w:val="24"/>
                <w:szCs w:val="24"/>
                <w:lang w:eastAsia="zh-CN"/>
              </w:rPr>
              <w:t>国民经济和社会发展</w:t>
            </w:r>
            <w:r>
              <w:rPr>
                <w:color w:val="auto"/>
                <w:kern w:val="0"/>
                <w:sz w:val="24"/>
                <w:szCs w:val="24"/>
              </w:rPr>
              <w:t>规划。</w:t>
            </w:r>
          </w:p>
        </w:tc>
        <w:tc>
          <w:tcPr>
            <w:tcW w:w="6401" w:type="dxa"/>
            <w:vAlign w:val="center"/>
          </w:tcPr>
          <w:p>
            <w:pPr>
              <w:spacing w:line="360" w:lineRule="auto"/>
              <w:ind w:firstLine="0" w:firstLineChars="0"/>
              <w:rPr>
                <w:color w:val="auto"/>
                <w:kern w:val="0"/>
                <w:sz w:val="24"/>
                <w:szCs w:val="24"/>
              </w:rPr>
            </w:pPr>
            <w:r>
              <w:rPr>
                <w:color w:val="auto"/>
                <w:kern w:val="0"/>
                <w:sz w:val="24"/>
                <w:szCs w:val="24"/>
              </w:rPr>
              <w:t>负责协调和督促各成员单位做好物资储备和调运工作。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rFonts w:hint="eastAsia"/>
                <w:color w:val="auto"/>
                <w:kern w:val="0"/>
                <w:sz w:val="24"/>
                <w:szCs w:val="24"/>
                <w:lang w:val="en-US" w:eastAsia="zh-CN"/>
              </w:rPr>
              <w:t>清远</w:t>
            </w:r>
            <w:r>
              <w:rPr>
                <w:color w:val="auto"/>
                <w:kern w:val="0"/>
                <w:sz w:val="24"/>
                <w:szCs w:val="24"/>
                <w:lang w:val="zh-CN"/>
              </w:rPr>
              <w:t>市公安局清新分局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负责指导做好剧毒化学品的贮存、运输等工作。</w:t>
            </w:r>
          </w:p>
        </w:tc>
        <w:tc>
          <w:tcPr>
            <w:tcW w:w="6401" w:type="dxa"/>
            <w:vAlign w:val="center"/>
          </w:tcPr>
          <w:p>
            <w:pPr>
              <w:spacing w:line="360" w:lineRule="auto"/>
              <w:ind w:firstLine="0" w:firstLineChars="0"/>
              <w:rPr>
                <w:color w:val="auto"/>
                <w:kern w:val="0"/>
                <w:sz w:val="24"/>
                <w:szCs w:val="24"/>
              </w:rPr>
            </w:pPr>
            <w:r>
              <w:rPr>
                <w:color w:val="auto"/>
                <w:kern w:val="0"/>
                <w:sz w:val="24"/>
                <w:szCs w:val="24"/>
              </w:rPr>
              <w:t>（1）查处导致水源地</w:t>
            </w:r>
            <w:r>
              <w:rPr>
                <w:rFonts w:hint="eastAsia"/>
                <w:color w:val="auto"/>
                <w:kern w:val="0"/>
                <w:sz w:val="24"/>
                <w:szCs w:val="24"/>
                <w:lang w:eastAsia="zh-CN"/>
              </w:rPr>
              <w:t>突发生态环境事件</w:t>
            </w:r>
            <w:r>
              <w:rPr>
                <w:color w:val="auto"/>
                <w:kern w:val="0"/>
                <w:sz w:val="24"/>
                <w:szCs w:val="24"/>
              </w:rPr>
              <w:t>的违法犯罪行为；</w:t>
            </w:r>
          </w:p>
          <w:p>
            <w:pPr>
              <w:spacing w:line="360" w:lineRule="auto"/>
              <w:ind w:firstLine="0" w:firstLineChars="0"/>
              <w:rPr>
                <w:color w:val="auto"/>
                <w:kern w:val="0"/>
                <w:sz w:val="24"/>
                <w:szCs w:val="24"/>
              </w:rPr>
            </w:pPr>
            <w:r>
              <w:rPr>
                <w:color w:val="auto"/>
                <w:kern w:val="0"/>
                <w:sz w:val="24"/>
                <w:szCs w:val="24"/>
              </w:rPr>
              <w:t>（2）负责维护水源地应急抢险现场治安和交通秩序，打击阻挠水源地应急抢险的违法犯罪活动</w:t>
            </w:r>
            <w:r>
              <w:rPr>
                <w:rFonts w:hint="eastAsia"/>
                <w:color w:val="auto"/>
                <w:kern w:val="0"/>
                <w:sz w:val="24"/>
                <w:szCs w:val="24"/>
              </w:rPr>
              <w:t>；</w:t>
            </w:r>
          </w:p>
          <w:p>
            <w:pPr>
              <w:spacing w:line="360" w:lineRule="auto"/>
              <w:ind w:firstLine="0" w:firstLineChars="0"/>
              <w:rPr>
                <w:color w:val="auto"/>
                <w:kern w:val="0"/>
                <w:sz w:val="24"/>
                <w:szCs w:val="24"/>
              </w:rPr>
            </w:pPr>
            <w:r>
              <w:rPr>
                <w:color w:val="auto"/>
                <w:kern w:val="0"/>
                <w:sz w:val="24"/>
                <w:szCs w:val="24"/>
              </w:rPr>
              <w:t>（3）维护事发地治安秩序和社会稳定；</w:t>
            </w:r>
          </w:p>
          <w:p>
            <w:pPr>
              <w:spacing w:line="360" w:lineRule="auto"/>
              <w:ind w:firstLine="0" w:firstLineChars="0"/>
              <w:rPr>
                <w:color w:val="auto"/>
                <w:kern w:val="0"/>
                <w:sz w:val="24"/>
                <w:szCs w:val="24"/>
              </w:rPr>
            </w:pPr>
            <w:r>
              <w:rPr>
                <w:color w:val="auto"/>
                <w:kern w:val="0"/>
                <w:sz w:val="24"/>
                <w:szCs w:val="24"/>
              </w:rPr>
              <w:t>（4）参与水源地</w:t>
            </w:r>
            <w:r>
              <w:rPr>
                <w:rFonts w:hint="eastAsia"/>
                <w:color w:val="auto"/>
                <w:kern w:val="0"/>
                <w:sz w:val="24"/>
                <w:szCs w:val="24"/>
                <w:lang w:eastAsia="zh-CN"/>
              </w:rPr>
              <w:t>突发生态环境事件</w:t>
            </w:r>
            <w:r>
              <w:rPr>
                <w:color w:val="auto"/>
                <w:kern w:val="0"/>
                <w:sz w:val="24"/>
                <w:szCs w:val="24"/>
              </w:rPr>
              <w:t>调查处理。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区工业和信息化局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负责全区应急信息网络基础设施建设、协调和管理。</w:t>
            </w:r>
          </w:p>
        </w:tc>
        <w:tc>
          <w:tcPr>
            <w:tcW w:w="6401" w:type="dxa"/>
            <w:vAlign w:val="center"/>
          </w:tcPr>
          <w:p>
            <w:pPr>
              <w:numPr>
                <w:ilvl w:val="0"/>
                <w:numId w:val="5"/>
              </w:numPr>
              <w:spacing w:line="360" w:lineRule="auto"/>
              <w:ind w:firstLine="0" w:firstLineChars="0"/>
              <w:rPr>
                <w:color w:val="auto"/>
                <w:kern w:val="0"/>
                <w:sz w:val="24"/>
                <w:szCs w:val="24"/>
              </w:rPr>
            </w:pPr>
            <w:r>
              <w:rPr>
                <w:color w:val="auto"/>
                <w:kern w:val="0"/>
                <w:sz w:val="24"/>
                <w:szCs w:val="24"/>
              </w:rPr>
              <w:t>有效监测、及时控制和消除</w:t>
            </w:r>
            <w:r>
              <w:rPr>
                <w:rFonts w:hint="eastAsia"/>
                <w:color w:val="auto"/>
                <w:kern w:val="0"/>
                <w:sz w:val="24"/>
                <w:szCs w:val="24"/>
                <w:lang w:eastAsia="zh-CN"/>
              </w:rPr>
              <w:t>突发生态环境事件</w:t>
            </w:r>
            <w:r>
              <w:rPr>
                <w:color w:val="auto"/>
                <w:kern w:val="0"/>
                <w:sz w:val="24"/>
                <w:szCs w:val="24"/>
              </w:rPr>
              <w:t>引发的生活必需品市场异常波动</w:t>
            </w:r>
            <w:r>
              <w:rPr>
                <w:rFonts w:hint="eastAsia"/>
                <w:color w:val="auto"/>
                <w:kern w:val="0"/>
                <w:sz w:val="24"/>
                <w:szCs w:val="24"/>
                <w:lang w:eastAsia="zh-CN"/>
              </w:rPr>
              <w:t>；</w:t>
            </w:r>
          </w:p>
          <w:p>
            <w:pPr>
              <w:numPr>
                <w:ilvl w:val="0"/>
                <w:numId w:val="5"/>
              </w:numPr>
              <w:spacing w:line="360" w:lineRule="auto"/>
              <w:ind w:firstLine="0" w:firstLineChars="0"/>
              <w:rPr>
                <w:color w:val="auto"/>
                <w:kern w:val="0"/>
                <w:sz w:val="24"/>
                <w:szCs w:val="24"/>
              </w:rPr>
            </w:pPr>
            <w:r>
              <w:rPr>
                <w:rFonts w:hint="eastAsia"/>
                <w:color w:val="auto"/>
                <w:kern w:val="0"/>
                <w:sz w:val="24"/>
                <w:szCs w:val="24"/>
                <w:lang w:val="en-US" w:eastAsia="zh-CN"/>
              </w:rPr>
              <w:t xml:space="preserve">负责应急期间的通信保障。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区民政局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指导依法登记的公益慈善类社会组织接受和管理社会各界捐赠。</w:t>
            </w:r>
          </w:p>
        </w:tc>
        <w:tc>
          <w:tcPr>
            <w:tcW w:w="6401" w:type="dxa"/>
            <w:vAlign w:val="center"/>
          </w:tcPr>
          <w:p>
            <w:pPr>
              <w:spacing w:line="360" w:lineRule="auto"/>
              <w:ind w:firstLine="0" w:firstLineChars="0"/>
              <w:rPr>
                <w:color w:val="auto"/>
                <w:kern w:val="0"/>
                <w:sz w:val="24"/>
                <w:szCs w:val="24"/>
              </w:rPr>
            </w:pPr>
            <w:r>
              <w:rPr>
                <w:color w:val="auto"/>
                <w:kern w:val="0"/>
                <w:sz w:val="24"/>
                <w:szCs w:val="24"/>
              </w:rPr>
              <w:t>指导依法登记的公益慈善类社会组织接受和管理社会各界捐赠。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区司法局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（1）负责将涉及水源地</w:t>
            </w:r>
            <w:r>
              <w:rPr>
                <w:rFonts w:hint="eastAsia"/>
                <w:color w:val="auto"/>
                <w:kern w:val="0"/>
                <w:sz w:val="24"/>
                <w:szCs w:val="24"/>
                <w:lang w:eastAsia="zh-CN"/>
              </w:rPr>
              <w:t>突发生态环境事件</w:t>
            </w:r>
            <w:r>
              <w:rPr>
                <w:color w:val="auto"/>
                <w:kern w:val="0"/>
                <w:sz w:val="24"/>
                <w:szCs w:val="24"/>
              </w:rPr>
              <w:t>应对纳入公民普法的重要内容；</w:t>
            </w:r>
          </w:p>
          <w:p>
            <w:pPr>
              <w:spacing w:line="360" w:lineRule="auto"/>
              <w:ind w:firstLine="0" w:firstLineChars="0"/>
              <w:rPr>
                <w:color w:val="auto"/>
                <w:kern w:val="0"/>
                <w:sz w:val="24"/>
                <w:szCs w:val="24"/>
              </w:rPr>
            </w:pPr>
            <w:r>
              <w:rPr>
                <w:color w:val="auto"/>
                <w:kern w:val="0"/>
                <w:sz w:val="24"/>
                <w:szCs w:val="24"/>
              </w:rPr>
              <w:t>（2）会同有关部门广泛宣传相关法律知识。</w:t>
            </w:r>
          </w:p>
        </w:tc>
        <w:tc>
          <w:tcPr>
            <w:tcW w:w="6401" w:type="dxa"/>
            <w:vAlign w:val="center"/>
          </w:tcPr>
          <w:p>
            <w:pPr>
              <w:spacing w:line="360" w:lineRule="auto"/>
              <w:ind w:firstLine="0" w:firstLineChars="0"/>
              <w:jc w:val="both"/>
              <w:rPr>
                <w:color w:val="auto"/>
                <w:kern w:val="0"/>
                <w:sz w:val="24"/>
                <w:szCs w:val="24"/>
              </w:rPr>
            </w:pPr>
            <w:r>
              <w:rPr>
                <w:color w:val="auto"/>
                <w:kern w:val="0"/>
                <w:sz w:val="24"/>
                <w:szCs w:val="24"/>
              </w:rPr>
              <w:t>协助区委宣传部开展新闻宣传相关工作。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区财政局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负责保障本级水源地</w:t>
            </w:r>
            <w:r>
              <w:rPr>
                <w:rFonts w:hint="eastAsia"/>
                <w:color w:val="auto"/>
                <w:kern w:val="0"/>
                <w:sz w:val="24"/>
                <w:szCs w:val="24"/>
                <w:lang w:eastAsia="zh-CN"/>
              </w:rPr>
              <w:t>突发生态环境事件</w:t>
            </w:r>
            <w:r>
              <w:rPr>
                <w:color w:val="auto"/>
                <w:kern w:val="0"/>
                <w:sz w:val="24"/>
                <w:szCs w:val="24"/>
              </w:rPr>
              <w:t>应急经费（包括应急演练、应急物资储备、应急器材购置与维护、应急培训、抢险救援等经费）。</w:t>
            </w:r>
          </w:p>
        </w:tc>
        <w:tc>
          <w:tcPr>
            <w:tcW w:w="6401" w:type="dxa"/>
            <w:vAlign w:val="center"/>
          </w:tcPr>
          <w:p>
            <w:pPr>
              <w:spacing w:line="360" w:lineRule="auto"/>
              <w:ind w:firstLine="0" w:firstLineChars="0"/>
              <w:rPr>
                <w:color w:val="auto"/>
                <w:kern w:val="0"/>
                <w:sz w:val="24"/>
                <w:szCs w:val="24"/>
              </w:rPr>
            </w:pPr>
            <w:r>
              <w:rPr>
                <w:color w:val="auto"/>
                <w:kern w:val="0"/>
                <w:sz w:val="24"/>
                <w:szCs w:val="24"/>
              </w:rPr>
              <w:t>负责保障本级水源地</w:t>
            </w:r>
            <w:r>
              <w:rPr>
                <w:rFonts w:hint="eastAsia"/>
                <w:color w:val="auto"/>
                <w:kern w:val="0"/>
                <w:sz w:val="24"/>
                <w:szCs w:val="24"/>
                <w:lang w:eastAsia="zh-CN"/>
              </w:rPr>
              <w:t>突发生态环境事件</w:t>
            </w:r>
            <w:r>
              <w:rPr>
                <w:color w:val="auto"/>
                <w:kern w:val="0"/>
                <w:sz w:val="24"/>
                <w:szCs w:val="24"/>
              </w:rPr>
              <w:t>应急处置期间的费用。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rFonts w:hint="eastAsia"/>
                <w:color w:val="auto"/>
                <w:kern w:val="0"/>
                <w:sz w:val="24"/>
                <w:szCs w:val="24"/>
                <w:lang w:val="en-US" w:eastAsia="zh-CN"/>
              </w:rPr>
              <w:t>清远</w:t>
            </w:r>
            <w:r>
              <w:rPr>
                <w:color w:val="auto"/>
                <w:kern w:val="0"/>
                <w:sz w:val="24"/>
                <w:szCs w:val="24"/>
                <w:lang w:val="zh-CN"/>
              </w:rPr>
              <w:t>市自然资源局清新分局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规划、建设和管理适用于水源地</w:t>
            </w:r>
            <w:r>
              <w:rPr>
                <w:rFonts w:hint="eastAsia"/>
                <w:color w:val="auto"/>
                <w:kern w:val="0"/>
                <w:sz w:val="24"/>
                <w:szCs w:val="24"/>
                <w:lang w:eastAsia="zh-CN"/>
              </w:rPr>
              <w:t>突发生态环境事件</w:t>
            </w:r>
            <w:r>
              <w:rPr>
                <w:color w:val="auto"/>
                <w:kern w:val="0"/>
                <w:sz w:val="24"/>
                <w:szCs w:val="24"/>
              </w:rPr>
              <w:t>应急处置的场地。</w:t>
            </w:r>
          </w:p>
        </w:tc>
        <w:tc>
          <w:tcPr>
            <w:tcW w:w="6401" w:type="dxa"/>
            <w:vAlign w:val="center"/>
          </w:tcPr>
          <w:p>
            <w:pPr>
              <w:spacing w:line="360" w:lineRule="auto"/>
              <w:ind w:firstLine="0" w:firstLineChars="0"/>
              <w:rPr>
                <w:color w:val="auto"/>
                <w:kern w:val="0"/>
                <w:sz w:val="24"/>
                <w:szCs w:val="24"/>
              </w:rPr>
            </w:pPr>
            <w:r>
              <w:rPr>
                <w:color w:val="auto"/>
                <w:kern w:val="0"/>
                <w:sz w:val="24"/>
                <w:szCs w:val="24"/>
              </w:rPr>
              <w:t>（1）负责保障水源地</w:t>
            </w:r>
            <w:r>
              <w:rPr>
                <w:rFonts w:hint="eastAsia"/>
                <w:color w:val="auto"/>
                <w:kern w:val="0"/>
                <w:sz w:val="24"/>
                <w:szCs w:val="24"/>
                <w:lang w:eastAsia="zh-CN"/>
              </w:rPr>
              <w:t>突发生态环境事件</w:t>
            </w:r>
            <w:r>
              <w:rPr>
                <w:color w:val="auto"/>
                <w:kern w:val="0"/>
                <w:sz w:val="24"/>
                <w:szCs w:val="24"/>
              </w:rPr>
              <w:t>应急处置的场地；</w:t>
            </w:r>
          </w:p>
          <w:p>
            <w:pPr>
              <w:spacing w:line="360" w:lineRule="auto"/>
              <w:ind w:firstLine="0" w:firstLineChars="0"/>
              <w:rPr>
                <w:color w:val="auto"/>
                <w:kern w:val="0"/>
                <w:sz w:val="24"/>
                <w:szCs w:val="24"/>
              </w:rPr>
            </w:pPr>
            <w:r>
              <w:rPr>
                <w:color w:val="auto"/>
                <w:kern w:val="0"/>
                <w:sz w:val="24"/>
                <w:szCs w:val="24"/>
              </w:rPr>
              <w:t>（2）配合做好地质灾害造成的水源地</w:t>
            </w:r>
            <w:r>
              <w:rPr>
                <w:rFonts w:hint="eastAsia"/>
                <w:color w:val="auto"/>
                <w:kern w:val="0"/>
                <w:sz w:val="24"/>
                <w:szCs w:val="24"/>
                <w:lang w:eastAsia="zh-CN"/>
              </w:rPr>
              <w:t>突发生态环境事件</w:t>
            </w:r>
            <w:r>
              <w:rPr>
                <w:color w:val="auto"/>
                <w:kern w:val="0"/>
                <w:sz w:val="24"/>
                <w:szCs w:val="24"/>
              </w:rPr>
              <w:t>应急处置技术支撑工作。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rFonts w:hint="eastAsia"/>
                <w:color w:val="auto"/>
                <w:kern w:val="0"/>
                <w:sz w:val="24"/>
                <w:szCs w:val="24"/>
                <w:lang w:val="en-US" w:eastAsia="zh-CN"/>
              </w:rPr>
              <w:t>清远</w:t>
            </w:r>
            <w:r>
              <w:rPr>
                <w:color w:val="auto"/>
                <w:kern w:val="0"/>
                <w:sz w:val="24"/>
                <w:szCs w:val="24"/>
                <w:lang w:val="zh-CN"/>
              </w:rPr>
              <w:t>生态环境局清新分局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（1）负责水源地日常监测，及时上报并通报水源地水质异常信息；</w:t>
            </w:r>
          </w:p>
          <w:p>
            <w:pPr>
              <w:spacing w:line="360" w:lineRule="auto"/>
              <w:ind w:firstLine="0" w:firstLineChars="0"/>
              <w:rPr>
                <w:color w:val="auto"/>
                <w:kern w:val="0"/>
                <w:sz w:val="24"/>
                <w:szCs w:val="24"/>
              </w:rPr>
            </w:pPr>
            <w:r>
              <w:rPr>
                <w:color w:val="auto"/>
                <w:kern w:val="0"/>
                <w:sz w:val="24"/>
                <w:szCs w:val="24"/>
              </w:rPr>
              <w:t>（</w:t>
            </w:r>
            <w:r>
              <w:rPr>
                <w:rFonts w:hint="eastAsia"/>
                <w:color w:val="auto"/>
                <w:kern w:val="0"/>
                <w:sz w:val="24"/>
                <w:szCs w:val="24"/>
                <w:lang w:val="en-US" w:eastAsia="zh-CN"/>
              </w:rPr>
              <w:t>2</w:t>
            </w:r>
            <w:r>
              <w:rPr>
                <w:color w:val="auto"/>
                <w:kern w:val="0"/>
                <w:sz w:val="24"/>
                <w:szCs w:val="24"/>
              </w:rPr>
              <w:t>）开展水源地污染防治的日常监督和管理。</w:t>
            </w:r>
          </w:p>
        </w:tc>
        <w:tc>
          <w:tcPr>
            <w:tcW w:w="6401" w:type="dxa"/>
            <w:vAlign w:val="center"/>
          </w:tcPr>
          <w:p>
            <w:pPr>
              <w:spacing w:line="360" w:lineRule="auto"/>
              <w:ind w:firstLine="0" w:firstLineChars="0"/>
              <w:rPr>
                <w:color w:val="auto"/>
                <w:kern w:val="0"/>
                <w:sz w:val="24"/>
                <w:szCs w:val="24"/>
              </w:rPr>
            </w:pPr>
            <w:r>
              <w:rPr>
                <w:color w:val="auto"/>
                <w:kern w:val="0"/>
                <w:sz w:val="24"/>
                <w:szCs w:val="24"/>
              </w:rPr>
              <w:t>（1）负责对</w:t>
            </w:r>
            <w:r>
              <w:rPr>
                <w:rFonts w:hint="eastAsia"/>
                <w:color w:val="auto"/>
                <w:kern w:val="0"/>
                <w:sz w:val="24"/>
                <w:szCs w:val="24"/>
                <w:lang w:eastAsia="zh-CN"/>
              </w:rPr>
              <w:t>突发生态环境事件</w:t>
            </w:r>
            <w:r>
              <w:rPr>
                <w:color w:val="auto"/>
                <w:kern w:val="0"/>
                <w:sz w:val="24"/>
                <w:szCs w:val="24"/>
              </w:rPr>
              <w:t>的现场及周边污染源组织查处，排除环境污染事件；</w:t>
            </w:r>
          </w:p>
          <w:p>
            <w:pPr>
              <w:spacing w:line="360" w:lineRule="auto"/>
              <w:ind w:firstLine="0" w:firstLineChars="0"/>
              <w:rPr>
                <w:color w:val="auto"/>
                <w:kern w:val="0"/>
                <w:sz w:val="24"/>
                <w:szCs w:val="24"/>
              </w:rPr>
            </w:pPr>
            <w:r>
              <w:rPr>
                <w:color w:val="auto"/>
                <w:kern w:val="0"/>
                <w:sz w:val="24"/>
                <w:szCs w:val="24"/>
              </w:rPr>
              <w:t>（2）负责</w:t>
            </w:r>
            <w:r>
              <w:rPr>
                <w:rFonts w:hint="eastAsia"/>
                <w:color w:val="auto"/>
                <w:kern w:val="0"/>
                <w:sz w:val="24"/>
                <w:szCs w:val="24"/>
                <w:lang w:eastAsia="zh-CN"/>
              </w:rPr>
              <w:t>突发生态环境事件</w:t>
            </w:r>
            <w:r>
              <w:rPr>
                <w:color w:val="auto"/>
                <w:kern w:val="0"/>
                <w:sz w:val="24"/>
                <w:szCs w:val="24"/>
              </w:rPr>
              <w:t>的应急监测及排除后的跟踪监测，提出消除污染物的处置建议；</w:t>
            </w:r>
          </w:p>
          <w:p>
            <w:pPr>
              <w:spacing w:line="360" w:lineRule="auto"/>
              <w:ind w:firstLine="0" w:firstLineChars="0"/>
              <w:rPr>
                <w:color w:val="auto"/>
                <w:kern w:val="0"/>
                <w:sz w:val="24"/>
                <w:szCs w:val="24"/>
              </w:rPr>
            </w:pPr>
            <w:r>
              <w:rPr>
                <w:color w:val="auto"/>
                <w:kern w:val="0"/>
                <w:sz w:val="24"/>
                <w:szCs w:val="24"/>
              </w:rPr>
              <w:t>（3）</w:t>
            </w:r>
            <w:r>
              <w:rPr>
                <w:rFonts w:hint="eastAsia"/>
                <w:color w:val="auto"/>
                <w:kern w:val="0"/>
                <w:sz w:val="24"/>
                <w:szCs w:val="24"/>
                <w:lang w:eastAsia="zh-CN"/>
              </w:rPr>
              <w:t>突发生态环境事件</w:t>
            </w:r>
            <w:r>
              <w:rPr>
                <w:color w:val="auto"/>
                <w:kern w:val="0"/>
                <w:sz w:val="24"/>
                <w:szCs w:val="24"/>
              </w:rPr>
              <w:t>现场的调查、取证、立案、办案和污染事故案件上报的处理和反馈；</w:t>
            </w:r>
          </w:p>
          <w:p>
            <w:pPr>
              <w:spacing w:line="360" w:lineRule="auto"/>
              <w:ind w:firstLine="0" w:firstLineChars="0"/>
              <w:rPr>
                <w:color w:val="auto"/>
                <w:kern w:val="0"/>
                <w:sz w:val="24"/>
                <w:szCs w:val="24"/>
              </w:rPr>
            </w:pPr>
            <w:r>
              <w:rPr>
                <w:color w:val="auto"/>
                <w:kern w:val="0"/>
                <w:sz w:val="24"/>
                <w:szCs w:val="24"/>
              </w:rPr>
              <w:t>（4）督促、指导有关部门和单位开展水源地污染物削减处置等工作。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区住房和城乡建设局</w:t>
            </w:r>
          </w:p>
        </w:tc>
        <w:tc>
          <w:tcPr>
            <w:tcW w:w="4465" w:type="dxa"/>
            <w:vAlign w:val="center"/>
          </w:tcPr>
          <w:p>
            <w:pPr>
              <w:spacing w:line="360" w:lineRule="auto"/>
              <w:ind w:firstLine="0" w:firstLineChars="0"/>
              <w:rPr>
                <w:color w:val="auto"/>
                <w:kern w:val="0"/>
                <w:sz w:val="24"/>
                <w:szCs w:val="24"/>
              </w:rPr>
            </w:pPr>
            <w:r>
              <w:rPr>
                <w:rFonts w:hint="eastAsia"/>
                <w:color w:val="auto"/>
                <w:kern w:val="0"/>
                <w:sz w:val="24"/>
                <w:szCs w:val="24"/>
                <w:lang w:val="en-US" w:eastAsia="zh-CN"/>
              </w:rPr>
              <w:t>配合水利、自然资源、生态环境、城综等部门清理整顿水源保护区内已认定违章建筑，协助开展拆除及场地恢复施工工作。</w:t>
            </w:r>
          </w:p>
        </w:tc>
        <w:tc>
          <w:tcPr>
            <w:tcW w:w="6401" w:type="dxa"/>
            <w:vAlign w:val="center"/>
          </w:tcPr>
          <w:p>
            <w:pPr>
              <w:spacing w:line="360" w:lineRule="auto"/>
              <w:ind w:firstLine="0" w:firstLineChars="0"/>
              <w:rPr>
                <w:color w:val="auto"/>
                <w:kern w:val="0"/>
                <w:sz w:val="24"/>
                <w:szCs w:val="24"/>
              </w:rPr>
            </w:pPr>
            <w:r>
              <w:rPr>
                <w:color w:val="auto"/>
                <w:kern w:val="0"/>
                <w:sz w:val="24"/>
                <w:szCs w:val="24"/>
              </w:rPr>
              <w:t>（1）</w:t>
            </w:r>
            <w:r>
              <w:rPr>
                <w:rFonts w:hint="eastAsia" w:ascii="宋体" w:hAnsi="宋体" w:eastAsia="宋体" w:cs="宋体"/>
                <w:b w:val="0"/>
                <w:bCs w:val="0"/>
                <w:color w:val="000000"/>
                <w:kern w:val="0"/>
                <w:sz w:val="24"/>
                <w:szCs w:val="24"/>
                <w:lang w:val="en-US" w:eastAsia="zh-CN" w:bidi="ar"/>
              </w:rPr>
              <w:t>从建筑工程、结构安全专业角度，配合指导全区应急避护场所建设改造工作，提供技术支撑</w:t>
            </w:r>
            <w:r>
              <w:rPr>
                <w:color w:val="auto"/>
                <w:kern w:val="0"/>
                <w:sz w:val="24"/>
                <w:szCs w:val="24"/>
              </w:rPr>
              <w:t>；</w:t>
            </w:r>
          </w:p>
          <w:p>
            <w:pPr>
              <w:spacing w:line="360" w:lineRule="auto"/>
              <w:ind w:firstLine="0" w:firstLineChars="0"/>
              <w:rPr>
                <w:color w:val="auto"/>
                <w:kern w:val="0"/>
                <w:sz w:val="24"/>
                <w:szCs w:val="24"/>
              </w:rPr>
            </w:pPr>
            <w:r>
              <w:rPr>
                <w:color w:val="auto"/>
                <w:kern w:val="0"/>
                <w:sz w:val="24"/>
                <w:szCs w:val="24"/>
              </w:rPr>
              <w:t>（2）配合开展水源地</w:t>
            </w:r>
            <w:r>
              <w:rPr>
                <w:rFonts w:hint="eastAsia"/>
                <w:color w:val="auto"/>
                <w:kern w:val="0"/>
                <w:sz w:val="24"/>
                <w:szCs w:val="24"/>
                <w:lang w:eastAsia="zh-CN"/>
              </w:rPr>
              <w:t>突发生态环境事件</w:t>
            </w:r>
            <w:r>
              <w:rPr>
                <w:color w:val="auto"/>
                <w:kern w:val="0"/>
                <w:sz w:val="24"/>
                <w:szCs w:val="24"/>
              </w:rPr>
              <w:t>的应急救援工作。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区交通运输局</w:t>
            </w:r>
          </w:p>
        </w:tc>
        <w:tc>
          <w:tcPr>
            <w:tcW w:w="4465" w:type="dxa"/>
            <w:vAlign w:val="center"/>
          </w:tcPr>
          <w:p>
            <w:pPr>
              <w:spacing w:line="360" w:lineRule="auto"/>
              <w:ind w:firstLine="0" w:firstLineChars="0"/>
              <w:rPr>
                <w:color w:val="auto"/>
                <w:kern w:val="0"/>
                <w:sz w:val="24"/>
                <w:szCs w:val="24"/>
              </w:rPr>
            </w:pPr>
            <w:r>
              <w:rPr>
                <w:rFonts w:hint="eastAsia"/>
                <w:color w:val="auto"/>
                <w:kern w:val="0"/>
                <w:sz w:val="24"/>
                <w:szCs w:val="24"/>
              </w:rPr>
              <w:t>负责危险化学品运输车辆跨越水源保护区道路、桥梁的日常监督及</w:t>
            </w:r>
            <w:r>
              <w:rPr>
                <w:color w:val="auto"/>
                <w:kern w:val="0"/>
                <w:sz w:val="24"/>
                <w:szCs w:val="24"/>
              </w:rPr>
              <w:t>应急</w:t>
            </w:r>
            <w:r>
              <w:rPr>
                <w:rFonts w:hint="eastAsia"/>
                <w:color w:val="auto"/>
                <w:kern w:val="0"/>
                <w:sz w:val="24"/>
                <w:szCs w:val="24"/>
              </w:rPr>
              <w:t>管理工作。</w:t>
            </w:r>
          </w:p>
        </w:tc>
        <w:tc>
          <w:tcPr>
            <w:tcW w:w="6401" w:type="dxa"/>
            <w:vAlign w:val="center"/>
          </w:tcPr>
          <w:p>
            <w:pPr>
              <w:spacing w:line="360" w:lineRule="auto"/>
              <w:ind w:firstLine="0" w:firstLineChars="0"/>
              <w:rPr>
                <w:color w:val="auto"/>
                <w:kern w:val="0"/>
                <w:sz w:val="24"/>
                <w:szCs w:val="24"/>
              </w:rPr>
            </w:pPr>
            <w:r>
              <w:rPr>
                <w:color w:val="auto"/>
                <w:kern w:val="0"/>
                <w:sz w:val="24"/>
                <w:szCs w:val="24"/>
              </w:rPr>
              <w:t>（1）</w:t>
            </w:r>
            <w:r>
              <w:rPr>
                <w:rFonts w:hint="eastAsia"/>
                <w:color w:val="auto"/>
                <w:kern w:val="0"/>
                <w:sz w:val="24"/>
                <w:szCs w:val="24"/>
                <w:lang w:val="en-US" w:eastAsia="zh-CN"/>
              </w:rPr>
              <w:t>负责协调开展交通事故次生的水源地突发生态环境事件应急处置</w:t>
            </w:r>
            <w:r>
              <w:rPr>
                <w:color w:val="auto"/>
                <w:kern w:val="0"/>
                <w:sz w:val="24"/>
                <w:szCs w:val="24"/>
              </w:rPr>
              <w:t>；</w:t>
            </w:r>
          </w:p>
          <w:p>
            <w:pPr>
              <w:spacing w:line="360" w:lineRule="auto"/>
              <w:ind w:firstLine="0" w:firstLineChars="0"/>
              <w:rPr>
                <w:color w:val="auto"/>
                <w:kern w:val="0"/>
                <w:sz w:val="24"/>
                <w:szCs w:val="24"/>
              </w:rPr>
            </w:pPr>
            <w:r>
              <w:rPr>
                <w:color w:val="auto"/>
                <w:kern w:val="0"/>
                <w:sz w:val="24"/>
                <w:szCs w:val="24"/>
              </w:rPr>
              <w:t>（2）</w:t>
            </w:r>
            <w:r>
              <w:rPr>
                <w:rFonts w:hint="eastAsia"/>
                <w:color w:val="auto"/>
                <w:kern w:val="0"/>
                <w:sz w:val="24"/>
                <w:szCs w:val="24"/>
              </w:rPr>
              <w:t>负责应急救援</w:t>
            </w:r>
            <w:r>
              <w:rPr>
                <w:color w:val="auto"/>
                <w:kern w:val="0"/>
                <w:sz w:val="24"/>
                <w:szCs w:val="24"/>
              </w:rPr>
              <w:t>物资</w:t>
            </w:r>
            <w:r>
              <w:rPr>
                <w:rFonts w:hint="eastAsia"/>
                <w:color w:val="auto"/>
                <w:kern w:val="0"/>
                <w:sz w:val="24"/>
                <w:szCs w:val="24"/>
              </w:rPr>
              <w:t>、</w:t>
            </w:r>
            <w:r>
              <w:rPr>
                <w:color w:val="auto"/>
                <w:kern w:val="0"/>
                <w:sz w:val="24"/>
                <w:szCs w:val="24"/>
              </w:rPr>
              <w:t>人员撤离</w:t>
            </w:r>
            <w:r>
              <w:rPr>
                <w:rFonts w:hint="eastAsia"/>
                <w:color w:val="auto"/>
                <w:kern w:val="0"/>
                <w:sz w:val="24"/>
                <w:szCs w:val="24"/>
              </w:rPr>
              <w:t>、</w:t>
            </w:r>
            <w:r>
              <w:rPr>
                <w:color w:val="auto"/>
                <w:kern w:val="0"/>
                <w:sz w:val="24"/>
                <w:szCs w:val="24"/>
              </w:rPr>
              <w:t>污染</w:t>
            </w:r>
            <w:r>
              <w:rPr>
                <w:rFonts w:hint="eastAsia"/>
                <w:color w:val="auto"/>
                <w:kern w:val="0"/>
                <w:sz w:val="24"/>
                <w:szCs w:val="24"/>
              </w:rPr>
              <w:t>物质</w:t>
            </w:r>
            <w:r>
              <w:rPr>
                <w:color w:val="auto"/>
                <w:kern w:val="0"/>
                <w:sz w:val="24"/>
                <w:szCs w:val="24"/>
              </w:rPr>
              <w:t>转运和道路运输应急运力</w:t>
            </w:r>
            <w:r>
              <w:rPr>
                <w:rFonts w:hint="eastAsia"/>
                <w:color w:val="auto"/>
                <w:kern w:val="0"/>
                <w:sz w:val="24"/>
                <w:szCs w:val="24"/>
              </w:rPr>
              <w:t>的组织</w:t>
            </w:r>
            <w:r>
              <w:rPr>
                <w:color w:val="auto"/>
                <w:kern w:val="0"/>
                <w:sz w:val="24"/>
                <w:szCs w:val="24"/>
              </w:rPr>
              <w:t>等</w:t>
            </w:r>
            <w:r>
              <w:rPr>
                <w:rFonts w:hint="eastAsia"/>
                <w:color w:val="auto"/>
                <w:kern w:val="0"/>
                <w:sz w:val="24"/>
                <w:szCs w:val="24"/>
              </w:rPr>
              <w:t>交通</w:t>
            </w:r>
            <w:r>
              <w:rPr>
                <w:color w:val="auto"/>
                <w:kern w:val="0"/>
                <w:sz w:val="24"/>
                <w:szCs w:val="24"/>
              </w:rPr>
              <w:t>运输保障工作</w:t>
            </w:r>
            <w:r>
              <w:rPr>
                <w:rFonts w:hint="eastAsia"/>
                <w:color w:val="auto"/>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区水利局</w:t>
            </w:r>
          </w:p>
        </w:tc>
        <w:tc>
          <w:tcPr>
            <w:tcW w:w="4465" w:type="dxa"/>
            <w:vAlign w:val="center"/>
          </w:tcPr>
          <w:p>
            <w:pPr>
              <w:pStyle w:val="120"/>
              <w:spacing w:line="360" w:lineRule="auto"/>
              <w:jc w:val="both"/>
              <w:rPr>
                <w:color w:val="auto"/>
                <w:sz w:val="24"/>
                <w:szCs w:val="24"/>
              </w:rPr>
            </w:pPr>
            <w:r>
              <w:rPr>
                <w:color w:val="auto"/>
                <w:kern w:val="0"/>
                <w:sz w:val="24"/>
                <w:szCs w:val="24"/>
              </w:rPr>
              <w:t>（1）负责指导水源地水利设施建设和管理；</w:t>
            </w:r>
          </w:p>
          <w:p>
            <w:pPr>
              <w:pStyle w:val="120"/>
              <w:spacing w:line="360" w:lineRule="auto"/>
              <w:jc w:val="both"/>
              <w:rPr>
                <w:color w:val="auto"/>
                <w:sz w:val="24"/>
                <w:szCs w:val="24"/>
              </w:rPr>
            </w:pPr>
            <w:r>
              <w:rPr>
                <w:color w:val="auto"/>
                <w:kern w:val="0"/>
                <w:sz w:val="24"/>
                <w:szCs w:val="24"/>
              </w:rPr>
              <w:t>（2）及时上报并通报所辖区水源地水质异常信息；</w:t>
            </w:r>
          </w:p>
          <w:p>
            <w:pPr>
              <w:pStyle w:val="120"/>
              <w:spacing w:line="360" w:lineRule="auto"/>
              <w:jc w:val="both"/>
              <w:rPr>
                <w:color w:val="auto"/>
                <w:sz w:val="24"/>
                <w:szCs w:val="24"/>
              </w:rPr>
            </w:pPr>
            <w:r>
              <w:rPr>
                <w:color w:val="auto"/>
                <w:kern w:val="0"/>
                <w:sz w:val="24"/>
                <w:szCs w:val="24"/>
              </w:rPr>
              <w:t>（3）指导</w:t>
            </w:r>
            <w:r>
              <w:rPr>
                <w:rFonts w:hint="eastAsia"/>
                <w:color w:val="auto"/>
                <w:kern w:val="0"/>
                <w:sz w:val="24"/>
                <w:szCs w:val="24"/>
              </w:rPr>
              <w:t>饮用水源管理、</w:t>
            </w:r>
            <w:r>
              <w:rPr>
                <w:color w:val="auto"/>
                <w:kern w:val="0"/>
                <w:sz w:val="24"/>
                <w:szCs w:val="24"/>
              </w:rPr>
              <w:t>供水</w:t>
            </w:r>
            <w:r>
              <w:rPr>
                <w:rFonts w:hint="eastAsia"/>
                <w:color w:val="auto"/>
                <w:kern w:val="0"/>
                <w:sz w:val="24"/>
                <w:szCs w:val="24"/>
              </w:rPr>
              <w:t>单位编制单位</w:t>
            </w:r>
            <w:r>
              <w:rPr>
                <w:color w:val="auto"/>
                <w:kern w:val="0"/>
                <w:sz w:val="24"/>
                <w:szCs w:val="24"/>
              </w:rPr>
              <w:t>内部</w:t>
            </w:r>
            <w:r>
              <w:rPr>
                <w:rFonts w:hint="eastAsia"/>
                <w:color w:val="auto"/>
                <w:kern w:val="0"/>
                <w:sz w:val="24"/>
                <w:szCs w:val="24"/>
              </w:rPr>
              <w:t>水源地</w:t>
            </w:r>
            <w:r>
              <w:rPr>
                <w:color w:val="auto"/>
                <w:kern w:val="0"/>
                <w:sz w:val="24"/>
                <w:szCs w:val="24"/>
              </w:rPr>
              <w:t>突发事件应急预案，保障饮用水源安全；</w:t>
            </w:r>
          </w:p>
          <w:p>
            <w:pPr>
              <w:pStyle w:val="120"/>
              <w:spacing w:line="360" w:lineRule="auto"/>
              <w:jc w:val="both"/>
              <w:rPr>
                <w:color w:val="auto"/>
                <w:kern w:val="0"/>
                <w:sz w:val="24"/>
                <w:szCs w:val="24"/>
              </w:rPr>
            </w:pPr>
            <w:r>
              <w:rPr>
                <w:color w:val="auto"/>
                <w:kern w:val="0"/>
                <w:sz w:val="24"/>
                <w:szCs w:val="24"/>
              </w:rPr>
              <w:t>（4）负责应急水源的建设；</w:t>
            </w:r>
          </w:p>
          <w:p>
            <w:pPr>
              <w:pStyle w:val="120"/>
              <w:spacing w:line="360" w:lineRule="auto"/>
              <w:jc w:val="both"/>
              <w:rPr>
                <w:color w:val="auto"/>
                <w:sz w:val="24"/>
                <w:szCs w:val="24"/>
              </w:rPr>
            </w:pPr>
            <w:r>
              <w:rPr>
                <w:color w:val="auto"/>
                <w:kern w:val="0"/>
                <w:sz w:val="24"/>
                <w:szCs w:val="24"/>
              </w:rPr>
              <w:t>（5）督促检查各饮用水源管理</w:t>
            </w:r>
            <w:r>
              <w:rPr>
                <w:rFonts w:hint="eastAsia"/>
                <w:color w:val="auto"/>
                <w:kern w:val="0"/>
                <w:sz w:val="24"/>
                <w:szCs w:val="24"/>
              </w:rPr>
              <w:t>、</w:t>
            </w:r>
            <w:r>
              <w:rPr>
                <w:color w:val="auto"/>
                <w:kern w:val="0"/>
                <w:sz w:val="24"/>
                <w:szCs w:val="24"/>
              </w:rPr>
              <w:t>供水单位对各类饮用水源突发事件应急准备的落实工作。</w:t>
            </w:r>
          </w:p>
        </w:tc>
        <w:tc>
          <w:tcPr>
            <w:tcW w:w="6401" w:type="dxa"/>
            <w:vAlign w:val="center"/>
          </w:tcPr>
          <w:p>
            <w:pPr>
              <w:pStyle w:val="120"/>
              <w:spacing w:line="360" w:lineRule="auto"/>
              <w:jc w:val="both"/>
              <w:rPr>
                <w:color w:val="auto"/>
                <w:sz w:val="24"/>
                <w:szCs w:val="24"/>
                <w:lang w:val="zh-CN"/>
              </w:rPr>
            </w:pPr>
            <w:r>
              <w:rPr>
                <w:color w:val="auto"/>
                <w:kern w:val="0"/>
                <w:sz w:val="24"/>
                <w:szCs w:val="24"/>
                <w:lang w:val="zh-CN"/>
              </w:rPr>
              <w:t>（1）按照应急指挥部要求，利用水利工程进行污染团拦截、降污或调水稀释等工作；</w:t>
            </w:r>
          </w:p>
          <w:p>
            <w:pPr>
              <w:pStyle w:val="120"/>
              <w:spacing w:line="360" w:lineRule="auto"/>
              <w:jc w:val="both"/>
              <w:rPr>
                <w:color w:val="auto"/>
                <w:sz w:val="24"/>
                <w:szCs w:val="24"/>
                <w:lang w:val="zh-CN"/>
              </w:rPr>
            </w:pPr>
            <w:r>
              <w:rPr>
                <w:color w:val="auto"/>
                <w:kern w:val="0"/>
                <w:sz w:val="24"/>
                <w:szCs w:val="24"/>
                <w:lang w:val="zh-CN"/>
              </w:rPr>
              <w:t>（2）协调水文部门提供水情、雨情信息，提供所辖水质水文数据；</w:t>
            </w:r>
          </w:p>
          <w:p>
            <w:pPr>
              <w:pStyle w:val="120"/>
              <w:spacing w:line="360" w:lineRule="auto"/>
              <w:jc w:val="both"/>
              <w:rPr>
                <w:color w:val="auto"/>
                <w:sz w:val="24"/>
                <w:szCs w:val="24"/>
                <w:lang w:val="zh-CN"/>
              </w:rPr>
            </w:pPr>
            <w:r>
              <w:rPr>
                <w:color w:val="auto"/>
                <w:kern w:val="0"/>
                <w:sz w:val="24"/>
                <w:szCs w:val="24"/>
                <w:lang w:val="zh-CN"/>
              </w:rPr>
              <w:t>（3）负责协调原水及输水工程的安全运行和水量调度，做好区域水资源调度工作，提出恢复供水方案，督促水利工程管理单位抢险队伍的组织落实工作；</w:t>
            </w:r>
          </w:p>
          <w:p>
            <w:pPr>
              <w:pStyle w:val="120"/>
              <w:spacing w:line="360" w:lineRule="auto"/>
              <w:jc w:val="both"/>
              <w:rPr>
                <w:color w:val="auto"/>
                <w:sz w:val="24"/>
                <w:szCs w:val="24"/>
                <w:lang w:val="zh-CN"/>
              </w:rPr>
            </w:pPr>
            <w:r>
              <w:rPr>
                <w:color w:val="auto"/>
                <w:kern w:val="0"/>
                <w:sz w:val="24"/>
                <w:szCs w:val="24"/>
                <w:lang w:val="zh-CN"/>
              </w:rPr>
              <w:t>（4）负责应急水源运行调度；</w:t>
            </w:r>
          </w:p>
          <w:p>
            <w:pPr>
              <w:pStyle w:val="120"/>
              <w:spacing w:line="360" w:lineRule="auto"/>
              <w:jc w:val="both"/>
              <w:rPr>
                <w:color w:val="auto"/>
                <w:sz w:val="24"/>
                <w:szCs w:val="24"/>
                <w:lang w:val="zh-CN"/>
              </w:rPr>
            </w:pPr>
            <w:r>
              <w:rPr>
                <w:color w:val="auto"/>
                <w:kern w:val="0"/>
                <w:sz w:val="24"/>
                <w:szCs w:val="24"/>
                <w:lang w:val="zh-CN"/>
              </w:rPr>
              <w:t>（5）参与分析总结饮用水水源地</w:t>
            </w:r>
            <w:r>
              <w:rPr>
                <w:rFonts w:hint="eastAsia"/>
                <w:color w:val="auto"/>
                <w:kern w:val="0"/>
                <w:sz w:val="24"/>
                <w:szCs w:val="24"/>
                <w:lang w:val="zh-CN"/>
              </w:rPr>
              <w:t>突发生态环境事件</w:t>
            </w:r>
            <w:r>
              <w:rPr>
                <w:color w:val="auto"/>
                <w:kern w:val="0"/>
                <w:sz w:val="24"/>
                <w:szCs w:val="24"/>
                <w:lang w:val="zh-CN"/>
              </w:rPr>
              <w:t>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区农业农村局</w:t>
            </w:r>
          </w:p>
        </w:tc>
        <w:tc>
          <w:tcPr>
            <w:tcW w:w="4465" w:type="dxa"/>
            <w:vAlign w:val="center"/>
          </w:tcPr>
          <w:p>
            <w:pPr>
              <w:numPr>
                <w:ilvl w:val="0"/>
                <w:numId w:val="6"/>
              </w:numPr>
              <w:spacing w:line="360" w:lineRule="auto"/>
              <w:ind w:firstLine="0" w:firstLineChars="0"/>
              <w:rPr>
                <w:color w:val="auto"/>
                <w:kern w:val="0"/>
                <w:sz w:val="24"/>
                <w:szCs w:val="24"/>
              </w:rPr>
            </w:pPr>
            <w:r>
              <w:rPr>
                <w:color w:val="auto"/>
                <w:kern w:val="0"/>
                <w:sz w:val="24"/>
                <w:szCs w:val="24"/>
              </w:rPr>
              <w:t>开展水源地周边的</w:t>
            </w:r>
            <w:r>
              <w:rPr>
                <w:rFonts w:hint="eastAsia"/>
                <w:color w:val="auto"/>
                <w:kern w:val="0"/>
                <w:sz w:val="24"/>
                <w:szCs w:val="24"/>
              </w:rPr>
              <w:t>农</w:t>
            </w:r>
            <w:r>
              <w:rPr>
                <w:color w:val="auto"/>
                <w:kern w:val="0"/>
                <w:sz w:val="24"/>
                <w:szCs w:val="24"/>
              </w:rPr>
              <w:t>业、渔业监督检查工作。</w:t>
            </w:r>
          </w:p>
          <w:p>
            <w:pPr>
              <w:numPr>
                <w:ilvl w:val="0"/>
                <w:numId w:val="6"/>
              </w:numPr>
              <w:spacing w:line="360" w:lineRule="auto"/>
              <w:ind w:firstLine="0" w:firstLineChars="0"/>
              <w:rPr>
                <w:color w:val="auto"/>
                <w:kern w:val="0"/>
                <w:sz w:val="24"/>
                <w:szCs w:val="24"/>
              </w:rPr>
            </w:pPr>
            <w:r>
              <w:rPr>
                <w:rFonts w:hint="eastAsia"/>
                <w:color w:val="auto"/>
                <w:kern w:val="0"/>
                <w:sz w:val="24"/>
                <w:szCs w:val="24"/>
                <w:lang w:val="en-US" w:eastAsia="zh-CN"/>
              </w:rPr>
              <w:t>管理暴雨期间入河农灌退水排放行为，防范农业面源导致的水源地突发生态环境事件。</w:t>
            </w:r>
          </w:p>
          <w:p>
            <w:pPr>
              <w:numPr>
                <w:ilvl w:val="0"/>
                <w:numId w:val="0"/>
              </w:numPr>
              <w:spacing w:line="360" w:lineRule="auto"/>
              <w:rPr>
                <w:color w:val="auto"/>
                <w:kern w:val="0"/>
                <w:sz w:val="24"/>
                <w:szCs w:val="24"/>
              </w:rPr>
            </w:pPr>
          </w:p>
        </w:tc>
        <w:tc>
          <w:tcPr>
            <w:tcW w:w="6401" w:type="dxa"/>
            <w:vAlign w:val="center"/>
          </w:tcPr>
          <w:p>
            <w:pPr>
              <w:spacing w:line="360" w:lineRule="auto"/>
              <w:ind w:firstLine="0" w:firstLineChars="0"/>
              <w:rPr>
                <w:color w:val="auto"/>
                <w:kern w:val="0"/>
                <w:sz w:val="24"/>
                <w:szCs w:val="24"/>
              </w:rPr>
            </w:pPr>
            <w:r>
              <w:rPr>
                <w:color w:val="auto"/>
                <w:kern w:val="0"/>
                <w:sz w:val="24"/>
                <w:szCs w:val="24"/>
              </w:rPr>
              <w:t>（1）负责组织对</w:t>
            </w:r>
            <w:r>
              <w:rPr>
                <w:rFonts w:hint="eastAsia"/>
                <w:color w:val="auto"/>
                <w:kern w:val="0"/>
                <w:sz w:val="24"/>
                <w:szCs w:val="24"/>
                <w:lang w:eastAsia="zh-CN"/>
              </w:rPr>
              <w:t>突发生态环境事件</w:t>
            </w:r>
            <w:r>
              <w:rPr>
                <w:color w:val="auto"/>
                <w:kern w:val="0"/>
                <w:sz w:val="24"/>
                <w:szCs w:val="24"/>
              </w:rPr>
              <w:t>造成的农业资源破坏进行评估，开展农业生态修复；</w:t>
            </w:r>
          </w:p>
          <w:p>
            <w:pPr>
              <w:spacing w:line="360" w:lineRule="auto"/>
              <w:ind w:firstLine="0" w:firstLineChars="0"/>
              <w:rPr>
                <w:color w:val="auto"/>
                <w:kern w:val="0"/>
                <w:sz w:val="24"/>
                <w:szCs w:val="24"/>
              </w:rPr>
            </w:pPr>
            <w:r>
              <w:rPr>
                <w:color w:val="auto"/>
                <w:kern w:val="0"/>
                <w:sz w:val="24"/>
                <w:szCs w:val="24"/>
              </w:rPr>
              <w:t>（2）负责</w:t>
            </w:r>
            <w:r>
              <w:rPr>
                <w:rFonts w:hint="eastAsia"/>
                <w:color w:val="auto"/>
                <w:kern w:val="0"/>
                <w:sz w:val="24"/>
                <w:szCs w:val="24"/>
                <w:lang w:eastAsia="zh-CN"/>
              </w:rPr>
              <w:t>突发生态环境事件</w:t>
            </w:r>
            <w:r>
              <w:rPr>
                <w:color w:val="auto"/>
                <w:kern w:val="0"/>
                <w:sz w:val="24"/>
                <w:szCs w:val="24"/>
              </w:rPr>
              <w:t>造成的渔业资源损害进行评估，配合开展渔业突发事件调查。</w:t>
            </w:r>
          </w:p>
          <w:p>
            <w:pPr>
              <w:spacing w:line="360" w:lineRule="auto"/>
              <w:ind w:firstLine="0" w:firstLineChars="0"/>
              <w:rPr>
                <w:color w:val="auto"/>
                <w:kern w:val="0"/>
                <w:sz w:val="24"/>
                <w:szCs w:val="24"/>
              </w:rPr>
            </w:pPr>
            <w:r>
              <w:rPr>
                <w:rFonts w:hint="eastAsia"/>
                <w:color w:val="auto"/>
                <w:kern w:val="0"/>
                <w:sz w:val="24"/>
                <w:szCs w:val="24"/>
                <w:lang w:val="en-US" w:eastAsia="zh-CN"/>
              </w:rPr>
              <w:t>（3）协助处置因农业面源、渔业养殖导致的水源地突发生态环境事件。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区文化广电旅游体育局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负责配合区委宣传部开展水源地</w:t>
            </w:r>
            <w:r>
              <w:rPr>
                <w:rFonts w:hint="eastAsia"/>
                <w:color w:val="auto"/>
                <w:kern w:val="0"/>
                <w:sz w:val="24"/>
                <w:szCs w:val="24"/>
                <w:lang w:eastAsia="zh-CN"/>
              </w:rPr>
              <w:t>突发生态环境事件</w:t>
            </w:r>
            <w:r>
              <w:rPr>
                <w:color w:val="auto"/>
                <w:kern w:val="0"/>
                <w:sz w:val="24"/>
                <w:szCs w:val="24"/>
              </w:rPr>
              <w:t>宣传和环境应急安全教育工作。</w:t>
            </w:r>
          </w:p>
        </w:tc>
        <w:tc>
          <w:tcPr>
            <w:tcW w:w="6401" w:type="dxa"/>
            <w:vAlign w:val="center"/>
          </w:tcPr>
          <w:p>
            <w:pPr>
              <w:spacing w:line="360" w:lineRule="auto"/>
              <w:ind w:firstLine="0" w:firstLineChars="0"/>
              <w:rPr>
                <w:color w:val="auto"/>
                <w:kern w:val="0"/>
                <w:sz w:val="24"/>
                <w:szCs w:val="24"/>
              </w:rPr>
            </w:pPr>
            <w:r>
              <w:rPr>
                <w:color w:val="auto"/>
                <w:kern w:val="0"/>
                <w:sz w:val="24"/>
                <w:szCs w:val="24"/>
              </w:rPr>
              <w:t>负责配合区委宣传部开展水源地</w:t>
            </w:r>
            <w:r>
              <w:rPr>
                <w:rFonts w:hint="eastAsia"/>
                <w:color w:val="auto"/>
                <w:kern w:val="0"/>
                <w:sz w:val="24"/>
                <w:szCs w:val="24"/>
                <w:lang w:eastAsia="zh-CN"/>
              </w:rPr>
              <w:t>突发生态环境事件</w:t>
            </w:r>
            <w:r>
              <w:rPr>
                <w:color w:val="auto"/>
                <w:kern w:val="0"/>
                <w:sz w:val="24"/>
                <w:szCs w:val="24"/>
              </w:rPr>
              <w:t>宣传和环境应急安全教育工作。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区卫生健康局（区中医药局）</w:t>
            </w:r>
          </w:p>
        </w:tc>
        <w:tc>
          <w:tcPr>
            <w:tcW w:w="4465" w:type="dxa"/>
            <w:vAlign w:val="center"/>
          </w:tcPr>
          <w:p>
            <w:pPr>
              <w:keepNext w:val="0"/>
              <w:keepLines w:val="0"/>
              <w:widowControl/>
              <w:suppressLineNumbers w:val="0"/>
              <w:spacing w:line="360" w:lineRule="auto"/>
              <w:ind w:left="0" w:leftChars="0" w:firstLine="0" w:firstLineChars="0"/>
              <w:jc w:val="left"/>
              <w:rPr>
                <w:color w:val="auto"/>
                <w:sz w:val="24"/>
                <w:szCs w:val="24"/>
              </w:rPr>
            </w:pPr>
            <w:r>
              <w:rPr>
                <w:color w:val="auto"/>
                <w:kern w:val="0"/>
                <w:sz w:val="24"/>
                <w:szCs w:val="24"/>
              </w:rPr>
              <w:t>开展集中式供水、二次供水单位的饮用水卫生监督工作，及时上报并通报相关水质异常信息。</w:t>
            </w:r>
          </w:p>
          <w:p>
            <w:pPr>
              <w:spacing w:line="360" w:lineRule="auto"/>
              <w:ind w:firstLine="0" w:firstLineChars="0"/>
              <w:rPr>
                <w:color w:val="auto"/>
                <w:kern w:val="0"/>
                <w:sz w:val="24"/>
                <w:szCs w:val="24"/>
              </w:rPr>
            </w:pPr>
          </w:p>
        </w:tc>
        <w:tc>
          <w:tcPr>
            <w:tcW w:w="6401" w:type="dxa"/>
            <w:vAlign w:val="center"/>
          </w:tcPr>
          <w:p>
            <w:pPr>
              <w:spacing w:line="360" w:lineRule="auto"/>
              <w:ind w:firstLine="0" w:firstLineChars="0"/>
              <w:rPr>
                <w:color w:val="auto"/>
                <w:kern w:val="0"/>
                <w:sz w:val="24"/>
                <w:szCs w:val="24"/>
              </w:rPr>
            </w:pPr>
            <w:r>
              <w:rPr>
                <w:color w:val="auto"/>
                <w:kern w:val="0"/>
                <w:sz w:val="24"/>
                <w:szCs w:val="24"/>
              </w:rPr>
              <w:t>（1）集中式供水、二次供水单位的饮用水卫生应急监督监测工作，评估应急期间居民饮水卫生安全，根据评估情况提供饮用水应急保障意见；</w:t>
            </w:r>
            <w:r>
              <w:rPr>
                <w:rFonts w:hint="eastAsia"/>
                <w:color w:val="auto"/>
                <w:kern w:val="0"/>
                <w:sz w:val="24"/>
                <w:szCs w:val="24"/>
                <w:lang w:val="en-US" w:eastAsia="zh-CN"/>
              </w:rPr>
              <w:t>负责管网末梢水水质应急监测，确保应急期间居民饮水卫生安全。</w:t>
            </w:r>
          </w:p>
          <w:p>
            <w:pPr>
              <w:spacing w:line="360" w:lineRule="auto"/>
              <w:ind w:firstLine="0" w:firstLineChars="0"/>
              <w:rPr>
                <w:color w:val="auto"/>
                <w:kern w:val="0"/>
                <w:sz w:val="24"/>
                <w:szCs w:val="24"/>
              </w:rPr>
            </w:pPr>
            <w:r>
              <w:rPr>
                <w:color w:val="auto"/>
                <w:kern w:val="0"/>
                <w:sz w:val="24"/>
                <w:szCs w:val="24"/>
              </w:rPr>
              <w:t>（2）对发生</w:t>
            </w:r>
            <w:r>
              <w:rPr>
                <w:rFonts w:hint="eastAsia"/>
                <w:color w:val="auto"/>
                <w:kern w:val="0"/>
                <w:sz w:val="24"/>
                <w:szCs w:val="24"/>
                <w:lang w:eastAsia="zh-CN"/>
              </w:rPr>
              <w:t>突发生态环境事件</w:t>
            </w:r>
            <w:r>
              <w:rPr>
                <w:color w:val="auto"/>
                <w:kern w:val="0"/>
                <w:sz w:val="24"/>
                <w:szCs w:val="24"/>
              </w:rPr>
              <w:t>造成的人员伤亡及时组织医疗急救。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区应急管理局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防范企业生产安全事故次生水源地</w:t>
            </w:r>
            <w:r>
              <w:rPr>
                <w:rFonts w:hint="eastAsia"/>
                <w:color w:val="auto"/>
                <w:kern w:val="0"/>
                <w:sz w:val="24"/>
                <w:szCs w:val="24"/>
                <w:lang w:eastAsia="zh-CN"/>
              </w:rPr>
              <w:t>突发生态环境事件</w:t>
            </w:r>
            <w:r>
              <w:rPr>
                <w:color w:val="auto"/>
                <w:kern w:val="0"/>
                <w:sz w:val="24"/>
                <w:szCs w:val="24"/>
              </w:rPr>
              <w:t>，及时上报并通报事故信息。</w:t>
            </w:r>
          </w:p>
        </w:tc>
        <w:tc>
          <w:tcPr>
            <w:tcW w:w="6401" w:type="dxa"/>
            <w:vAlign w:val="center"/>
          </w:tcPr>
          <w:p>
            <w:pPr>
              <w:numPr>
                <w:ilvl w:val="0"/>
                <w:numId w:val="7"/>
              </w:numPr>
              <w:spacing w:line="360" w:lineRule="auto"/>
              <w:ind w:firstLine="0" w:firstLineChars="0"/>
              <w:rPr>
                <w:color w:val="auto"/>
                <w:kern w:val="0"/>
                <w:sz w:val="24"/>
                <w:szCs w:val="24"/>
              </w:rPr>
            </w:pPr>
            <w:r>
              <w:rPr>
                <w:color w:val="auto"/>
                <w:kern w:val="0"/>
                <w:sz w:val="24"/>
                <w:szCs w:val="24"/>
              </w:rPr>
              <w:t>负责协助调查因企业生产安全事故、违法排污等导致的水源地</w:t>
            </w:r>
            <w:r>
              <w:rPr>
                <w:rFonts w:hint="eastAsia"/>
                <w:color w:val="auto"/>
                <w:kern w:val="0"/>
                <w:sz w:val="24"/>
                <w:szCs w:val="24"/>
                <w:lang w:eastAsia="zh-CN"/>
              </w:rPr>
              <w:t>突发生态环境事件</w:t>
            </w:r>
            <w:r>
              <w:rPr>
                <w:color w:val="auto"/>
                <w:kern w:val="0"/>
                <w:sz w:val="24"/>
                <w:szCs w:val="24"/>
              </w:rPr>
              <w:t>；</w:t>
            </w:r>
          </w:p>
          <w:p>
            <w:pPr>
              <w:spacing w:line="360" w:lineRule="auto"/>
              <w:ind w:firstLine="0" w:firstLineChars="0"/>
              <w:rPr>
                <w:color w:val="auto"/>
                <w:kern w:val="0"/>
                <w:sz w:val="24"/>
                <w:szCs w:val="24"/>
              </w:rPr>
            </w:pPr>
            <w:r>
              <w:rPr>
                <w:color w:val="auto"/>
                <w:kern w:val="0"/>
                <w:sz w:val="24"/>
                <w:szCs w:val="24"/>
              </w:rPr>
              <w:t>（2）组织协调救灾物资的应急保障和救助工作，并协调处理灾区的善后工作。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rFonts w:hint="eastAsia"/>
                <w:color w:val="auto"/>
                <w:kern w:val="0"/>
                <w:sz w:val="24"/>
                <w:szCs w:val="24"/>
                <w:lang w:val="zh-CN"/>
              </w:rPr>
              <w:t>区消防救援局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w:t>
            </w:r>
          </w:p>
        </w:tc>
        <w:tc>
          <w:tcPr>
            <w:tcW w:w="6401" w:type="dxa"/>
            <w:vAlign w:val="center"/>
          </w:tcPr>
          <w:p>
            <w:pPr>
              <w:numPr>
                <w:ilvl w:val="0"/>
                <w:numId w:val="8"/>
              </w:numPr>
              <w:spacing w:line="360" w:lineRule="auto"/>
              <w:ind w:firstLine="0" w:firstLineChars="0"/>
              <w:rPr>
                <w:rFonts w:hint="eastAsia" w:ascii="宋体" w:hAnsi="宋体" w:eastAsia="宋体" w:cs="宋体"/>
                <w:color w:val="auto"/>
                <w:sz w:val="24"/>
                <w:szCs w:val="24"/>
                <w:lang w:eastAsia="zh-CN"/>
              </w:rPr>
            </w:pPr>
            <w:r>
              <w:rPr>
                <w:rFonts w:ascii="宋体" w:hAnsi="宋体" w:eastAsia="宋体" w:cs="宋体"/>
                <w:color w:val="auto"/>
                <w:sz w:val="24"/>
                <w:szCs w:val="24"/>
              </w:rPr>
              <w:t>负责事故现场火灾扑救、爆炸险情处置；开展被困人员搜救、人员抢险救援；对燃烧、受威胁储罐、容器实施冷却降温，控制易燃易爆、有毒有害危险物质泄漏，切断危险源，防止火势、爆炸风险进一步扩大</w:t>
            </w:r>
            <w:r>
              <w:rPr>
                <w:rFonts w:hint="eastAsia" w:ascii="宋体" w:hAnsi="宋体" w:eastAsia="宋体" w:cs="宋体"/>
                <w:color w:val="auto"/>
                <w:sz w:val="24"/>
                <w:szCs w:val="24"/>
                <w:lang w:eastAsia="zh-CN"/>
              </w:rPr>
              <w:t>；</w:t>
            </w:r>
          </w:p>
          <w:p>
            <w:pPr>
              <w:numPr>
                <w:ilvl w:val="0"/>
                <w:numId w:val="8"/>
              </w:numPr>
              <w:spacing w:line="360" w:lineRule="auto"/>
              <w:ind w:firstLine="0" w:firstLineChars="0"/>
              <w:rPr>
                <w:rFonts w:hint="eastAsia" w:ascii="宋体" w:hAnsi="宋体" w:eastAsia="宋体" w:cs="宋体"/>
                <w:color w:val="auto"/>
                <w:sz w:val="24"/>
                <w:szCs w:val="24"/>
                <w:lang w:val="en-US" w:eastAsia="zh-CN"/>
              </w:rPr>
            </w:pPr>
            <w:r>
              <w:rPr>
                <w:rFonts w:ascii="宋体" w:hAnsi="宋体" w:eastAsia="宋体" w:cs="宋体"/>
                <w:color w:val="auto"/>
                <w:sz w:val="24"/>
                <w:szCs w:val="24"/>
              </w:rPr>
              <w:t>对事故现场、救援装备、受污染人员开展洗消作业，收集洗消废液，按指令交由相关单位妥善处置，禁止洗消废水直排进入水源水体</w:t>
            </w:r>
            <w:r>
              <w:rPr>
                <w:rFonts w:hint="eastAsia" w:ascii="宋体" w:hAnsi="宋体" w:eastAsia="宋体" w:cs="宋体"/>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区市场监督管理局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负责加强水源地周边餐饮单位整治工作，依法查处取缔无照经营行为。</w:t>
            </w:r>
          </w:p>
        </w:tc>
        <w:tc>
          <w:tcPr>
            <w:tcW w:w="6401" w:type="dxa"/>
            <w:vAlign w:val="center"/>
          </w:tcPr>
          <w:p>
            <w:pPr>
              <w:spacing w:line="360" w:lineRule="auto"/>
              <w:ind w:firstLine="0" w:firstLineChars="0"/>
              <w:rPr>
                <w:color w:val="auto"/>
                <w:kern w:val="0"/>
                <w:sz w:val="24"/>
                <w:szCs w:val="24"/>
              </w:rPr>
            </w:pPr>
            <w:r>
              <w:rPr>
                <w:color w:val="auto"/>
                <w:kern w:val="0"/>
                <w:sz w:val="24"/>
                <w:szCs w:val="24"/>
              </w:rPr>
              <w:t>（1）负责做好应急处置中食品、药品和医疗器械质量监管，保障食品药械安全工作；</w:t>
            </w:r>
          </w:p>
          <w:p>
            <w:pPr>
              <w:spacing w:line="360" w:lineRule="auto"/>
              <w:ind w:firstLine="0" w:firstLineChars="0"/>
              <w:rPr>
                <w:color w:val="auto"/>
                <w:kern w:val="0"/>
                <w:sz w:val="24"/>
                <w:szCs w:val="24"/>
              </w:rPr>
            </w:pPr>
            <w:r>
              <w:rPr>
                <w:color w:val="auto"/>
                <w:kern w:val="0"/>
                <w:sz w:val="24"/>
                <w:szCs w:val="24"/>
              </w:rPr>
              <w:t>（2）开展价格监督检查，打击价格违法行为，维护市场价格秩序，保持市场价格稳定。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区城市管理和综合执法局</w:t>
            </w:r>
          </w:p>
        </w:tc>
        <w:tc>
          <w:tcPr>
            <w:tcW w:w="4465" w:type="dxa"/>
            <w:vAlign w:val="center"/>
          </w:tcPr>
          <w:p>
            <w:pPr>
              <w:spacing w:line="360" w:lineRule="auto"/>
              <w:ind w:firstLine="0" w:firstLineChars="0"/>
              <w:jc w:val="center"/>
              <w:rPr>
                <w:color w:val="auto"/>
                <w:kern w:val="0"/>
                <w:sz w:val="24"/>
                <w:szCs w:val="24"/>
              </w:rPr>
            </w:pPr>
            <w:r>
              <w:rPr>
                <w:color w:val="auto"/>
                <w:kern w:val="0"/>
                <w:sz w:val="24"/>
                <w:szCs w:val="24"/>
              </w:rPr>
              <w:t>/</w:t>
            </w:r>
          </w:p>
        </w:tc>
        <w:tc>
          <w:tcPr>
            <w:tcW w:w="6401" w:type="dxa"/>
            <w:vAlign w:val="center"/>
          </w:tcPr>
          <w:p>
            <w:pPr>
              <w:spacing w:line="360" w:lineRule="auto"/>
              <w:ind w:firstLine="0" w:firstLineChars="0"/>
              <w:rPr>
                <w:color w:val="auto"/>
                <w:kern w:val="0"/>
                <w:sz w:val="24"/>
                <w:szCs w:val="24"/>
              </w:rPr>
            </w:pPr>
            <w:r>
              <w:rPr>
                <w:color w:val="auto"/>
                <w:kern w:val="0"/>
                <w:sz w:val="24"/>
                <w:szCs w:val="24"/>
              </w:rPr>
              <w:t>（1）参与影响供水安全的</w:t>
            </w:r>
            <w:r>
              <w:rPr>
                <w:rFonts w:hint="eastAsia"/>
                <w:color w:val="auto"/>
                <w:kern w:val="0"/>
                <w:sz w:val="24"/>
                <w:szCs w:val="24"/>
                <w:lang w:eastAsia="zh-CN"/>
              </w:rPr>
              <w:t>突发生态环境事件</w:t>
            </w:r>
            <w:r>
              <w:rPr>
                <w:color w:val="auto"/>
                <w:kern w:val="0"/>
                <w:sz w:val="24"/>
                <w:szCs w:val="24"/>
              </w:rPr>
              <w:t>应急处置工作；</w:t>
            </w:r>
          </w:p>
          <w:p>
            <w:pPr>
              <w:spacing w:line="360" w:lineRule="auto"/>
              <w:ind w:firstLine="0" w:firstLineChars="0"/>
              <w:rPr>
                <w:color w:val="auto"/>
                <w:kern w:val="0"/>
                <w:sz w:val="24"/>
                <w:szCs w:val="24"/>
              </w:rPr>
            </w:pPr>
            <w:r>
              <w:rPr>
                <w:color w:val="auto"/>
                <w:kern w:val="0"/>
                <w:sz w:val="24"/>
                <w:szCs w:val="24"/>
              </w:rPr>
              <w:t>（2）对</w:t>
            </w:r>
            <w:r>
              <w:rPr>
                <w:rFonts w:hint="eastAsia"/>
                <w:color w:val="auto"/>
                <w:kern w:val="0"/>
                <w:sz w:val="24"/>
                <w:szCs w:val="24"/>
                <w:lang w:eastAsia="zh-CN"/>
              </w:rPr>
              <w:t>突发生态环境事件</w:t>
            </w:r>
            <w:r>
              <w:rPr>
                <w:color w:val="auto"/>
                <w:kern w:val="0"/>
                <w:sz w:val="24"/>
                <w:szCs w:val="24"/>
              </w:rPr>
              <w:t>进行行政执法，协助事故的调查取证。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rFonts w:hint="eastAsia"/>
                <w:color w:val="auto"/>
                <w:kern w:val="0"/>
                <w:sz w:val="24"/>
                <w:szCs w:val="24"/>
                <w:lang w:val="zh-CN"/>
              </w:rPr>
              <w:t>区气象局</w:t>
            </w:r>
          </w:p>
        </w:tc>
        <w:tc>
          <w:tcPr>
            <w:tcW w:w="4465" w:type="dxa"/>
            <w:vAlign w:val="center"/>
          </w:tcPr>
          <w:p>
            <w:pPr>
              <w:spacing w:line="360" w:lineRule="auto"/>
              <w:ind w:firstLine="0" w:firstLineChars="0"/>
              <w:jc w:val="left"/>
              <w:rPr>
                <w:color w:val="auto"/>
                <w:kern w:val="0"/>
                <w:sz w:val="24"/>
                <w:szCs w:val="24"/>
              </w:rPr>
            </w:pPr>
            <w:r>
              <w:rPr>
                <w:rFonts w:hint="eastAsia"/>
                <w:color w:val="auto"/>
                <w:kern w:val="0"/>
                <w:sz w:val="24"/>
                <w:szCs w:val="24"/>
                <w:lang w:val="en-US" w:eastAsia="zh-CN"/>
              </w:rPr>
              <w:t>及时上报、通报和发布暴雨、洪水等气象信息。</w:t>
            </w:r>
          </w:p>
        </w:tc>
        <w:tc>
          <w:tcPr>
            <w:tcW w:w="6401" w:type="dxa"/>
            <w:vAlign w:val="center"/>
          </w:tcPr>
          <w:p>
            <w:pPr>
              <w:spacing w:line="360" w:lineRule="auto"/>
              <w:ind w:firstLine="0" w:firstLineChars="0"/>
              <w:rPr>
                <w:rFonts w:hint="eastAsia"/>
                <w:color w:val="auto"/>
                <w:kern w:val="0"/>
                <w:sz w:val="24"/>
                <w:szCs w:val="24"/>
                <w:lang w:eastAsia="zh-CN"/>
              </w:rPr>
            </w:pPr>
            <w:r>
              <w:rPr>
                <w:rFonts w:hint="eastAsia"/>
                <w:color w:val="auto"/>
                <w:kern w:val="0"/>
                <w:sz w:val="24"/>
                <w:szCs w:val="24"/>
                <w:lang w:eastAsia="zh-CN"/>
              </w:rPr>
              <w:t>（</w:t>
            </w:r>
            <w:r>
              <w:rPr>
                <w:rFonts w:hint="eastAsia"/>
                <w:color w:val="auto"/>
                <w:kern w:val="0"/>
                <w:sz w:val="24"/>
                <w:szCs w:val="24"/>
                <w:lang w:val="en-US" w:eastAsia="zh-CN"/>
              </w:rPr>
              <w:t>1</w:t>
            </w:r>
            <w:r>
              <w:rPr>
                <w:rFonts w:hint="eastAsia"/>
                <w:color w:val="auto"/>
                <w:kern w:val="0"/>
                <w:sz w:val="24"/>
                <w:szCs w:val="24"/>
                <w:lang w:eastAsia="zh-CN"/>
              </w:rPr>
              <w:t>）</w:t>
            </w:r>
            <w:r>
              <w:rPr>
                <w:rFonts w:hint="eastAsia"/>
                <w:color w:val="auto"/>
                <w:kern w:val="0"/>
                <w:sz w:val="24"/>
                <w:szCs w:val="24"/>
                <w:lang w:val="en-US" w:eastAsia="zh-CN"/>
              </w:rPr>
              <w:t>负责应急期间提供水源地周边气象信息。</w:t>
            </w:r>
          </w:p>
          <w:p>
            <w:pPr>
              <w:spacing w:line="360" w:lineRule="auto"/>
              <w:ind w:firstLine="0" w:firstLineChars="0"/>
              <w:rPr>
                <w:color w:val="auto"/>
                <w:kern w:val="0"/>
                <w:sz w:val="24"/>
                <w:szCs w:val="24"/>
              </w:rPr>
            </w:pPr>
            <w:r>
              <w:rPr>
                <w:rFonts w:hint="eastAsia"/>
                <w:color w:val="auto"/>
                <w:kern w:val="0"/>
                <w:sz w:val="24"/>
                <w:szCs w:val="24"/>
                <w:lang w:eastAsia="zh-CN"/>
              </w:rPr>
              <w:t>（</w:t>
            </w:r>
            <w:r>
              <w:rPr>
                <w:rFonts w:hint="eastAsia"/>
                <w:color w:val="auto"/>
                <w:kern w:val="0"/>
                <w:sz w:val="24"/>
                <w:szCs w:val="24"/>
                <w:lang w:val="en-US" w:eastAsia="zh-CN"/>
              </w:rPr>
              <w:t>2</w:t>
            </w:r>
            <w:r>
              <w:rPr>
                <w:rFonts w:hint="eastAsia"/>
                <w:color w:val="auto"/>
                <w:kern w:val="0"/>
                <w:sz w:val="24"/>
                <w:szCs w:val="24"/>
                <w:lang w:eastAsia="zh-CN"/>
              </w:rPr>
              <w:t>）</w:t>
            </w:r>
            <w:r>
              <w:rPr>
                <w:rFonts w:hint="eastAsia"/>
                <w:color w:val="auto"/>
                <w:kern w:val="0"/>
                <w:sz w:val="24"/>
                <w:szCs w:val="24"/>
              </w:rPr>
              <w:t>负责提供有关的气象监测预报服务，必要时在事故区域进行加密可移动气象监测。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rFonts w:hint="eastAsia"/>
                <w:color w:val="auto"/>
                <w:kern w:val="0"/>
                <w:sz w:val="24"/>
                <w:szCs w:val="24"/>
                <w:lang w:val="zh-CN"/>
              </w:rPr>
              <w:t>区</w:t>
            </w:r>
            <w:r>
              <w:rPr>
                <w:color w:val="auto"/>
                <w:kern w:val="0"/>
                <w:sz w:val="24"/>
                <w:szCs w:val="24"/>
                <w:lang w:val="zh-CN"/>
              </w:rPr>
              <w:t>林业局</w:t>
            </w:r>
          </w:p>
        </w:tc>
        <w:tc>
          <w:tcPr>
            <w:tcW w:w="4465" w:type="dxa"/>
            <w:vAlign w:val="center"/>
          </w:tcPr>
          <w:p>
            <w:pPr>
              <w:spacing w:line="360" w:lineRule="auto"/>
              <w:ind w:firstLine="0" w:firstLineChars="0"/>
              <w:jc w:val="center"/>
              <w:rPr>
                <w:color w:val="auto"/>
                <w:kern w:val="0"/>
                <w:sz w:val="24"/>
                <w:szCs w:val="24"/>
              </w:rPr>
            </w:pPr>
            <w:r>
              <w:rPr>
                <w:rFonts w:hint="eastAsia"/>
                <w:color w:val="auto"/>
                <w:kern w:val="0"/>
                <w:sz w:val="24"/>
                <w:szCs w:val="24"/>
              </w:rPr>
              <w:t>/</w:t>
            </w:r>
          </w:p>
        </w:tc>
        <w:tc>
          <w:tcPr>
            <w:tcW w:w="6401" w:type="dxa"/>
            <w:vAlign w:val="center"/>
          </w:tcPr>
          <w:p>
            <w:pPr>
              <w:spacing w:line="360" w:lineRule="auto"/>
              <w:ind w:firstLine="0" w:firstLineChars="0"/>
              <w:rPr>
                <w:color w:val="auto"/>
                <w:kern w:val="0"/>
                <w:sz w:val="24"/>
                <w:szCs w:val="24"/>
              </w:rPr>
            </w:pPr>
            <w:r>
              <w:rPr>
                <w:rFonts w:hint="eastAsia"/>
                <w:color w:val="auto"/>
                <w:kern w:val="0"/>
                <w:sz w:val="24"/>
                <w:szCs w:val="24"/>
              </w:rPr>
              <w:t>负责</w:t>
            </w:r>
            <w:r>
              <w:rPr>
                <w:color w:val="auto"/>
                <w:kern w:val="0"/>
                <w:sz w:val="24"/>
                <w:szCs w:val="24"/>
              </w:rPr>
              <w:t>组织对水源地</w:t>
            </w:r>
            <w:r>
              <w:rPr>
                <w:rFonts w:hint="eastAsia"/>
                <w:color w:val="auto"/>
                <w:kern w:val="0"/>
                <w:sz w:val="24"/>
                <w:szCs w:val="24"/>
                <w:lang w:eastAsia="zh-CN"/>
              </w:rPr>
              <w:t>突发生态环境事件</w:t>
            </w:r>
            <w:r>
              <w:rPr>
                <w:color w:val="auto"/>
                <w:kern w:val="0"/>
                <w:sz w:val="24"/>
                <w:szCs w:val="24"/>
              </w:rPr>
              <w:t>造成的有关林业资源损害进行评估</w:t>
            </w:r>
            <w:r>
              <w:rPr>
                <w:rFonts w:hint="eastAsia"/>
                <w:color w:val="auto"/>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rFonts w:hint="eastAsia"/>
                <w:color w:val="auto"/>
                <w:kern w:val="0"/>
                <w:sz w:val="24"/>
                <w:szCs w:val="24"/>
                <w:lang w:val="zh-CN"/>
              </w:rPr>
            </w:pPr>
            <w:r>
              <w:rPr>
                <w:rFonts w:hint="eastAsia"/>
                <w:color w:val="auto"/>
                <w:kern w:val="0"/>
                <w:sz w:val="24"/>
                <w:szCs w:val="24"/>
                <w:lang w:val="en-US" w:eastAsia="zh-CN"/>
              </w:rPr>
              <w:t>太和</w:t>
            </w:r>
            <w:r>
              <w:rPr>
                <w:rFonts w:hint="eastAsia"/>
                <w:color w:val="auto"/>
                <w:kern w:val="0"/>
                <w:sz w:val="24"/>
                <w:szCs w:val="24"/>
                <w:lang w:val="zh-CN"/>
              </w:rPr>
              <w:t>镇人民政府</w:t>
            </w:r>
          </w:p>
        </w:tc>
        <w:tc>
          <w:tcPr>
            <w:tcW w:w="4465" w:type="dxa"/>
            <w:vAlign w:val="center"/>
          </w:tcPr>
          <w:p>
            <w:pPr>
              <w:spacing w:line="360" w:lineRule="auto"/>
              <w:ind w:firstLine="0" w:firstLineChars="0"/>
              <w:jc w:val="center"/>
              <w:rPr>
                <w:rFonts w:hint="eastAsia"/>
                <w:color w:val="auto"/>
                <w:kern w:val="0"/>
                <w:sz w:val="24"/>
                <w:szCs w:val="24"/>
              </w:rPr>
            </w:pPr>
            <w:r>
              <w:rPr>
                <w:color w:val="auto"/>
                <w:kern w:val="0"/>
                <w:sz w:val="24"/>
                <w:szCs w:val="24"/>
              </w:rPr>
              <w:t>/</w:t>
            </w:r>
          </w:p>
        </w:tc>
        <w:tc>
          <w:tcPr>
            <w:tcW w:w="6401" w:type="dxa"/>
            <w:vAlign w:val="center"/>
          </w:tcPr>
          <w:p>
            <w:pPr>
              <w:spacing w:line="360" w:lineRule="auto"/>
              <w:ind w:firstLine="0" w:firstLineChars="0"/>
              <w:rPr>
                <w:color w:val="auto"/>
                <w:kern w:val="0"/>
                <w:sz w:val="24"/>
                <w:szCs w:val="24"/>
              </w:rPr>
            </w:pPr>
            <w:r>
              <w:rPr>
                <w:color w:val="auto"/>
                <w:kern w:val="0"/>
                <w:sz w:val="24"/>
                <w:szCs w:val="24"/>
              </w:rPr>
              <w:t>（1）负责在现场指挥部成立前，协助事发单位和有关部门在事发地迅速开展先期处置，立即采取措施控制事态发展，严防次生、衍生事故发生；</w:t>
            </w:r>
          </w:p>
          <w:p>
            <w:pPr>
              <w:spacing w:line="360" w:lineRule="auto"/>
              <w:ind w:firstLine="0" w:firstLineChars="0"/>
              <w:rPr>
                <w:rFonts w:hint="eastAsia"/>
                <w:color w:val="auto"/>
                <w:kern w:val="0"/>
                <w:sz w:val="24"/>
                <w:szCs w:val="24"/>
              </w:rPr>
            </w:pPr>
            <w:r>
              <w:rPr>
                <w:color w:val="auto"/>
                <w:kern w:val="0"/>
                <w:sz w:val="24"/>
                <w:szCs w:val="24"/>
              </w:rPr>
              <w:t>（2）协助上级部门做好水源地</w:t>
            </w:r>
            <w:r>
              <w:rPr>
                <w:rFonts w:hint="eastAsia"/>
                <w:color w:val="auto"/>
                <w:kern w:val="0"/>
                <w:sz w:val="24"/>
                <w:szCs w:val="24"/>
                <w:lang w:eastAsia="zh-CN"/>
              </w:rPr>
              <w:t>突发生态环境事件</w:t>
            </w:r>
            <w:r>
              <w:rPr>
                <w:color w:val="auto"/>
                <w:kern w:val="0"/>
                <w:sz w:val="24"/>
                <w:szCs w:val="24"/>
              </w:rPr>
              <w:t>应急工作。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color w:val="auto"/>
                <w:kern w:val="0"/>
                <w:sz w:val="24"/>
                <w:szCs w:val="24"/>
                <w:lang w:val="zh-CN"/>
              </w:rPr>
              <w:t>清新供电局</w:t>
            </w:r>
          </w:p>
        </w:tc>
        <w:tc>
          <w:tcPr>
            <w:tcW w:w="4465" w:type="dxa"/>
            <w:vAlign w:val="center"/>
          </w:tcPr>
          <w:p>
            <w:pPr>
              <w:spacing w:line="360" w:lineRule="auto"/>
              <w:ind w:firstLine="0" w:firstLineChars="0"/>
              <w:rPr>
                <w:color w:val="auto"/>
                <w:kern w:val="0"/>
                <w:sz w:val="24"/>
                <w:szCs w:val="24"/>
              </w:rPr>
            </w:pPr>
            <w:r>
              <w:rPr>
                <w:color w:val="auto"/>
                <w:kern w:val="0"/>
                <w:sz w:val="24"/>
                <w:szCs w:val="24"/>
              </w:rPr>
              <w:t>负责组织辖区内应急电力保障工作。</w:t>
            </w:r>
          </w:p>
        </w:tc>
        <w:tc>
          <w:tcPr>
            <w:tcW w:w="6401" w:type="dxa"/>
            <w:vAlign w:val="center"/>
          </w:tcPr>
          <w:p>
            <w:pPr>
              <w:spacing w:line="360" w:lineRule="auto"/>
              <w:ind w:firstLine="0" w:firstLineChars="0"/>
              <w:rPr>
                <w:color w:val="auto"/>
                <w:kern w:val="0"/>
                <w:sz w:val="24"/>
                <w:szCs w:val="24"/>
              </w:rPr>
            </w:pPr>
            <w:r>
              <w:rPr>
                <w:color w:val="auto"/>
                <w:kern w:val="0"/>
                <w:sz w:val="24"/>
                <w:szCs w:val="24"/>
              </w:rPr>
              <w:t>负责组织辖区内应急电力保障工作。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rFonts w:hint="eastAsia"/>
                <w:color w:val="auto"/>
                <w:kern w:val="0"/>
                <w:sz w:val="24"/>
                <w:szCs w:val="24"/>
                <w:lang w:val="zh-CN"/>
              </w:rPr>
              <w:t>区融媒体中心（清新电视台）</w:t>
            </w:r>
          </w:p>
        </w:tc>
        <w:tc>
          <w:tcPr>
            <w:tcW w:w="4465" w:type="dxa"/>
            <w:vAlign w:val="center"/>
          </w:tcPr>
          <w:p>
            <w:pPr>
              <w:spacing w:line="360" w:lineRule="auto"/>
              <w:ind w:firstLine="0" w:firstLineChars="0"/>
              <w:jc w:val="center"/>
              <w:rPr>
                <w:color w:val="auto"/>
                <w:kern w:val="0"/>
                <w:sz w:val="24"/>
                <w:szCs w:val="24"/>
              </w:rPr>
            </w:pPr>
            <w:r>
              <w:rPr>
                <w:color w:val="auto"/>
                <w:kern w:val="0"/>
                <w:sz w:val="24"/>
                <w:szCs w:val="24"/>
              </w:rPr>
              <w:t>/</w:t>
            </w:r>
          </w:p>
        </w:tc>
        <w:tc>
          <w:tcPr>
            <w:tcW w:w="6401" w:type="dxa"/>
            <w:vAlign w:val="center"/>
          </w:tcPr>
          <w:p>
            <w:pPr>
              <w:spacing w:line="360" w:lineRule="auto"/>
              <w:ind w:firstLine="0" w:firstLineChars="0"/>
              <w:rPr>
                <w:color w:val="auto"/>
                <w:kern w:val="0"/>
                <w:sz w:val="24"/>
                <w:szCs w:val="24"/>
              </w:rPr>
            </w:pPr>
            <w:r>
              <w:rPr>
                <w:rFonts w:hint="eastAsia"/>
                <w:color w:val="auto"/>
                <w:kern w:val="0"/>
                <w:sz w:val="24"/>
                <w:szCs w:val="24"/>
              </w:rPr>
              <w:t>负责</w:t>
            </w:r>
            <w:r>
              <w:rPr>
                <w:rFonts w:hint="eastAsia"/>
                <w:color w:val="auto"/>
                <w:kern w:val="0"/>
                <w:sz w:val="24"/>
                <w:szCs w:val="24"/>
                <w:lang w:eastAsia="zh-CN"/>
              </w:rPr>
              <w:t>突发生态环境事件</w:t>
            </w:r>
            <w:r>
              <w:rPr>
                <w:rFonts w:hint="eastAsia"/>
                <w:color w:val="auto"/>
                <w:kern w:val="0"/>
                <w:sz w:val="24"/>
                <w:szCs w:val="24"/>
              </w:rPr>
              <w:t>新闻宣传、报道。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rFonts w:hint="eastAsia"/>
                <w:color w:val="auto"/>
                <w:kern w:val="0"/>
                <w:sz w:val="24"/>
                <w:szCs w:val="24"/>
              </w:rPr>
              <w:t>清远市清新区太和供水有限公司</w:t>
            </w:r>
            <w:r>
              <w:rPr>
                <w:rFonts w:hint="eastAsia"/>
                <w:color w:val="auto"/>
                <w:kern w:val="0"/>
                <w:sz w:val="24"/>
                <w:szCs w:val="24"/>
                <w:lang w:eastAsia="zh-CN"/>
              </w:rPr>
              <w:t>、</w:t>
            </w:r>
            <w:r>
              <w:rPr>
                <w:rFonts w:hint="eastAsia"/>
                <w:color w:val="auto"/>
                <w:kern w:val="0"/>
                <w:sz w:val="24"/>
                <w:szCs w:val="24"/>
                <w:lang w:val="en-US" w:eastAsia="zh-CN"/>
              </w:rPr>
              <w:t>清远市清新区滨源水业投资开发集团有限公司</w:t>
            </w:r>
          </w:p>
        </w:tc>
        <w:tc>
          <w:tcPr>
            <w:tcW w:w="4465" w:type="dxa"/>
            <w:vAlign w:val="center"/>
          </w:tcPr>
          <w:p>
            <w:pPr>
              <w:spacing w:line="360" w:lineRule="auto"/>
              <w:ind w:firstLine="0" w:firstLineChars="0"/>
              <w:rPr>
                <w:color w:val="auto"/>
                <w:kern w:val="0"/>
                <w:sz w:val="24"/>
                <w:szCs w:val="24"/>
              </w:rPr>
            </w:pPr>
            <w:r>
              <w:rPr>
                <w:rFonts w:hint="eastAsia"/>
                <w:color w:val="auto"/>
                <w:kern w:val="0"/>
                <w:sz w:val="24"/>
                <w:szCs w:val="24"/>
              </w:rPr>
              <w:t>（1）开展水源地每日巡查工作；</w:t>
            </w:r>
          </w:p>
          <w:p>
            <w:pPr>
              <w:spacing w:line="360" w:lineRule="auto"/>
              <w:ind w:firstLine="0" w:firstLineChars="0"/>
              <w:rPr>
                <w:color w:val="auto"/>
                <w:kern w:val="0"/>
                <w:sz w:val="24"/>
                <w:szCs w:val="24"/>
              </w:rPr>
            </w:pPr>
            <w:r>
              <w:rPr>
                <w:rFonts w:hint="eastAsia"/>
                <w:color w:val="auto"/>
                <w:kern w:val="0"/>
                <w:sz w:val="24"/>
                <w:szCs w:val="24"/>
              </w:rPr>
              <w:t>（2）</w:t>
            </w:r>
            <w:r>
              <w:rPr>
                <w:color w:val="auto"/>
                <w:kern w:val="0"/>
                <w:sz w:val="24"/>
                <w:szCs w:val="24"/>
              </w:rPr>
              <w:t>负责水源地取水口的日常管理工作，对取水口水质异常现象进行调查处理，及时上报并通报生态环境、水利等部门水质异常信息。</w:t>
            </w:r>
          </w:p>
        </w:tc>
        <w:tc>
          <w:tcPr>
            <w:tcW w:w="6401" w:type="dxa"/>
            <w:vAlign w:val="center"/>
          </w:tcPr>
          <w:p>
            <w:pPr>
              <w:spacing w:line="360" w:lineRule="auto"/>
              <w:ind w:firstLine="0" w:firstLineChars="0"/>
              <w:rPr>
                <w:color w:val="auto"/>
                <w:kern w:val="0"/>
                <w:sz w:val="24"/>
                <w:szCs w:val="24"/>
              </w:rPr>
            </w:pPr>
            <w:r>
              <w:rPr>
                <w:rFonts w:hint="eastAsia"/>
                <w:color w:val="auto"/>
                <w:kern w:val="0"/>
                <w:sz w:val="24"/>
                <w:szCs w:val="24"/>
                <w:lang w:val="en-US" w:eastAsia="zh-CN"/>
              </w:rPr>
              <w:t>负责水源地突发生态环境事件的水厂生产先期处置，组织进行应急监测，并在区应急指挥部的统一领导下，会同各相关部门做好事故现场处置工作</w:t>
            </w:r>
            <w:r>
              <w:rPr>
                <w:color w:val="auto"/>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293" w:type="dxa"/>
            <w:vMerge w:val="continue"/>
            <w:vAlign w:val="center"/>
          </w:tcPr>
          <w:p>
            <w:pPr>
              <w:spacing w:line="360" w:lineRule="auto"/>
              <w:ind w:firstLine="0" w:firstLineChars="0"/>
              <w:jc w:val="center"/>
              <w:rPr>
                <w:color w:val="auto"/>
                <w:kern w:val="0"/>
                <w:sz w:val="24"/>
                <w:szCs w:val="24"/>
                <w:lang w:val="zh-CN"/>
              </w:rPr>
            </w:pPr>
          </w:p>
        </w:tc>
        <w:tc>
          <w:tcPr>
            <w:tcW w:w="2015" w:type="dxa"/>
            <w:vAlign w:val="center"/>
          </w:tcPr>
          <w:p>
            <w:pPr>
              <w:spacing w:line="360" w:lineRule="auto"/>
              <w:ind w:firstLine="0" w:firstLineChars="0"/>
              <w:jc w:val="center"/>
              <w:rPr>
                <w:color w:val="auto"/>
                <w:kern w:val="0"/>
                <w:sz w:val="24"/>
                <w:szCs w:val="24"/>
                <w:lang w:val="zh-CN"/>
              </w:rPr>
            </w:pPr>
            <w:r>
              <w:rPr>
                <w:rFonts w:hint="eastAsia"/>
                <w:color w:val="auto"/>
                <w:kern w:val="0"/>
                <w:sz w:val="24"/>
                <w:szCs w:val="24"/>
                <w:lang w:val="zh-CN"/>
              </w:rPr>
              <w:t>广东清连公路发展有限公司</w:t>
            </w:r>
          </w:p>
        </w:tc>
        <w:tc>
          <w:tcPr>
            <w:tcW w:w="4465" w:type="dxa"/>
            <w:vAlign w:val="center"/>
          </w:tcPr>
          <w:p>
            <w:pPr>
              <w:spacing w:line="360" w:lineRule="auto"/>
              <w:ind w:firstLine="0" w:firstLineChars="0"/>
              <w:jc w:val="center"/>
              <w:rPr>
                <w:color w:val="auto"/>
                <w:kern w:val="0"/>
                <w:sz w:val="24"/>
                <w:szCs w:val="24"/>
              </w:rPr>
            </w:pPr>
            <w:r>
              <w:rPr>
                <w:rFonts w:hint="eastAsia"/>
                <w:color w:val="auto"/>
                <w:kern w:val="0"/>
                <w:sz w:val="24"/>
                <w:szCs w:val="24"/>
              </w:rPr>
              <w:t>负责清连</w:t>
            </w:r>
            <w:r>
              <w:rPr>
                <w:color w:val="auto"/>
                <w:kern w:val="0"/>
                <w:sz w:val="24"/>
                <w:szCs w:val="24"/>
              </w:rPr>
              <w:t>高速内</w:t>
            </w:r>
            <w:r>
              <w:rPr>
                <w:rFonts w:hint="eastAsia"/>
                <w:color w:val="auto"/>
                <w:kern w:val="0"/>
                <w:sz w:val="24"/>
                <w:szCs w:val="24"/>
              </w:rPr>
              <w:t>危险化学品运输车辆跨越水源保护区道路、桥梁的日常</w:t>
            </w:r>
            <w:r>
              <w:rPr>
                <w:color w:val="auto"/>
                <w:kern w:val="0"/>
                <w:sz w:val="24"/>
                <w:szCs w:val="24"/>
              </w:rPr>
              <w:t>应急</w:t>
            </w:r>
            <w:r>
              <w:rPr>
                <w:rFonts w:hint="eastAsia"/>
                <w:color w:val="auto"/>
                <w:kern w:val="0"/>
                <w:sz w:val="24"/>
                <w:szCs w:val="24"/>
              </w:rPr>
              <w:t>管理工作。</w:t>
            </w:r>
          </w:p>
        </w:tc>
        <w:tc>
          <w:tcPr>
            <w:tcW w:w="6401" w:type="dxa"/>
            <w:vAlign w:val="center"/>
          </w:tcPr>
          <w:p>
            <w:pPr>
              <w:spacing w:line="360" w:lineRule="auto"/>
              <w:ind w:firstLine="0" w:firstLineChars="0"/>
              <w:rPr>
                <w:color w:val="auto"/>
                <w:kern w:val="0"/>
                <w:sz w:val="24"/>
                <w:szCs w:val="24"/>
              </w:rPr>
            </w:pPr>
            <w:r>
              <w:rPr>
                <w:rFonts w:hint="eastAsia"/>
                <w:color w:val="auto"/>
                <w:kern w:val="0"/>
                <w:sz w:val="24"/>
                <w:szCs w:val="24"/>
              </w:rPr>
              <w:t>负责组织、协调开展清连</w:t>
            </w:r>
            <w:r>
              <w:rPr>
                <w:color w:val="auto"/>
                <w:kern w:val="0"/>
                <w:sz w:val="24"/>
                <w:szCs w:val="24"/>
              </w:rPr>
              <w:t>高速内路段及桥梁</w:t>
            </w:r>
            <w:r>
              <w:rPr>
                <w:rFonts w:hint="eastAsia"/>
                <w:color w:val="auto"/>
                <w:kern w:val="0"/>
                <w:sz w:val="24"/>
                <w:szCs w:val="24"/>
              </w:rPr>
              <w:t>交通事故次生的水源地</w:t>
            </w:r>
            <w:r>
              <w:rPr>
                <w:rFonts w:hint="eastAsia"/>
                <w:color w:val="auto"/>
                <w:kern w:val="0"/>
                <w:sz w:val="24"/>
                <w:szCs w:val="24"/>
                <w:lang w:eastAsia="zh-CN"/>
              </w:rPr>
              <w:t>突发生态环境事件</w:t>
            </w:r>
            <w:r>
              <w:rPr>
                <w:rFonts w:hint="eastAsia"/>
                <w:color w:val="auto"/>
                <w:kern w:val="0"/>
                <w:sz w:val="24"/>
                <w:szCs w:val="24"/>
              </w:rPr>
              <w:t>应急</w:t>
            </w:r>
            <w:r>
              <w:rPr>
                <w:color w:val="auto"/>
                <w:kern w:val="0"/>
                <w:sz w:val="24"/>
                <w:szCs w:val="24"/>
              </w:rPr>
              <w:t>处置</w:t>
            </w:r>
            <w:r>
              <w:rPr>
                <w:rFonts w:hint="eastAsia"/>
                <w:color w:val="auto"/>
                <w:kern w:val="0"/>
                <w:sz w:val="24"/>
                <w:szCs w:val="24"/>
              </w:rPr>
              <w:t>，及时启用道路桥梁应急工程设施。</w:t>
            </w:r>
          </w:p>
        </w:tc>
      </w:tr>
    </w:tbl>
    <w:p>
      <w:pPr>
        <w:widowControl/>
        <w:ind w:firstLine="0" w:firstLineChars="0"/>
        <w:jc w:val="left"/>
        <w:rPr>
          <w:rFonts w:eastAsia="黑体"/>
          <w:color w:val="auto"/>
          <w:kern w:val="0"/>
          <w:sz w:val="18"/>
          <w:szCs w:val="18"/>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26" w:charSpace="0"/>
        </w:sectPr>
      </w:pPr>
      <w:r>
        <w:rPr>
          <w:rFonts w:eastAsia="黑体"/>
          <w:color w:val="auto"/>
          <w:szCs w:val="32"/>
        </w:rPr>
        <w:br w:type="page"/>
      </w:r>
    </w:p>
    <w:p>
      <w:pPr>
        <w:pStyle w:val="2"/>
        <w:jc w:val="both"/>
        <w:rPr>
          <w:rFonts w:hint="default" w:eastAsia="宋体"/>
          <w:color w:val="auto"/>
          <w:sz w:val="28"/>
          <w:szCs w:val="28"/>
          <w:lang w:val="en-US" w:eastAsia="zh-CN"/>
        </w:rPr>
      </w:pPr>
      <w:bookmarkStart w:id="91" w:name="_Toc527026596"/>
      <w:bookmarkStart w:id="92" w:name="_Toc523223380"/>
      <w:bookmarkStart w:id="93" w:name="_Toc523219332"/>
      <w:bookmarkStart w:id="94" w:name="_Toc523220136"/>
      <w:bookmarkStart w:id="95" w:name="_Toc523153567"/>
      <w:bookmarkStart w:id="96" w:name="_Toc20340"/>
      <w:bookmarkStart w:id="97" w:name="_Toc18084"/>
      <w:bookmarkStart w:id="98" w:name="_Toc528234274"/>
      <w:bookmarkStart w:id="99" w:name="_Toc529453138"/>
      <w:bookmarkStart w:id="100" w:name="_Toc522893263"/>
      <w:bookmarkStart w:id="101" w:name="_Toc529453292"/>
      <w:bookmarkStart w:id="102" w:name="_Toc523219621"/>
      <w:bookmarkStart w:id="103" w:name="_Toc523223920"/>
      <w:bookmarkStart w:id="104" w:name="_Toc5441"/>
      <w:r>
        <w:rPr>
          <w:color w:val="auto"/>
          <w:sz w:val="28"/>
          <w:szCs w:val="28"/>
        </w:rPr>
        <w:t>附件</w:t>
      </w:r>
      <w:bookmarkEnd w:id="91"/>
      <w:bookmarkEnd w:id="92"/>
      <w:bookmarkEnd w:id="93"/>
      <w:bookmarkEnd w:id="94"/>
      <w:bookmarkEnd w:id="95"/>
      <w:bookmarkEnd w:id="96"/>
      <w:bookmarkEnd w:id="97"/>
      <w:bookmarkEnd w:id="98"/>
      <w:bookmarkEnd w:id="99"/>
      <w:bookmarkEnd w:id="100"/>
      <w:bookmarkEnd w:id="101"/>
      <w:bookmarkEnd w:id="102"/>
      <w:bookmarkEnd w:id="103"/>
      <w:r>
        <w:rPr>
          <w:rFonts w:hint="eastAsia"/>
          <w:color w:val="auto"/>
          <w:sz w:val="28"/>
          <w:szCs w:val="28"/>
          <w:lang w:val="en-US" w:eastAsia="zh-CN"/>
        </w:rPr>
        <w:t xml:space="preserve">2 </w:t>
      </w:r>
      <w:r>
        <w:rPr>
          <w:color w:val="auto"/>
          <w:sz w:val="28"/>
          <w:szCs w:val="28"/>
        </w:rPr>
        <w:t>应急工作组组成及职责</w:t>
      </w:r>
      <w:r>
        <w:rPr>
          <w:rFonts w:hint="eastAsia"/>
          <w:color w:val="auto"/>
          <w:sz w:val="28"/>
          <w:szCs w:val="28"/>
          <w:lang w:eastAsia="zh-CN"/>
        </w:rPr>
        <w:t>、</w:t>
      </w:r>
      <w:r>
        <w:rPr>
          <w:rFonts w:hint="eastAsia"/>
          <w:color w:val="auto"/>
          <w:sz w:val="28"/>
          <w:szCs w:val="28"/>
          <w:lang w:val="en-US" w:eastAsia="zh-CN"/>
        </w:rPr>
        <w:t>应急通讯录</w:t>
      </w:r>
      <w:bookmarkEnd w:id="104"/>
    </w:p>
    <w:tbl>
      <w:tblPr>
        <w:tblStyle w:val="42"/>
        <w:tblW w:w="14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4"/>
        <w:gridCol w:w="7466"/>
        <w:gridCol w:w="5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blHeader/>
          <w:jc w:val="center"/>
        </w:trPr>
        <w:tc>
          <w:tcPr>
            <w:tcW w:w="1634" w:type="dxa"/>
            <w:vAlign w:val="center"/>
          </w:tcPr>
          <w:p>
            <w:pPr>
              <w:snapToGrid w:val="0"/>
              <w:spacing w:line="360" w:lineRule="auto"/>
              <w:ind w:left="0" w:leftChars="0" w:right="0" w:rightChars="0" w:firstLine="0" w:firstLineChars="0"/>
              <w:jc w:val="center"/>
              <w:rPr>
                <w:b/>
                <w:color w:val="auto"/>
                <w:kern w:val="0"/>
                <w:sz w:val="24"/>
                <w:szCs w:val="24"/>
                <w:lang w:val="zh-CN"/>
              </w:rPr>
            </w:pPr>
            <w:r>
              <w:rPr>
                <w:b/>
                <w:color w:val="auto"/>
                <w:kern w:val="0"/>
                <w:sz w:val="24"/>
                <w:szCs w:val="24"/>
                <w:lang w:val="zh-CN"/>
              </w:rPr>
              <w:t>工作组</w:t>
            </w:r>
          </w:p>
        </w:tc>
        <w:tc>
          <w:tcPr>
            <w:tcW w:w="7466" w:type="dxa"/>
            <w:vAlign w:val="center"/>
          </w:tcPr>
          <w:p>
            <w:pPr>
              <w:snapToGrid w:val="0"/>
              <w:spacing w:line="360" w:lineRule="auto"/>
              <w:ind w:left="0" w:leftChars="0" w:right="0" w:rightChars="0" w:firstLine="0" w:firstLineChars="0"/>
              <w:jc w:val="center"/>
              <w:rPr>
                <w:b/>
                <w:color w:val="auto"/>
                <w:kern w:val="0"/>
                <w:sz w:val="24"/>
                <w:szCs w:val="24"/>
                <w:lang w:val="zh-CN"/>
              </w:rPr>
            </w:pPr>
            <w:r>
              <w:rPr>
                <w:b/>
                <w:color w:val="auto"/>
                <w:kern w:val="0"/>
                <w:sz w:val="24"/>
                <w:szCs w:val="24"/>
                <w:lang w:val="zh-CN"/>
              </w:rPr>
              <w:t>单位名称</w:t>
            </w:r>
          </w:p>
        </w:tc>
        <w:tc>
          <w:tcPr>
            <w:tcW w:w="5019" w:type="dxa"/>
            <w:vAlign w:val="center"/>
          </w:tcPr>
          <w:p>
            <w:pPr>
              <w:snapToGrid w:val="0"/>
              <w:spacing w:line="360" w:lineRule="auto"/>
              <w:ind w:left="0" w:leftChars="0" w:right="0" w:rightChars="0" w:firstLine="0" w:firstLineChars="0"/>
              <w:jc w:val="center"/>
              <w:rPr>
                <w:b/>
                <w:color w:val="auto"/>
                <w:kern w:val="0"/>
                <w:sz w:val="24"/>
                <w:szCs w:val="24"/>
                <w:lang w:val="zh-CN"/>
              </w:rPr>
            </w:pPr>
            <w:r>
              <w:rPr>
                <w:b/>
                <w:color w:val="auto"/>
                <w:kern w:val="0"/>
                <w:sz w:val="24"/>
                <w:szCs w:val="24"/>
                <w:lang w:val="zh-CN"/>
              </w:rPr>
              <w:t>应急职责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restart"/>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现场处置组</w:t>
            </w: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清远</w:t>
            </w:r>
            <w:r>
              <w:rPr>
                <w:color w:val="auto"/>
                <w:kern w:val="0"/>
                <w:sz w:val="24"/>
                <w:szCs w:val="24"/>
                <w:lang w:val="zh-CN"/>
              </w:rPr>
              <w:t>市生态环境局清新分局</w:t>
            </w:r>
          </w:p>
        </w:tc>
        <w:tc>
          <w:tcPr>
            <w:tcW w:w="5019" w:type="dxa"/>
            <w:vMerge w:val="restart"/>
            <w:vAlign w:val="center"/>
          </w:tcPr>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（1）负责污染源排查；</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（2）负责组织制定应急处置方案；</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（3）负责现场污染物消除、围堵和削减，以及污染物收集、转运和异地处置等工作。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市公安局清新分局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区交通运输局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清远</w:t>
            </w:r>
            <w:r>
              <w:rPr>
                <w:color w:val="auto"/>
                <w:kern w:val="0"/>
                <w:sz w:val="24"/>
                <w:szCs w:val="24"/>
                <w:lang w:val="zh-CN"/>
              </w:rPr>
              <w:t>市自然资源局清新分局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区水利局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区农业农村局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区应急管理局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rFonts w:hint="eastAsia" w:eastAsia="宋体"/>
                <w:color w:val="auto"/>
                <w:kern w:val="0"/>
                <w:sz w:val="24"/>
                <w:szCs w:val="24"/>
                <w:lang w:val="zh-CN" w:eastAsia="zh-CN"/>
              </w:rPr>
            </w:pPr>
            <w:r>
              <w:rPr>
                <w:rFonts w:hint="eastAsia" w:ascii="宋体" w:hAnsi="宋体" w:cs="宋体"/>
                <w:color w:val="auto"/>
                <w:sz w:val="24"/>
                <w:szCs w:val="24"/>
                <w:lang w:eastAsia="zh-CN"/>
              </w:rPr>
              <w:t>区消防救援局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zh-CN"/>
              </w:rPr>
              <w:t>区城市管理和综合执法局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太和</w:t>
            </w:r>
            <w:r>
              <w:rPr>
                <w:rFonts w:hint="eastAsia"/>
                <w:color w:val="auto"/>
                <w:kern w:val="0"/>
                <w:sz w:val="24"/>
                <w:szCs w:val="24"/>
                <w:lang w:val="zh-CN"/>
              </w:rPr>
              <w:t>镇人民政府</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rPr>
              <w:t>清远市清新区太和供水有限公司</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rFonts w:hint="eastAsia"/>
                <w:color w:val="auto"/>
                <w:kern w:val="0"/>
                <w:sz w:val="24"/>
                <w:szCs w:val="24"/>
                <w:lang w:eastAsia="zh-CN"/>
              </w:rPr>
            </w:pPr>
            <w:r>
              <w:rPr>
                <w:rFonts w:hint="eastAsia"/>
                <w:color w:val="auto"/>
                <w:kern w:val="0"/>
                <w:sz w:val="24"/>
                <w:szCs w:val="24"/>
                <w:lang w:eastAsia="zh-CN"/>
              </w:rPr>
              <w:t>清新区迳口自来水厂</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tcBorders>
              <w:bottom w:val="single" w:color="auto" w:sz="4" w:space="0"/>
            </w:tcBorders>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tcBorders>
              <w:bottom w:val="single" w:color="auto" w:sz="4" w:space="0"/>
            </w:tcBorders>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zh-CN"/>
              </w:rPr>
              <w:t>广东清连公路发展有限公司</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634" w:type="dxa"/>
            <w:tcBorders>
              <w:top w:val="single" w:color="auto" w:sz="4" w:space="0"/>
              <w:left w:val="single" w:color="auto" w:sz="4" w:space="0"/>
              <w:bottom w:val="single" w:color="auto" w:sz="4" w:space="0"/>
            </w:tcBorders>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专家咨询组</w:t>
            </w:r>
          </w:p>
        </w:tc>
        <w:tc>
          <w:tcPr>
            <w:tcW w:w="7466" w:type="dxa"/>
            <w:tcBorders>
              <w:top w:val="single" w:color="auto" w:sz="4" w:space="0"/>
              <w:bottom w:val="single" w:color="auto" w:sz="4" w:space="0"/>
              <w:right w:val="single" w:color="auto" w:sz="4" w:space="0"/>
            </w:tcBorders>
            <w:vAlign w:val="center"/>
          </w:tcPr>
          <w:p>
            <w:pPr>
              <w:snapToGrid w:val="0"/>
              <w:spacing w:line="360" w:lineRule="auto"/>
              <w:ind w:left="0" w:leftChars="0" w:right="0" w:rightChars="0" w:firstLine="0" w:firstLineChars="0"/>
              <w:jc w:val="both"/>
              <w:rPr>
                <w:color w:val="auto"/>
                <w:kern w:val="0"/>
                <w:sz w:val="24"/>
                <w:szCs w:val="24"/>
                <w:lang w:val="zh-CN"/>
              </w:rPr>
            </w:pPr>
            <w:r>
              <w:rPr>
                <w:color w:val="auto"/>
                <w:kern w:val="0"/>
                <w:sz w:val="24"/>
                <w:szCs w:val="24"/>
                <w:lang w:val="zh-CN"/>
              </w:rPr>
              <w:t>环境应急专家库由大专院校、科研机构、企业事业单位的环境、监测、化工、生态、水利水文、辐射、防化等专业领域专家组成，负责参与指导</w:t>
            </w:r>
            <w:r>
              <w:rPr>
                <w:rFonts w:hint="eastAsia"/>
                <w:color w:val="auto"/>
                <w:kern w:val="0"/>
                <w:sz w:val="24"/>
                <w:szCs w:val="24"/>
                <w:lang w:val="zh-CN"/>
              </w:rPr>
              <w:t>突发生态环境事件</w:t>
            </w:r>
            <w:r>
              <w:rPr>
                <w:color w:val="auto"/>
                <w:kern w:val="0"/>
                <w:sz w:val="24"/>
                <w:szCs w:val="24"/>
                <w:lang w:val="zh-CN"/>
              </w:rPr>
              <w:t>应急处置工作，为应急指挥决策提供技术支持。环境应急专家从清远市专家库中抽调。</w:t>
            </w:r>
          </w:p>
        </w:tc>
        <w:tc>
          <w:tcPr>
            <w:tcW w:w="5019" w:type="dxa"/>
            <w:tcBorders>
              <w:left w:val="single" w:color="auto" w:sz="4" w:space="0"/>
            </w:tcBorders>
            <w:vAlign w:val="center"/>
          </w:tcPr>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（1）对事故风险源和事故原因进行分析和判断，对事件信息进行综合分析和研究，协助判别事件类型和等级；</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（2）对水源地水质污染事件的危害范围、程度、发展态势做出估计；</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（3）为污染源控制、水利工程调度、水质监测、卫生防疫、供水单位深度净化等应急处置方案的制定提供技术支持；</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（4）参与</w:t>
            </w:r>
            <w:r>
              <w:rPr>
                <w:rFonts w:hint="eastAsia"/>
                <w:color w:val="auto"/>
                <w:kern w:val="0"/>
                <w:sz w:val="24"/>
                <w:szCs w:val="24"/>
                <w:lang w:val="zh-CN"/>
              </w:rPr>
              <w:t>突发生态环境事件</w:t>
            </w:r>
            <w:r>
              <w:rPr>
                <w:color w:val="auto"/>
                <w:kern w:val="0"/>
                <w:sz w:val="24"/>
                <w:szCs w:val="24"/>
                <w:lang w:val="zh-CN"/>
              </w:rPr>
              <w:t>的调查，对事故处理提出咨询意见。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1634" w:type="dxa"/>
            <w:vMerge w:val="restart"/>
            <w:tcBorders>
              <w:top w:val="single" w:color="auto" w:sz="4" w:space="0"/>
            </w:tcBorders>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应急监测组</w:t>
            </w:r>
          </w:p>
        </w:tc>
        <w:tc>
          <w:tcPr>
            <w:tcW w:w="7466" w:type="dxa"/>
            <w:tcBorders>
              <w:top w:val="single" w:color="auto" w:sz="4" w:space="0"/>
            </w:tcBorders>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清远</w:t>
            </w:r>
            <w:r>
              <w:rPr>
                <w:color w:val="auto"/>
                <w:kern w:val="0"/>
                <w:sz w:val="24"/>
                <w:szCs w:val="24"/>
                <w:lang w:val="zh-CN"/>
              </w:rPr>
              <w:t>市生态环境局清新分局</w:t>
            </w:r>
          </w:p>
        </w:tc>
        <w:tc>
          <w:tcPr>
            <w:tcW w:w="5019" w:type="dxa"/>
            <w:vMerge w:val="restart"/>
            <w:vAlign w:val="center"/>
          </w:tcPr>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（1）负责制定应急监测方案；</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（2）</w:t>
            </w:r>
            <w:r>
              <w:rPr>
                <w:rFonts w:hint="eastAsia"/>
                <w:color w:val="auto"/>
                <w:kern w:val="0"/>
                <w:sz w:val="24"/>
                <w:szCs w:val="24"/>
                <w:lang w:val="zh-CN" w:eastAsia="zh-CN"/>
              </w:rPr>
              <w:t>负责在</w:t>
            </w:r>
            <w:r>
              <w:rPr>
                <w:rFonts w:hint="default"/>
                <w:color w:val="auto"/>
                <w:kern w:val="0"/>
                <w:sz w:val="24"/>
                <w:szCs w:val="24"/>
                <w:lang w:val="zh-CN" w:eastAsia="zh-CN"/>
              </w:rPr>
              <w:t>饮用水源保护区边界和水厂取水口等敏感区域、污染带上游、下游</w:t>
            </w:r>
            <w:r>
              <w:rPr>
                <w:rFonts w:hint="eastAsia"/>
                <w:color w:val="auto"/>
                <w:kern w:val="0"/>
                <w:sz w:val="24"/>
                <w:szCs w:val="24"/>
                <w:lang w:val="en-US" w:eastAsia="zh-CN"/>
              </w:rPr>
              <w:t>采样监测</w:t>
            </w:r>
            <w:r>
              <w:rPr>
                <w:color w:val="auto"/>
                <w:kern w:val="0"/>
                <w:sz w:val="24"/>
                <w:szCs w:val="24"/>
                <w:lang w:val="zh-CN"/>
              </w:rPr>
              <w:t>；</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（3）负责应急期间的水源地、供水单位和管网末梢水的水质监测。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区水利局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区农业农村局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清远</w:t>
            </w:r>
            <w:r>
              <w:rPr>
                <w:color w:val="auto"/>
                <w:kern w:val="0"/>
                <w:sz w:val="24"/>
                <w:szCs w:val="24"/>
                <w:lang w:val="zh-CN"/>
              </w:rPr>
              <w:t>市自然资源局清新分局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zh-CN" w:eastAsia="zh-CN"/>
              </w:rPr>
              <w:t>清新区疾病预防控制中心</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zh-CN"/>
              </w:rPr>
              <w:t>区气象局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太和</w:t>
            </w:r>
            <w:r>
              <w:rPr>
                <w:rFonts w:hint="eastAsia"/>
                <w:color w:val="auto"/>
                <w:kern w:val="0"/>
                <w:sz w:val="24"/>
                <w:szCs w:val="24"/>
                <w:lang w:val="zh-CN"/>
              </w:rPr>
              <w:t>镇人民政府</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rPr>
              <w:t>清远市清新区太和供水有限公司</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eastAsia="zh-CN"/>
              </w:rPr>
              <w:t>清新区迳口自来水厂</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restart"/>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供水保障组</w:t>
            </w: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区水利局</w:t>
            </w:r>
          </w:p>
        </w:tc>
        <w:tc>
          <w:tcPr>
            <w:tcW w:w="5019" w:type="dxa"/>
            <w:vMerge w:val="restart"/>
            <w:vAlign w:val="center"/>
          </w:tcPr>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（1）负责开展水源净化、备用水源以及污染物截留与处置等应急工程的建设工作；</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（2）制订应急供水调度方案；</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（3）按照应急处置方案的总体要求，做好应急供水调度，最大程度地减小事件对供水工程的影响。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清远</w:t>
            </w:r>
            <w:r>
              <w:rPr>
                <w:rFonts w:hint="eastAsia"/>
                <w:color w:val="auto"/>
                <w:kern w:val="0"/>
                <w:sz w:val="24"/>
                <w:szCs w:val="24"/>
                <w:lang w:val="zh-CN"/>
              </w:rPr>
              <w:t>市生态环境局清新分局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zh-CN"/>
              </w:rPr>
              <w:t>区城市管理和综合执法局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zh-CN"/>
              </w:rPr>
              <w:t>区卫生</w:t>
            </w:r>
            <w:r>
              <w:rPr>
                <w:color w:val="auto"/>
                <w:kern w:val="0"/>
                <w:sz w:val="24"/>
                <w:szCs w:val="24"/>
                <w:lang w:val="zh-CN"/>
              </w:rPr>
              <w:t>健康局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太和</w:t>
            </w:r>
            <w:r>
              <w:rPr>
                <w:rFonts w:hint="eastAsia"/>
                <w:color w:val="auto"/>
                <w:kern w:val="0"/>
                <w:sz w:val="24"/>
                <w:szCs w:val="24"/>
                <w:lang w:val="zh-CN"/>
              </w:rPr>
              <w:t>镇人民政府</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rFonts w:hint="eastAsia"/>
                <w:color w:val="auto"/>
                <w:kern w:val="0"/>
                <w:sz w:val="24"/>
                <w:szCs w:val="24"/>
                <w:lang w:val="en-US" w:eastAsia="zh-CN"/>
              </w:rPr>
            </w:pPr>
            <w:r>
              <w:rPr>
                <w:rFonts w:hint="eastAsia"/>
                <w:color w:val="auto"/>
                <w:kern w:val="0"/>
                <w:sz w:val="24"/>
                <w:szCs w:val="24"/>
                <w:lang w:eastAsia="zh-CN"/>
              </w:rPr>
              <w:t>清远市清新区太和供水有限公司</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eastAsia="zh-CN"/>
              </w:rPr>
              <w:t>清新区迳口自来水厂</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634" w:type="dxa"/>
            <w:vMerge w:val="restart"/>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医学救援组</w:t>
            </w: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区卫生健康局</w:t>
            </w:r>
          </w:p>
        </w:tc>
        <w:tc>
          <w:tcPr>
            <w:tcW w:w="5019" w:type="dxa"/>
            <w:vMerge w:val="restart"/>
            <w:vAlign w:val="center"/>
          </w:tcPr>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（1）组织开展伤、病人员医疗救治、心理辅导；</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（2）提出保护公众健康的措施建议；</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（3）禁止或限制受污染食品和饮用水的生产、加工、流通和食用，防范因</w:t>
            </w:r>
            <w:r>
              <w:rPr>
                <w:color w:val="auto"/>
                <w:kern w:val="0"/>
                <w:sz w:val="24"/>
                <w:szCs w:val="24"/>
                <w:lang w:val="en-US"/>
              </w:rPr>
              <w:t>突发生态环境事件</w:t>
            </w:r>
            <w:r>
              <w:rPr>
                <w:color w:val="auto"/>
                <w:kern w:val="0"/>
                <w:sz w:val="24"/>
                <w:szCs w:val="24"/>
                <w:lang w:val="zh-CN"/>
              </w:rPr>
              <w:t>造成集体中毒等。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zh-CN"/>
              </w:rPr>
              <w:t>区</w:t>
            </w:r>
            <w:r>
              <w:rPr>
                <w:color w:val="auto"/>
                <w:kern w:val="0"/>
                <w:sz w:val="24"/>
                <w:szCs w:val="24"/>
                <w:lang w:val="zh-CN"/>
              </w:rPr>
              <w:t>应急管理局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区市场监督管理局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太和</w:t>
            </w:r>
            <w:r>
              <w:rPr>
                <w:rFonts w:hint="eastAsia"/>
                <w:color w:val="auto"/>
                <w:kern w:val="0"/>
                <w:sz w:val="24"/>
                <w:szCs w:val="24"/>
                <w:lang w:val="zh-CN"/>
              </w:rPr>
              <w:t>镇人民政府</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634" w:type="dxa"/>
            <w:vMerge w:val="restart"/>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应急保障组</w:t>
            </w: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区发展和改革局</w:t>
            </w:r>
          </w:p>
        </w:tc>
        <w:tc>
          <w:tcPr>
            <w:tcW w:w="5019" w:type="dxa"/>
            <w:vMerge w:val="restart"/>
            <w:vAlign w:val="center"/>
          </w:tcPr>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（1）负责指导做好事件影响区域有关人员的紧急转移和临时安置工作；</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（2）督促供水企业在应急期间采取各种应急处置措施，保证出厂水质达标，保障居民饮用水安全；</w:t>
            </w:r>
          </w:p>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（3）负责统筹组织应对处置突发事件所需的应急装备、应急物资的保障工作。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区工业和信息化局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区财政局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zh-CN"/>
              </w:rPr>
              <w:t>区</w:t>
            </w:r>
            <w:r>
              <w:rPr>
                <w:color w:val="auto"/>
                <w:kern w:val="0"/>
                <w:sz w:val="24"/>
                <w:szCs w:val="24"/>
                <w:lang w:val="zh-CN"/>
              </w:rPr>
              <w:t>应急管理局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区民政局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区住房和城乡建设局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清新供电局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太和</w:t>
            </w:r>
            <w:r>
              <w:rPr>
                <w:rFonts w:hint="eastAsia"/>
                <w:color w:val="auto"/>
                <w:kern w:val="0"/>
                <w:sz w:val="24"/>
                <w:szCs w:val="24"/>
                <w:lang w:val="zh-CN"/>
              </w:rPr>
              <w:t>镇人民政府</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634" w:type="dxa"/>
            <w:vMerge w:val="restart"/>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新闻宣传组</w:t>
            </w: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区委宣传部</w:t>
            </w:r>
          </w:p>
        </w:tc>
        <w:tc>
          <w:tcPr>
            <w:tcW w:w="5019" w:type="dxa"/>
            <w:vMerge w:val="restart"/>
            <w:vAlign w:val="center"/>
          </w:tcPr>
          <w:p>
            <w:pPr>
              <w:snapToGrid w:val="0"/>
              <w:spacing w:line="360" w:lineRule="auto"/>
              <w:ind w:left="0" w:leftChars="0" w:right="0" w:rightChars="0" w:firstLine="0" w:firstLineChars="0"/>
              <w:jc w:val="left"/>
              <w:rPr>
                <w:color w:val="auto"/>
                <w:kern w:val="0"/>
                <w:sz w:val="24"/>
                <w:szCs w:val="24"/>
                <w:lang w:val="zh-CN"/>
              </w:rPr>
            </w:pPr>
            <w:r>
              <w:rPr>
                <w:color w:val="auto"/>
                <w:kern w:val="0"/>
                <w:sz w:val="24"/>
                <w:szCs w:val="24"/>
                <w:lang w:val="zh-CN"/>
              </w:rPr>
              <w:t>主动、及时、准确、客观地向社会发布</w:t>
            </w:r>
            <w:r>
              <w:rPr>
                <w:rFonts w:hint="eastAsia"/>
                <w:color w:val="auto"/>
                <w:kern w:val="0"/>
                <w:sz w:val="24"/>
                <w:szCs w:val="24"/>
                <w:lang w:val="zh-CN"/>
              </w:rPr>
              <w:t>突发生态环境事件</w:t>
            </w:r>
            <w:r>
              <w:rPr>
                <w:color w:val="auto"/>
                <w:kern w:val="0"/>
                <w:sz w:val="24"/>
                <w:szCs w:val="24"/>
                <w:lang w:val="zh-CN"/>
              </w:rPr>
              <w:t>和应对工作信息，回应社会关切问题，澄清不实信息，正确引导社会舆论。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区文化广电旅游体育局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color w:val="auto"/>
                <w:kern w:val="0"/>
                <w:sz w:val="24"/>
                <w:szCs w:val="24"/>
                <w:lang w:val="zh-CN"/>
              </w:rPr>
              <w:t>区司法局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清远</w:t>
            </w:r>
            <w:r>
              <w:rPr>
                <w:color w:val="auto"/>
                <w:kern w:val="0"/>
                <w:sz w:val="24"/>
                <w:szCs w:val="24"/>
                <w:lang w:val="zh-CN"/>
              </w:rPr>
              <w:t>市公安局清新分局</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zh-CN"/>
              </w:rPr>
              <w:t>区融媒体中心（清新电视台）</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634" w:type="dxa"/>
            <w:vMerge w:val="continue"/>
            <w:vAlign w:val="center"/>
          </w:tcPr>
          <w:p>
            <w:pPr>
              <w:snapToGrid w:val="0"/>
              <w:spacing w:line="360" w:lineRule="auto"/>
              <w:ind w:left="0" w:leftChars="0" w:right="0" w:rightChars="0" w:firstLine="0" w:firstLineChars="0"/>
              <w:jc w:val="center"/>
              <w:rPr>
                <w:color w:val="auto"/>
                <w:kern w:val="0"/>
                <w:sz w:val="24"/>
                <w:szCs w:val="24"/>
                <w:lang w:val="zh-CN"/>
              </w:rPr>
            </w:pPr>
          </w:p>
        </w:tc>
        <w:tc>
          <w:tcPr>
            <w:tcW w:w="7466" w:type="dxa"/>
            <w:vAlign w:val="center"/>
          </w:tcPr>
          <w:p>
            <w:pPr>
              <w:snapToGrid w:val="0"/>
              <w:spacing w:line="360" w:lineRule="auto"/>
              <w:ind w:left="0" w:leftChars="0" w:right="0" w:rightChars="0" w:firstLine="0" w:firstLineChars="0"/>
              <w:jc w:val="center"/>
              <w:rPr>
                <w:color w:val="auto"/>
                <w:kern w:val="0"/>
                <w:sz w:val="24"/>
                <w:szCs w:val="24"/>
                <w:lang w:val="zh-CN"/>
              </w:rPr>
            </w:pPr>
            <w:r>
              <w:rPr>
                <w:rFonts w:hint="eastAsia"/>
                <w:color w:val="auto"/>
                <w:kern w:val="0"/>
                <w:sz w:val="24"/>
                <w:szCs w:val="24"/>
                <w:lang w:val="en-US" w:eastAsia="zh-CN"/>
              </w:rPr>
              <w:t>太和</w:t>
            </w:r>
            <w:r>
              <w:rPr>
                <w:rFonts w:hint="eastAsia"/>
                <w:color w:val="auto"/>
                <w:kern w:val="0"/>
                <w:sz w:val="24"/>
                <w:szCs w:val="24"/>
                <w:lang w:val="zh-CN"/>
              </w:rPr>
              <w:t>镇人民政府</w:t>
            </w:r>
          </w:p>
        </w:tc>
        <w:tc>
          <w:tcPr>
            <w:tcW w:w="5019" w:type="dxa"/>
            <w:vMerge w:val="continue"/>
            <w:vAlign w:val="center"/>
          </w:tcPr>
          <w:p>
            <w:pPr>
              <w:snapToGrid w:val="0"/>
              <w:spacing w:line="360" w:lineRule="auto"/>
              <w:ind w:left="0" w:leftChars="0" w:right="0" w:rightChars="0" w:firstLine="0" w:firstLineChars="0"/>
              <w:jc w:val="left"/>
              <w:rPr>
                <w:color w:val="auto"/>
                <w:kern w:val="0"/>
                <w:sz w:val="24"/>
                <w:szCs w:val="24"/>
                <w:lang w:val="zh-CN"/>
              </w:rPr>
            </w:pPr>
          </w:p>
        </w:tc>
      </w:tr>
    </w:tbl>
    <w:p>
      <w:pPr>
        <w:ind w:firstLine="480"/>
        <w:rPr>
          <w:color w:val="auto"/>
        </w:rPr>
      </w:pPr>
    </w:p>
    <w:p>
      <w:pPr>
        <w:rPr>
          <w:color w:val="auto"/>
        </w:rPr>
      </w:pPr>
      <w:r>
        <w:rPr>
          <w:color w:val="auto"/>
        </w:rPr>
        <w:br w:type="page"/>
      </w:r>
    </w:p>
    <w:p>
      <w:pPr>
        <w:jc w:val="center"/>
        <w:rPr>
          <w:rFonts w:hint="eastAsia"/>
          <w:sz w:val="28"/>
          <w:szCs w:val="28"/>
          <w:lang w:val="en-US" w:eastAsia="zh-CN"/>
        </w:rPr>
      </w:pPr>
      <w:r>
        <w:rPr>
          <w:rFonts w:hint="eastAsia"/>
          <w:sz w:val="28"/>
          <w:szCs w:val="28"/>
        </w:rPr>
        <w:t>滨江河三坑滩饮用水水源保护区</w:t>
      </w:r>
      <w:r>
        <w:rPr>
          <w:rFonts w:hint="eastAsia"/>
          <w:sz w:val="28"/>
          <w:szCs w:val="28"/>
          <w:lang w:eastAsia="zh-CN"/>
        </w:rPr>
        <w:t>突发生态环境事件</w:t>
      </w:r>
      <w:r>
        <w:rPr>
          <w:rFonts w:hint="eastAsia"/>
          <w:sz w:val="28"/>
          <w:szCs w:val="28"/>
          <w:lang w:val="en-US" w:eastAsia="zh-CN"/>
        </w:rPr>
        <w:t>应急通讯录</w:t>
      </w:r>
    </w:p>
    <w:tbl>
      <w:tblPr>
        <w:tblStyle w:val="43"/>
        <w:tblW w:w="13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3144"/>
        <w:gridCol w:w="1763"/>
        <w:gridCol w:w="2241"/>
        <w:gridCol w:w="1748"/>
        <w:gridCol w:w="2122"/>
        <w:gridCol w:w="2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序号</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单位名称</w:t>
            </w:r>
          </w:p>
        </w:tc>
        <w:tc>
          <w:tcPr>
            <w:tcW w:w="1763"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分管领导</w:t>
            </w:r>
          </w:p>
        </w:tc>
        <w:tc>
          <w:tcPr>
            <w:tcW w:w="2241"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手机号码</w:t>
            </w:r>
          </w:p>
        </w:tc>
        <w:tc>
          <w:tcPr>
            <w:tcW w:w="1748"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联络员</w:t>
            </w:r>
          </w:p>
        </w:tc>
        <w:tc>
          <w:tcPr>
            <w:tcW w:w="2122"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手机号码</w:t>
            </w:r>
          </w:p>
        </w:tc>
        <w:tc>
          <w:tcPr>
            <w:tcW w:w="2028"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应急办公电话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区委宣传部</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王流亮</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13828570115</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王华茹</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13413505651</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5819301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区发展改革局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陈健鹏</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13680004701</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刘通元</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13927608500</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5819683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3</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市公安局清新分局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黄德和</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19328822222</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徐梦晓</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19328822351</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4</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区工业和信息化局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白宜杰</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13631087155</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覃凯华</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13927668809</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5825498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区民政局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李灿荣</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13828552108</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罗杰炽</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13927648976</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5811405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6</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区司法局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陈键</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18926670400</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陈雅菁</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13924426428</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5832526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7</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区财政局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黄志洪</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13602930420</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吴映彤</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18023322727</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5812216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8</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市自然资源局清新分局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徐洁</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13927661051</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王思梦</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15565347810</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5202989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9</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市生态环境局清新分局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姚晓明</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13500292302</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姚永杰</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13926661089</w:t>
            </w:r>
          </w:p>
        </w:tc>
        <w:tc>
          <w:tcPr>
            <w:tcW w:w="2028" w:type="dxa"/>
            <w:noWrap w:val="0"/>
            <w:vAlign w:val="center"/>
          </w:tcPr>
          <w:p>
            <w:pPr>
              <w:spacing w:line="360" w:lineRule="auto"/>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5811104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10</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区住房城乡建设局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阮敏桢</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13926611873</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龙志昊</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15816290270</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5822056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11</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区交通运输局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黄永锋</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13509263833</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成梓豪</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13727122350</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5810585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12</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区水利局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陈文洪</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13501456630</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邓琬琳</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19926392488</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5828995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区农业农村局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侯振江</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13922562203</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张祖健</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13211117832</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5825160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14</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区文化广电旅游体育局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冯权锋</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13750121683</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方仲尧</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13602930683</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5831622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15</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区卫生健康局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李初升</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13509260360</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罗青</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15362767680</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5810720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16</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区应急管理局</w:t>
            </w:r>
          </w:p>
        </w:tc>
        <w:tc>
          <w:tcPr>
            <w:tcW w:w="1763"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何焯飞</w:t>
            </w:r>
          </w:p>
        </w:tc>
        <w:tc>
          <w:tcPr>
            <w:tcW w:w="2241"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13926613655</w:t>
            </w:r>
          </w:p>
        </w:tc>
        <w:tc>
          <w:tcPr>
            <w:tcW w:w="1748"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刘伟青</w:t>
            </w:r>
          </w:p>
        </w:tc>
        <w:tc>
          <w:tcPr>
            <w:tcW w:w="2122"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13828585686</w:t>
            </w:r>
          </w:p>
        </w:tc>
        <w:tc>
          <w:tcPr>
            <w:tcW w:w="2028"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5835708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17</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区市场监管局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郑东华</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13509253991</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万文婷</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13828567464</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5813116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18</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区城市管理综合执法局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林庆忠</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19902843300</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廖颖琦</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19902840224</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5810913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19</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区林业局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黄国英</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13501457005</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骆文星</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13922562978</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5810235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20</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区气象局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林雪仪</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15219096063</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彭窈</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13431996675</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5722620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21</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区消防救援局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毛奕健</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13927601195</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桂振翔</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19534535306</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5820421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22</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zh-CN" w:eastAsia="zh-CN"/>
              </w:rPr>
              <w:t>清新供电局</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张远刚</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13902354318</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黄世其</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13631082033</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5837114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23</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zh-CN" w:eastAsia="zh-CN"/>
              </w:rPr>
              <w:t>区融媒体中心</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温国军</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13542498694</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李必纳</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13927630788</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5822616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24</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太和镇人民政府</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梁彦</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13922560636</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邓家乐</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15813263068</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5810219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25</w:t>
            </w:r>
          </w:p>
        </w:tc>
        <w:tc>
          <w:tcPr>
            <w:tcW w:w="3144"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清远市清新区太和供水有限公司</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张晓辉</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13828566361</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第一水厂厂长：孟凡宾</w:t>
            </w:r>
          </w:p>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第二水厂厂长：</w:t>
            </w:r>
            <w:r>
              <w:rPr>
                <w:rFonts w:hint="default" w:ascii="仿宋_GB2312" w:hAnsi="仿宋_GB2312" w:eastAsia="仿宋_GB2312" w:cs="仿宋_GB2312"/>
                <w:color w:val="auto"/>
                <w:sz w:val="24"/>
                <w:szCs w:val="24"/>
                <w:vertAlign w:val="baseline"/>
                <w:lang w:val="en-US" w:eastAsia="zh-CN"/>
              </w:rPr>
              <w:t>李雨宁</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13922561685</w:t>
            </w:r>
          </w:p>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13926665599</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0763-5812881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93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26</w:t>
            </w:r>
          </w:p>
        </w:tc>
        <w:tc>
          <w:tcPr>
            <w:tcW w:w="3144" w:type="dxa"/>
            <w:noWrap w:val="0"/>
            <w:vAlign w:val="top"/>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清远市清新区滨源水业投资开发集团有限公司</w:t>
            </w:r>
          </w:p>
        </w:tc>
        <w:tc>
          <w:tcPr>
            <w:tcW w:w="1763"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邓子安</w:t>
            </w:r>
          </w:p>
        </w:tc>
        <w:tc>
          <w:tcPr>
            <w:tcW w:w="2241"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13926611407</w:t>
            </w:r>
          </w:p>
        </w:tc>
        <w:tc>
          <w:tcPr>
            <w:tcW w:w="174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唐海峰</w:t>
            </w:r>
          </w:p>
        </w:tc>
        <w:tc>
          <w:tcPr>
            <w:tcW w:w="2122"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18998614321</w:t>
            </w:r>
          </w:p>
        </w:tc>
        <w:tc>
          <w:tcPr>
            <w:tcW w:w="2028" w:type="dxa"/>
            <w:noWrap w:val="0"/>
            <w:vAlign w:val="center"/>
          </w:tcPr>
          <w:p>
            <w:pPr>
              <w:spacing w:line="360" w:lineRule="auto"/>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5818002</w:t>
            </w:r>
          </w:p>
        </w:tc>
      </w:tr>
    </w:tbl>
    <w:p>
      <w:pPr>
        <w:spacing w:line="240" w:lineRule="auto"/>
        <w:ind w:firstLine="0" w:firstLineChars="0"/>
        <w:rPr>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26" w:charSpace="0"/>
        </w:sectPr>
      </w:pPr>
    </w:p>
    <w:p>
      <w:pPr>
        <w:pStyle w:val="2"/>
        <w:jc w:val="both"/>
        <w:rPr>
          <w:color w:val="auto"/>
          <w:sz w:val="28"/>
          <w:szCs w:val="28"/>
        </w:rPr>
      </w:pPr>
      <w:bookmarkStart w:id="105" w:name="_Toc523223928"/>
      <w:bookmarkStart w:id="106" w:name="_Toc523153575"/>
      <w:bookmarkStart w:id="107" w:name="_Toc523219629"/>
      <w:bookmarkStart w:id="108" w:name="_Toc529453145"/>
      <w:bookmarkStart w:id="109" w:name="_Toc528234281"/>
      <w:bookmarkStart w:id="110" w:name="_Toc523220144"/>
      <w:bookmarkStart w:id="111" w:name="_Toc523223388"/>
      <w:bookmarkStart w:id="112" w:name="_Toc12884"/>
      <w:bookmarkStart w:id="113" w:name="_Toc529453299"/>
      <w:bookmarkStart w:id="114" w:name="_Toc7040"/>
      <w:bookmarkStart w:id="115" w:name="_Toc523219340"/>
      <w:bookmarkStart w:id="116" w:name="_Toc1257"/>
      <w:bookmarkStart w:id="117" w:name="_Toc527026605"/>
      <w:bookmarkStart w:id="118" w:name="_Toc522893271"/>
      <w:bookmarkStart w:id="119" w:name="_Toc527026597"/>
      <w:bookmarkStart w:id="120" w:name="_Toc27102"/>
      <w:bookmarkStart w:id="121" w:name="_Toc529453140"/>
      <w:bookmarkStart w:id="122" w:name="_Toc529453294"/>
      <w:bookmarkStart w:id="123" w:name="_Toc5439"/>
      <w:bookmarkStart w:id="124" w:name="_Toc528234275"/>
      <w:bookmarkStart w:id="125" w:name="_Toc946"/>
      <w:bookmarkStart w:id="126" w:name="_Toc523219622"/>
      <w:bookmarkStart w:id="127" w:name="_Toc523223381"/>
      <w:bookmarkStart w:id="128" w:name="_Toc523219333"/>
      <w:bookmarkStart w:id="129" w:name="_Toc523153568"/>
      <w:bookmarkStart w:id="130" w:name="_Toc523220137"/>
      <w:bookmarkStart w:id="131" w:name="_Toc523223921"/>
      <w:bookmarkStart w:id="132" w:name="_Toc522893264"/>
      <w:bookmarkStart w:id="133" w:name="_Toc7295"/>
      <w:bookmarkStart w:id="134" w:name="_Toc386526308"/>
      <w:bookmarkStart w:id="135" w:name="_Toc21524"/>
      <w:r>
        <w:rPr>
          <w:color w:val="auto"/>
          <w:sz w:val="28"/>
          <w:szCs w:val="28"/>
        </w:rPr>
        <w:t>附件</w:t>
      </w:r>
      <w:r>
        <w:rPr>
          <w:rFonts w:hint="eastAsia"/>
          <w:color w:val="auto"/>
          <w:sz w:val="28"/>
          <w:szCs w:val="28"/>
          <w:lang w:val="en-US" w:eastAsia="zh-CN"/>
        </w:rPr>
        <w:t xml:space="preserve">3 </w:t>
      </w:r>
      <w:r>
        <w:rPr>
          <w:color w:val="auto"/>
          <w:sz w:val="28"/>
          <w:szCs w:val="28"/>
        </w:rPr>
        <w:t>水源地</w:t>
      </w:r>
      <w:r>
        <w:rPr>
          <w:rFonts w:hint="eastAsia"/>
          <w:color w:val="auto"/>
          <w:sz w:val="28"/>
          <w:szCs w:val="28"/>
          <w:lang w:eastAsia="zh-CN"/>
        </w:rPr>
        <w:t>突发生态环境事件</w:t>
      </w:r>
      <w:r>
        <w:rPr>
          <w:color w:val="auto"/>
          <w:sz w:val="28"/>
          <w:szCs w:val="28"/>
        </w:rPr>
        <w:t>应急响应流程图</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ind w:firstLine="480"/>
        <w:jc w:val="center"/>
        <w:textAlignment w:val="baseline"/>
        <w:rPr>
          <w:color w:val="auto"/>
          <w:szCs w:val="24"/>
          <w:lang w:val="en-GB"/>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color w:val="auto"/>
          <w:szCs w:val="24"/>
        </w:rPr>
        <w:drawing>
          <wp:inline distT="0" distB="0" distL="0" distR="0">
            <wp:extent cx="4651375" cy="6838315"/>
            <wp:effectExtent l="0" t="0" r="0" b="635"/>
            <wp:docPr id="10" name="图片 2" descr="应急响应工作路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应急响应工作路线"/>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651375" cy="6838315"/>
                    </a:xfrm>
                    <a:prstGeom prst="rect">
                      <a:avLst/>
                    </a:prstGeom>
                    <a:noFill/>
                    <a:ln>
                      <a:noFill/>
                    </a:ln>
                  </pic:spPr>
                </pic:pic>
              </a:graphicData>
            </a:graphic>
          </wp:inline>
        </w:drawing>
      </w:r>
    </w:p>
    <w:p>
      <w:pPr>
        <w:pStyle w:val="2"/>
        <w:jc w:val="both"/>
        <w:rPr>
          <w:color w:val="auto"/>
          <w:sz w:val="28"/>
          <w:szCs w:val="28"/>
        </w:rPr>
      </w:pPr>
      <w:bookmarkStart w:id="136" w:name="_Toc29696"/>
      <w:r>
        <w:rPr>
          <w:color w:val="auto"/>
          <w:sz w:val="28"/>
          <w:szCs w:val="28"/>
        </w:rPr>
        <w:t>附件</w:t>
      </w:r>
      <w:r>
        <w:rPr>
          <w:rFonts w:hint="eastAsia"/>
          <w:color w:val="auto"/>
          <w:sz w:val="28"/>
          <w:szCs w:val="28"/>
          <w:lang w:val="en-US" w:eastAsia="zh-CN"/>
        </w:rPr>
        <w:t xml:space="preserve">4 </w:t>
      </w:r>
      <w:r>
        <w:rPr>
          <w:color w:val="auto"/>
          <w:sz w:val="28"/>
          <w:szCs w:val="28"/>
        </w:rPr>
        <w:t>水源地应急响应措施</w:t>
      </w:r>
      <w:bookmarkEnd w:id="136"/>
    </w:p>
    <w:p>
      <w:pPr>
        <w:snapToGrid w:val="0"/>
        <w:ind w:firstLine="562"/>
        <w:rPr>
          <w:color w:val="auto"/>
          <w:sz w:val="28"/>
          <w:szCs w:val="28"/>
        </w:rPr>
      </w:pPr>
      <w:r>
        <w:rPr>
          <w:b/>
          <w:color w:val="auto"/>
          <w:sz w:val="28"/>
          <w:szCs w:val="28"/>
        </w:rPr>
        <w:t>（1）污染初步调查。</w:t>
      </w:r>
      <w:r>
        <w:rPr>
          <w:color w:val="auto"/>
          <w:sz w:val="28"/>
          <w:szCs w:val="28"/>
        </w:rPr>
        <w:t>现场处置组展开调查，查清导致水源保护区水体环境污染的原因、水体环境污染因子、化学品或废水进入河流的位置、扩散到下游的位置及浓度变化等；危化品交通运输事故主要查清交通事故位置、事故原因、车辆装载化学品类型、储存量及泄漏量。</w:t>
      </w:r>
    </w:p>
    <w:p>
      <w:pPr>
        <w:snapToGrid w:val="0"/>
        <w:ind w:firstLine="562"/>
        <w:rPr>
          <w:color w:val="auto"/>
          <w:sz w:val="28"/>
          <w:szCs w:val="28"/>
        </w:rPr>
      </w:pPr>
      <w:r>
        <w:rPr>
          <w:b/>
          <w:color w:val="auto"/>
          <w:sz w:val="28"/>
          <w:szCs w:val="28"/>
        </w:rPr>
        <w:t>（2）应急预案启动。</w:t>
      </w:r>
      <w:r>
        <w:rPr>
          <w:color w:val="auto"/>
          <w:sz w:val="28"/>
          <w:szCs w:val="28"/>
        </w:rPr>
        <w:t>区应急指挥部办公室指导企业或事发地镇政府组织力量进行先期处置，企业或事发地镇政府应启动相应的</w:t>
      </w:r>
      <w:r>
        <w:rPr>
          <w:rFonts w:hint="eastAsia"/>
          <w:color w:val="auto"/>
          <w:sz w:val="28"/>
          <w:szCs w:val="28"/>
          <w:lang w:eastAsia="zh-CN"/>
        </w:rPr>
        <w:t>突发生态环境事件</w:t>
      </w:r>
      <w:r>
        <w:rPr>
          <w:color w:val="auto"/>
          <w:sz w:val="28"/>
          <w:szCs w:val="28"/>
        </w:rPr>
        <w:t>应急预案，采取必要的堵漏、围挡、截污等措施，封闭雨水污水排口，修筑围堰，切断和控制污染源，防止污染继续蔓延扩散。</w:t>
      </w:r>
    </w:p>
    <w:p>
      <w:pPr>
        <w:snapToGrid w:val="0"/>
        <w:ind w:firstLine="562"/>
        <w:rPr>
          <w:color w:val="auto"/>
          <w:sz w:val="28"/>
          <w:szCs w:val="28"/>
        </w:rPr>
      </w:pPr>
      <w:r>
        <w:rPr>
          <w:b/>
          <w:color w:val="auto"/>
          <w:sz w:val="28"/>
          <w:szCs w:val="28"/>
        </w:rPr>
        <w:t>（3）分析研判。</w:t>
      </w:r>
      <w:r>
        <w:rPr>
          <w:color w:val="auto"/>
          <w:sz w:val="28"/>
          <w:szCs w:val="28"/>
        </w:rPr>
        <w:t>专家咨询组组织专家进行分析研判，分析废水（化学品）排入的河流，及对下游河流水质造成的污染，根据现场情况制定应急处置、污染清除等应急措施。</w:t>
      </w:r>
    </w:p>
    <w:p>
      <w:pPr>
        <w:snapToGrid w:val="0"/>
        <w:ind w:firstLine="562"/>
        <w:rPr>
          <w:color w:val="auto"/>
          <w:sz w:val="28"/>
          <w:szCs w:val="28"/>
        </w:rPr>
      </w:pPr>
      <w:r>
        <w:rPr>
          <w:b/>
          <w:color w:val="auto"/>
          <w:sz w:val="28"/>
          <w:szCs w:val="28"/>
        </w:rPr>
        <w:t>（4）现场资料收集、保存。</w:t>
      </w:r>
      <w:r>
        <w:rPr>
          <w:color w:val="auto"/>
          <w:sz w:val="28"/>
          <w:szCs w:val="28"/>
        </w:rPr>
        <w:t>区现场应急指挥部邀请具备相应资质的单位开展损害评估，要求各现场应急工作组做好证据保全，妥善保护事故现场，如需现场清理，应当做好拍照、录像等证据保全工作。</w:t>
      </w:r>
    </w:p>
    <w:p>
      <w:pPr>
        <w:snapToGrid w:val="0"/>
        <w:ind w:firstLine="562"/>
        <w:rPr>
          <w:color w:val="auto"/>
          <w:sz w:val="28"/>
          <w:szCs w:val="28"/>
        </w:rPr>
      </w:pPr>
      <w:r>
        <w:rPr>
          <w:b/>
          <w:color w:val="auto"/>
          <w:sz w:val="28"/>
          <w:szCs w:val="28"/>
        </w:rPr>
        <w:t>（5）应急监测。</w:t>
      </w:r>
      <w:r>
        <w:rPr>
          <w:color w:val="auto"/>
          <w:sz w:val="28"/>
          <w:szCs w:val="28"/>
        </w:rPr>
        <w:t>应急监测组前往现场开展应急监测工作。按照《突发环境事件应急监测技术规范》（HJ 589-20</w:t>
      </w:r>
      <w:r>
        <w:rPr>
          <w:rFonts w:hint="eastAsia"/>
          <w:color w:val="auto"/>
          <w:sz w:val="28"/>
          <w:szCs w:val="28"/>
          <w:lang w:val="en-US" w:eastAsia="zh-CN"/>
        </w:rPr>
        <w:t>21</w:t>
      </w:r>
      <w:r>
        <w:rPr>
          <w:color w:val="auto"/>
          <w:sz w:val="28"/>
          <w:szCs w:val="28"/>
        </w:rPr>
        <w:t>）、</w:t>
      </w:r>
      <w:r>
        <w:rPr>
          <w:rFonts w:hint="eastAsia"/>
          <w:color w:val="auto"/>
          <w:sz w:val="28"/>
          <w:szCs w:val="28"/>
          <w:lang w:eastAsia="zh-CN"/>
        </w:rPr>
        <w:t>《</w:t>
      </w:r>
      <w:r>
        <w:rPr>
          <w:rFonts w:hint="eastAsia"/>
          <w:color w:val="auto"/>
          <w:sz w:val="28"/>
          <w:szCs w:val="28"/>
          <w:lang w:eastAsia="zh-CN"/>
        </w:rPr>
        <w:fldChar w:fldCharType="begin"/>
      </w:r>
      <w:r>
        <w:rPr>
          <w:rFonts w:hint="eastAsia"/>
          <w:color w:val="auto"/>
          <w:sz w:val="28"/>
          <w:szCs w:val="28"/>
          <w:lang w:eastAsia="zh-CN"/>
        </w:rPr>
        <w:instrText xml:space="preserve"> HYPERLINK "https://www.mee.gov.cn/ywgz/fgbz/bz/bzwb/jcffbz/201912/W020191227499037308984.pdf" </w:instrText>
      </w:r>
      <w:r>
        <w:rPr>
          <w:rFonts w:hint="eastAsia"/>
          <w:color w:val="auto"/>
          <w:sz w:val="28"/>
          <w:szCs w:val="28"/>
          <w:lang w:eastAsia="zh-CN"/>
        </w:rPr>
        <w:fldChar w:fldCharType="separate"/>
      </w:r>
      <w:r>
        <w:rPr>
          <w:rFonts w:hint="eastAsia"/>
          <w:color w:val="auto"/>
          <w:sz w:val="28"/>
          <w:szCs w:val="28"/>
          <w:lang w:eastAsia="zh-CN"/>
        </w:rPr>
        <w:t>污水监测技术规范</w:t>
      </w:r>
      <w:r>
        <w:rPr>
          <w:rFonts w:hint="eastAsia"/>
          <w:color w:val="auto"/>
          <w:sz w:val="28"/>
          <w:szCs w:val="28"/>
          <w:lang w:eastAsia="zh-CN"/>
        </w:rPr>
        <w:fldChar w:fldCharType="end"/>
      </w:r>
      <w:r>
        <w:rPr>
          <w:rFonts w:hint="eastAsia"/>
          <w:color w:val="auto"/>
          <w:sz w:val="28"/>
          <w:szCs w:val="28"/>
          <w:lang w:eastAsia="zh-CN"/>
        </w:rPr>
        <w:t>》（HJ 91.1-2019）、《</w:t>
      </w:r>
      <w:r>
        <w:rPr>
          <w:color w:val="auto"/>
          <w:sz w:val="28"/>
          <w:szCs w:val="28"/>
        </w:rPr>
        <w:fldChar w:fldCharType="begin"/>
      </w:r>
      <w:r>
        <w:rPr>
          <w:color w:val="auto"/>
          <w:sz w:val="28"/>
          <w:szCs w:val="28"/>
        </w:rPr>
        <w:instrText xml:space="preserve"> HYPERLINK "https://www.mee.gov.cn/ywgz/fgbz/bz/bzwb/jcffbz/202205/W020220506653788208550.pdf" </w:instrText>
      </w:r>
      <w:r>
        <w:rPr>
          <w:color w:val="auto"/>
          <w:sz w:val="28"/>
          <w:szCs w:val="28"/>
        </w:rPr>
        <w:fldChar w:fldCharType="separate"/>
      </w:r>
      <w:r>
        <w:rPr>
          <w:rFonts w:hint="eastAsia"/>
          <w:color w:val="auto"/>
          <w:sz w:val="28"/>
          <w:szCs w:val="28"/>
        </w:rPr>
        <w:t>地表水环境质量监测技术规范</w:t>
      </w:r>
      <w:r>
        <w:rPr>
          <w:rFonts w:hint="eastAsia"/>
          <w:color w:val="auto"/>
          <w:sz w:val="28"/>
          <w:szCs w:val="28"/>
          <w:lang w:eastAsia="zh-CN"/>
        </w:rPr>
        <w:t>》（</w:t>
      </w:r>
      <w:r>
        <w:rPr>
          <w:rFonts w:hint="eastAsia"/>
          <w:color w:val="auto"/>
          <w:sz w:val="28"/>
          <w:szCs w:val="28"/>
        </w:rPr>
        <w:t>HJ 91.2</w:t>
      </w:r>
      <w:r>
        <w:rPr>
          <w:color w:val="auto"/>
          <w:sz w:val="28"/>
          <w:szCs w:val="28"/>
        </w:rPr>
        <w:t>-</w:t>
      </w:r>
      <w:r>
        <w:rPr>
          <w:rFonts w:hint="eastAsia"/>
          <w:color w:val="auto"/>
          <w:sz w:val="28"/>
          <w:szCs w:val="28"/>
        </w:rPr>
        <w:t>2022</w:t>
      </w:r>
      <w:r>
        <w:rPr>
          <w:rFonts w:hint="eastAsia"/>
          <w:color w:val="auto"/>
          <w:sz w:val="28"/>
          <w:szCs w:val="28"/>
          <w:lang w:eastAsia="zh-CN"/>
        </w:rPr>
        <w:t>）</w:t>
      </w:r>
      <w:r>
        <w:rPr>
          <w:rFonts w:hint="eastAsia"/>
          <w:color w:val="auto"/>
          <w:sz w:val="28"/>
          <w:szCs w:val="28"/>
        </w:rPr>
        <w:fldChar w:fldCharType="end"/>
      </w:r>
      <w:r>
        <w:rPr>
          <w:color w:val="auto"/>
          <w:sz w:val="28"/>
          <w:szCs w:val="28"/>
        </w:rPr>
        <w:t>、《地下水环境监测技术规范》（HJT 164-20</w:t>
      </w:r>
      <w:r>
        <w:rPr>
          <w:rFonts w:hint="eastAsia"/>
          <w:color w:val="auto"/>
          <w:sz w:val="28"/>
          <w:szCs w:val="28"/>
          <w:lang w:val="en-US" w:eastAsia="zh-CN"/>
        </w:rPr>
        <w:t>20</w:t>
      </w:r>
      <w:r>
        <w:rPr>
          <w:color w:val="auto"/>
          <w:sz w:val="28"/>
          <w:szCs w:val="28"/>
        </w:rPr>
        <w:t>）、《危险废物鉴别标准 腐蚀性鉴别》（GB 5085.1-2007）、《危险废物鉴别标准 浸出毒性鉴别》（GB 5085.3-2007）等要求，</w:t>
      </w:r>
      <w:r>
        <w:rPr>
          <w:rFonts w:hint="eastAsia"/>
          <w:color w:val="auto"/>
          <w:sz w:val="28"/>
          <w:szCs w:val="28"/>
        </w:rPr>
        <w:t>对事故企业废水排污口、废水进入河流纳污口处、河流纳污口下游、河流下游饮用水取水口、河流下游农灌区取水口处等设置采样点，同时在河流纳污口处上游设置对照断面采样点；若为危化品交通运输事故应对事故车辆周边、可能流入的水体等设置污染物采样点，同时在事故现场周边明显未被污染的位置设置对照采样点。</w:t>
      </w:r>
    </w:p>
    <w:p>
      <w:pPr>
        <w:snapToGrid w:val="0"/>
        <w:ind w:firstLine="560"/>
        <w:rPr>
          <w:color w:val="auto"/>
          <w:sz w:val="28"/>
          <w:szCs w:val="28"/>
        </w:rPr>
      </w:pPr>
      <w:r>
        <w:rPr>
          <w:color w:val="auto"/>
          <w:sz w:val="28"/>
          <w:szCs w:val="28"/>
        </w:rPr>
        <w:t>监测因子结合水质常规监测及事故废水特征污染因子，具体的采样点位及监测因子由区现场指挥部结合专家咨询组根据事件具体情况确定。污染物质进入水体后，随着稀释、扩散和沉降作用，其浓度会逐渐降低。为掌握污染程度、范围及变化趋势，在事故发生后，往往要进行连续的跟踪监测，直至水体环境恢复正常。</w:t>
      </w:r>
    </w:p>
    <w:p>
      <w:pPr>
        <w:snapToGrid w:val="0"/>
        <w:ind w:firstLine="562"/>
        <w:rPr>
          <w:color w:val="auto"/>
          <w:sz w:val="28"/>
          <w:szCs w:val="28"/>
        </w:rPr>
      </w:pPr>
      <w:r>
        <w:rPr>
          <w:rFonts w:hint="eastAsia"/>
          <w:b/>
          <w:color w:val="auto"/>
          <w:sz w:val="28"/>
          <w:szCs w:val="28"/>
        </w:rPr>
        <w:t>（6）跨区域事件处理。</w:t>
      </w:r>
      <w:r>
        <w:rPr>
          <w:rFonts w:hint="eastAsia"/>
          <w:color w:val="auto"/>
          <w:sz w:val="28"/>
          <w:szCs w:val="28"/>
        </w:rPr>
        <w:t>对已造成跨地市流域污染或可能造成跨地市流域污染的，应在国家、省、市级相关应急指挥部门的统一指挥协调下，建立应急队伍通报机制、联合监测制度及联防联控制度，上下游实现同时监测、互交监测结果，同时监控污染物的迁移速率、浓度变化趋势等，为应急处置提供依据。</w:t>
      </w:r>
    </w:p>
    <w:p>
      <w:pPr>
        <w:snapToGrid w:val="0"/>
        <w:ind w:firstLine="562"/>
        <w:rPr>
          <w:color w:val="auto"/>
          <w:sz w:val="28"/>
          <w:szCs w:val="28"/>
        </w:rPr>
      </w:pPr>
      <w:r>
        <w:rPr>
          <w:b/>
          <w:color w:val="auto"/>
          <w:sz w:val="28"/>
          <w:szCs w:val="28"/>
        </w:rPr>
        <w:t>（7）现场应急处置。</w:t>
      </w:r>
      <w:r>
        <w:rPr>
          <w:color w:val="auto"/>
          <w:sz w:val="28"/>
          <w:szCs w:val="28"/>
        </w:rPr>
        <w:t>现场处置组前往现场开展应急处置工作，企业或事发地政府的应急救援队伍应配合现场处置组的工作。根据污染物质的性质，分别采取必要的隔离、吸附、打捞、转移异地处置等方法处置污染物。</w:t>
      </w:r>
    </w:p>
    <w:p>
      <w:pPr>
        <w:snapToGrid w:val="0"/>
        <w:ind w:firstLine="562"/>
        <w:rPr>
          <w:b/>
          <w:color w:val="auto"/>
          <w:sz w:val="28"/>
          <w:szCs w:val="28"/>
        </w:rPr>
      </w:pPr>
      <w:r>
        <w:rPr>
          <w:rFonts w:hint="eastAsia"/>
          <w:b/>
          <w:color w:val="auto"/>
          <w:sz w:val="28"/>
          <w:szCs w:val="28"/>
        </w:rPr>
        <w:t>企业、</w:t>
      </w:r>
      <w:r>
        <w:rPr>
          <w:b/>
          <w:color w:val="auto"/>
          <w:sz w:val="28"/>
          <w:szCs w:val="28"/>
        </w:rPr>
        <w:t>排污口废水排放处置措施具体如下：</w:t>
      </w:r>
    </w:p>
    <w:p>
      <w:pPr>
        <w:snapToGrid w:val="0"/>
        <w:ind w:firstLine="560"/>
        <w:rPr>
          <w:color w:val="auto"/>
          <w:sz w:val="28"/>
          <w:szCs w:val="28"/>
        </w:rPr>
      </w:pPr>
      <w:r>
        <w:rPr>
          <w:rFonts w:hint="eastAsia"/>
          <w:color w:val="auto"/>
          <w:sz w:val="28"/>
          <w:szCs w:val="28"/>
          <w:lang w:eastAsia="zh-CN"/>
        </w:rPr>
        <w:t>①</w:t>
      </w:r>
      <w:r>
        <w:rPr>
          <w:color w:val="auto"/>
          <w:sz w:val="28"/>
          <w:szCs w:val="28"/>
        </w:rPr>
        <w:t>若发生石油类超标，应当投吸油毡、围油栏等应急设施，防止石油类向下游扩散，然后将围住的石油类拖往河岸，采用泵抽取交有资质单位处置；</w:t>
      </w:r>
    </w:p>
    <w:p>
      <w:pPr>
        <w:snapToGrid w:val="0"/>
        <w:ind w:firstLine="560"/>
        <w:rPr>
          <w:color w:val="auto"/>
          <w:sz w:val="28"/>
          <w:szCs w:val="28"/>
        </w:rPr>
      </w:pPr>
      <w:r>
        <w:rPr>
          <w:rFonts w:hint="eastAsia"/>
          <w:color w:val="auto"/>
          <w:sz w:val="28"/>
          <w:szCs w:val="28"/>
          <w:lang w:eastAsia="zh-CN"/>
        </w:rPr>
        <w:t>②</w:t>
      </w:r>
      <w:r>
        <w:rPr>
          <w:color w:val="auto"/>
          <w:sz w:val="28"/>
          <w:szCs w:val="28"/>
        </w:rPr>
        <w:t>若发生甲醇、乙醇、丙酮、乙酸乙酯、乙醚、苯、甲苯等环境污染时，其中乙醇、丙酮、乙酸乙酯能溶于水中，可以采取投加活性炭、树脂吸附剂等进行吸附，减少水中乙醇、丙酮、乙酸乙酯的浓度，</w:t>
      </w:r>
      <w:r>
        <w:rPr>
          <w:rFonts w:hint="eastAsia"/>
          <w:color w:val="auto"/>
          <w:sz w:val="28"/>
          <w:szCs w:val="28"/>
          <w:lang w:eastAsia="zh-CN"/>
        </w:rPr>
        <w:t>小</w:t>
      </w:r>
      <w:r>
        <w:rPr>
          <w:color w:val="auto"/>
          <w:sz w:val="28"/>
          <w:szCs w:val="28"/>
        </w:rPr>
        <w:t>范围内可以采用泵抽取交有资质单位处置；乙醚、苯、甲苯不溶于水，且其密度比水轻，可以采用吸油毡、围油栏等应急设施，防止乙醚、苯、甲苯向下游扩散，然后将围住的乙醚、苯、甲苯拖往河岸，采用泵抽取</w:t>
      </w:r>
      <w:r>
        <w:rPr>
          <w:rFonts w:hint="eastAsia"/>
          <w:color w:val="auto"/>
          <w:sz w:val="28"/>
          <w:szCs w:val="28"/>
          <w:lang w:eastAsia="zh-CN"/>
        </w:rPr>
        <w:t>交由</w:t>
      </w:r>
      <w:r>
        <w:rPr>
          <w:color w:val="auto"/>
          <w:sz w:val="28"/>
          <w:szCs w:val="28"/>
        </w:rPr>
        <w:t>资质单位处置。</w:t>
      </w:r>
    </w:p>
    <w:p>
      <w:pPr>
        <w:snapToGrid w:val="0"/>
        <w:ind w:firstLine="560"/>
        <w:rPr>
          <w:color w:val="auto"/>
          <w:sz w:val="28"/>
          <w:szCs w:val="28"/>
        </w:rPr>
      </w:pPr>
      <w:r>
        <w:rPr>
          <w:rFonts w:hint="eastAsia"/>
          <w:color w:val="auto"/>
          <w:sz w:val="28"/>
          <w:szCs w:val="28"/>
          <w:lang w:eastAsia="zh-CN"/>
        </w:rPr>
        <w:t>③</w:t>
      </w:r>
      <w:r>
        <w:rPr>
          <w:color w:val="auto"/>
          <w:sz w:val="28"/>
          <w:szCs w:val="28"/>
        </w:rPr>
        <w:t>若发生重金属超标，应当投石灰、苏打灰(Na</w:t>
      </w:r>
      <w:r>
        <w:rPr>
          <w:color w:val="auto"/>
          <w:sz w:val="28"/>
          <w:szCs w:val="28"/>
          <w:vertAlign w:val="subscript"/>
        </w:rPr>
        <w:t>2</w:t>
      </w:r>
      <w:r>
        <w:rPr>
          <w:color w:val="auto"/>
          <w:sz w:val="28"/>
          <w:szCs w:val="28"/>
        </w:rPr>
        <w:t>CO</w:t>
      </w:r>
      <w:r>
        <w:rPr>
          <w:color w:val="auto"/>
          <w:sz w:val="28"/>
          <w:szCs w:val="28"/>
          <w:vertAlign w:val="subscript"/>
        </w:rPr>
        <w:t>3</w:t>
      </w:r>
      <w:r>
        <w:rPr>
          <w:color w:val="auto"/>
          <w:sz w:val="28"/>
          <w:szCs w:val="28"/>
        </w:rPr>
        <w:t>)或碳酸氢钠(NaHCO</w:t>
      </w:r>
      <w:r>
        <w:rPr>
          <w:color w:val="auto"/>
          <w:sz w:val="28"/>
          <w:szCs w:val="28"/>
          <w:vertAlign w:val="subscript"/>
        </w:rPr>
        <w:t>3</w:t>
      </w:r>
      <w:r>
        <w:rPr>
          <w:color w:val="auto"/>
          <w:sz w:val="28"/>
          <w:szCs w:val="28"/>
        </w:rPr>
        <w:t>)等碱性药剂控制水质中的重金属，控制住重金属不扩散并将其沉降；也可以投加重金属吸附剂进行吸附。添加水质处置药剂需在专家咨询组认同的情况下，报请区现场应急指挥部</w:t>
      </w:r>
      <w:r>
        <w:rPr>
          <w:rFonts w:hint="eastAsia"/>
          <w:color w:val="auto"/>
          <w:sz w:val="28"/>
          <w:szCs w:val="28"/>
          <w:lang w:eastAsia="zh-CN"/>
        </w:rPr>
        <w:t>同意</w:t>
      </w:r>
      <w:r>
        <w:rPr>
          <w:color w:val="auto"/>
          <w:sz w:val="28"/>
          <w:szCs w:val="28"/>
        </w:rPr>
        <w:t>实施，但是不得影响河流</w:t>
      </w:r>
      <w:r>
        <w:rPr>
          <w:rFonts w:hint="eastAsia"/>
          <w:color w:val="auto"/>
          <w:sz w:val="28"/>
          <w:szCs w:val="28"/>
          <w:lang w:val="en-US" w:eastAsia="zh-CN"/>
        </w:rPr>
        <w:t>水生生态</w:t>
      </w:r>
      <w:r>
        <w:rPr>
          <w:color w:val="auto"/>
          <w:sz w:val="28"/>
          <w:szCs w:val="28"/>
        </w:rPr>
        <w:t>。</w:t>
      </w:r>
    </w:p>
    <w:p>
      <w:pPr>
        <w:snapToGrid w:val="0"/>
        <w:ind w:firstLine="560"/>
        <w:rPr>
          <w:color w:val="auto"/>
          <w:sz w:val="28"/>
          <w:szCs w:val="28"/>
        </w:rPr>
      </w:pPr>
      <w:r>
        <w:rPr>
          <w:color w:val="auto"/>
          <w:sz w:val="28"/>
          <w:szCs w:val="28"/>
        </w:rPr>
        <w:t>如采取上述应急措施后，仍不足以遏制事态发展时，应启动水量应急调度方案。由现场处置组调度水体污染上游的水源，缓解水质污染情况，具体调水方案、水量、时间等区现场应急指挥部结合专家咨询组根据事件具体情况确定，直至污染物彻底清除，水质监测指标合格。</w:t>
      </w:r>
    </w:p>
    <w:p>
      <w:pPr>
        <w:snapToGrid w:val="0"/>
        <w:ind w:firstLine="562"/>
        <w:rPr>
          <w:b/>
          <w:color w:val="auto"/>
          <w:sz w:val="28"/>
          <w:szCs w:val="28"/>
        </w:rPr>
      </w:pPr>
      <w:r>
        <w:rPr>
          <w:b/>
          <w:color w:val="auto"/>
          <w:sz w:val="28"/>
          <w:szCs w:val="28"/>
        </w:rPr>
        <w:t>危化品交通运输事故处置措施如下：</w:t>
      </w:r>
    </w:p>
    <w:p>
      <w:pPr>
        <w:snapToGrid w:val="0"/>
        <w:ind w:firstLine="560"/>
        <w:rPr>
          <w:color w:val="auto"/>
          <w:sz w:val="28"/>
          <w:szCs w:val="28"/>
        </w:rPr>
      </w:pPr>
      <w:r>
        <w:rPr>
          <w:color w:val="auto"/>
          <w:sz w:val="28"/>
          <w:szCs w:val="28"/>
        </w:rPr>
        <w:t>现场处置组进行围堤堵截或挖掘沟槽收容泄漏物到安全地点。控制泄漏物后，</w:t>
      </w:r>
      <w:r>
        <w:rPr>
          <w:rFonts w:hint="eastAsia"/>
          <w:color w:val="auto"/>
          <w:sz w:val="28"/>
          <w:szCs w:val="28"/>
          <w:lang w:eastAsia="zh-CN"/>
        </w:rPr>
        <w:t>及时</w:t>
      </w:r>
      <w:r>
        <w:rPr>
          <w:color w:val="auto"/>
          <w:sz w:val="28"/>
          <w:szCs w:val="28"/>
        </w:rPr>
        <w:t>对现场泄漏物进行覆盖、收容、稀释，防止二次事故的发生。对于水中液体泄漏物，用水泵抽出收集，对于油类可用围油栏和吸油材料收集。对于大型液体泄漏，收容后可选择用隔膜泵将泄漏出的物料抽入容器内或槽车内待进一步处置。必要时可在下游构筑围油栏等拦截、分流受污染水体。</w:t>
      </w:r>
    </w:p>
    <w:p>
      <w:pPr>
        <w:snapToGrid w:val="0"/>
        <w:ind w:firstLine="560"/>
        <w:rPr>
          <w:color w:val="auto"/>
          <w:sz w:val="28"/>
          <w:szCs w:val="28"/>
        </w:rPr>
      </w:pPr>
      <w:r>
        <w:rPr>
          <w:color w:val="auto"/>
          <w:sz w:val="28"/>
          <w:szCs w:val="28"/>
        </w:rPr>
        <w:t>针对不同的泄漏物，应采取的应急处置如下：</w:t>
      </w:r>
    </w:p>
    <w:p>
      <w:pPr>
        <w:snapToGrid w:val="0"/>
        <w:ind w:firstLine="560"/>
        <w:rPr>
          <w:color w:val="auto"/>
          <w:sz w:val="28"/>
          <w:szCs w:val="28"/>
        </w:rPr>
      </w:pPr>
      <w:r>
        <w:rPr>
          <w:rFonts w:hint="eastAsia"/>
          <w:color w:val="auto"/>
          <w:sz w:val="28"/>
          <w:szCs w:val="28"/>
          <w:lang w:eastAsia="zh-CN"/>
        </w:rPr>
        <w:t>①</w:t>
      </w:r>
      <w:r>
        <w:rPr>
          <w:color w:val="auto"/>
          <w:sz w:val="28"/>
          <w:szCs w:val="28"/>
        </w:rPr>
        <w:t>石油类、丙酮。小量泄漏时，用沙土或其他惰性材料吸收；大量泄漏时，构筑围堰或挖坑收容；用泡沫覆盖，降低挥发性气体的灾害。用防爆泵转移至槽车或专用收容器内，回收或运至废物处理场所处置。消防措施：喷水冷却容器，可能的话将容器从火场移至空旷处。处在火场中的容器若已变色或安全泄压装置中产生声音，必须马上撤离。灭火剂为：泡沫、干粉、二氧化碳、沙土。</w:t>
      </w:r>
    </w:p>
    <w:p>
      <w:pPr>
        <w:snapToGrid w:val="0"/>
        <w:ind w:firstLine="560"/>
        <w:rPr>
          <w:color w:val="auto"/>
          <w:sz w:val="28"/>
          <w:szCs w:val="28"/>
        </w:rPr>
      </w:pPr>
      <w:r>
        <w:rPr>
          <w:rFonts w:hint="eastAsia"/>
          <w:color w:val="auto"/>
          <w:sz w:val="28"/>
          <w:szCs w:val="28"/>
          <w:lang w:eastAsia="zh-CN"/>
        </w:rPr>
        <w:t>②</w:t>
      </w:r>
      <w:r>
        <w:rPr>
          <w:color w:val="auto"/>
          <w:sz w:val="28"/>
          <w:szCs w:val="28"/>
        </w:rPr>
        <w:t>甲醇、乙醇。泄漏时不直接接触泄漏物，在确保安全情况下进行堵漏。喷水能够减少甲醇、乙醇蒸发，用沙土、干燥石灰混合，然后使用无火花工具收集或运至废物处理场所处置。也可以用大量水冲洗，经稀释后的废水收集后运到废水处理系统处理。大量泄漏时，建围堰收容，然后收集、转移、回收或无害化后运至废物处理场所处置。消防措施：喷水冷却容器，可能的话将容器从火场移至空旷处，喷水保持火场容器冷却，直至灭火结束。灭火剂为：泡沫、二氧化碳、干粉、沙土。</w:t>
      </w:r>
    </w:p>
    <w:p>
      <w:pPr>
        <w:snapToGrid w:val="0"/>
        <w:ind w:firstLine="560"/>
        <w:rPr>
          <w:color w:val="auto"/>
          <w:sz w:val="28"/>
          <w:szCs w:val="28"/>
        </w:rPr>
      </w:pPr>
      <w:r>
        <w:rPr>
          <w:rFonts w:hint="eastAsia"/>
          <w:color w:val="auto"/>
          <w:sz w:val="28"/>
          <w:szCs w:val="28"/>
          <w:lang w:eastAsia="zh-CN"/>
        </w:rPr>
        <w:t>③</w:t>
      </w:r>
      <w:r>
        <w:rPr>
          <w:color w:val="auto"/>
          <w:sz w:val="28"/>
          <w:szCs w:val="28"/>
        </w:rPr>
        <w:t>苯、甲苯。发生泄漏时，在确保安全的情况下进行堵漏。可用雾状水扑灭小面积火灾，保持火场旁容器的冷却，驱散蒸汽及溢出的液体，但不能降低泄漏物在受限制空间内的易燃性。用活性炭或其他惰性材料或沙土吸收，然后使用无火花工具收集运至废物处理场所。也可以用不燃性分散剂制成的乳液刷洗，经稀释后运到废水处理系统处理。或在保证安全情况下，就地焚烧。大量泄漏时，建围堰收容，然后收集、转移、回收或无害化后运至废物处理场所处置。灭火剂为：泡沫、二氧化碳、干粉、沙土。</w:t>
      </w:r>
    </w:p>
    <w:p>
      <w:pPr>
        <w:snapToGrid w:val="0"/>
        <w:ind w:firstLine="560"/>
        <w:rPr>
          <w:color w:val="auto"/>
          <w:sz w:val="28"/>
          <w:szCs w:val="28"/>
        </w:rPr>
      </w:pPr>
      <w:r>
        <w:rPr>
          <w:rFonts w:hint="eastAsia"/>
          <w:color w:val="auto"/>
          <w:sz w:val="28"/>
          <w:szCs w:val="28"/>
          <w:lang w:eastAsia="zh-CN"/>
        </w:rPr>
        <w:t>④</w:t>
      </w:r>
      <w:r>
        <w:rPr>
          <w:color w:val="auto"/>
          <w:sz w:val="28"/>
          <w:szCs w:val="28"/>
        </w:rPr>
        <w:t>硝酸、硫酸、氢氟酸、盐酸等酸性化学品。小量泄漏时，可将泄漏液收集至可密闭容器中或用沙土、干燥石灰、苏打灰混合后回收，回收物应安全处置。大量泄漏时，应构筑围堰或挖坑收容，用泵转移至槽车内，残余物回收运至废物处理场所。</w:t>
      </w:r>
    </w:p>
    <w:p>
      <w:pPr>
        <w:snapToGrid w:val="0"/>
        <w:ind w:firstLine="560"/>
        <w:rPr>
          <w:color w:val="auto"/>
          <w:sz w:val="28"/>
          <w:szCs w:val="28"/>
        </w:rPr>
      </w:pPr>
      <w:r>
        <w:rPr>
          <w:rFonts w:hint="eastAsia"/>
          <w:color w:val="auto"/>
          <w:sz w:val="28"/>
          <w:szCs w:val="28"/>
          <w:lang w:eastAsia="zh-CN"/>
        </w:rPr>
        <w:t>⑤</w:t>
      </w:r>
      <w:r>
        <w:rPr>
          <w:color w:val="auto"/>
          <w:sz w:val="28"/>
          <w:szCs w:val="28"/>
        </w:rPr>
        <w:t>氢氧化钠、氢氧化钾等碱性化学品。小量泄漏时，用干净的铲子收集于干燥、洁净、有盖的容器中。也可以用大量水冲洗，洗水稀释后收集运至废水处理系统处理；大量泄漏时，收集回收或运至废物处理场所。</w:t>
      </w:r>
    </w:p>
    <w:p>
      <w:pPr>
        <w:snapToGrid w:val="0"/>
        <w:ind w:firstLine="560"/>
        <w:rPr>
          <w:color w:val="auto"/>
          <w:sz w:val="28"/>
          <w:szCs w:val="28"/>
        </w:rPr>
      </w:pPr>
      <w:r>
        <w:rPr>
          <w:rFonts w:hint="eastAsia"/>
          <w:color w:val="auto"/>
          <w:sz w:val="28"/>
          <w:szCs w:val="28"/>
          <w:lang w:eastAsia="zh-CN"/>
        </w:rPr>
        <w:t>⑥</w:t>
      </w:r>
      <w:r>
        <w:rPr>
          <w:color w:val="auto"/>
          <w:sz w:val="28"/>
          <w:szCs w:val="28"/>
        </w:rPr>
        <w:t>氰化物。泄漏时应该不能直接接触泄漏物，在确保安全情况下进行堵漏。应当对氰化物进行覆盖，防止挥发或四处扩散，收集回收至废物处理场所。</w:t>
      </w:r>
    </w:p>
    <w:p>
      <w:pPr>
        <w:snapToGrid w:val="0"/>
        <w:ind w:firstLine="560"/>
        <w:rPr>
          <w:color w:val="auto"/>
          <w:sz w:val="28"/>
          <w:szCs w:val="28"/>
        </w:rPr>
      </w:pPr>
      <w:r>
        <w:rPr>
          <w:rFonts w:hint="eastAsia"/>
          <w:color w:val="auto"/>
          <w:sz w:val="28"/>
          <w:szCs w:val="28"/>
          <w:lang w:eastAsia="zh-CN"/>
        </w:rPr>
        <w:t>⑦</w:t>
      </w:r>
      <w:r>
        <w:rPr>
          <w:color w:val="auto"/>
          <w:sz w:val="28"/>
          <w:szCs w:val="28"/>
        </w:rPr>
        <w:t>氨。泄漏时应该不能直接接触泄漏物，在确保安全情况下进行堵漏。作业时所有设备应接地。喷雾状水溶解、稀释漏出气体，防止气体扩散或进入限制性空间。如果液态钢瓶发生泄漏，无法关闭时可浸入水中。高浓度泄漏区，可以喷稀盐酸（对人体无害）进行吸收。消防措施：在确保安全的前提下，将容器移离火场，尽可能远距离灭火或使用水枪或水炮扑救，用大量水冷却容器，直至火灾扑灭。容器突然发出异常声音时应当立即撤离。灭火剂：干粉、二氧化碳、雾状水、抗溶性泡沫。</w:t>
      </w:r>
    </w:p>
    <w:p>
      <w:pPr>
        <w:snapToGrid w:val="0"/>
        <w:ind w:firstLine="562"/>
        <w:rPr>
          <w:color w:val="auto"/>
          <w:sz w:val="28"/>
          <w:szCs w:val="28"/>
        </w:rPr>
      </w:pPr>
      <w:r>
        <w:rPr>
          <w:b/>
          <w:color w:val="auto"/>
          <w:sz w:val="28"/>
          <w:szCs w:val="28"/>
        </w:rPr>
        <w:t>（8）供水保障。</w:t>
      </w:r>
      <w:r>
        <w:rPr>
          <w:color w:val="auto"/>
          <w:sz w:val="28"/>
          <w:szCs w:val="28"/>
        </w:rPr>
        <w:t>供水保障组督促供水企业</w:t>
      </w:r>
      <w:r>
        <w:rPr>
          <w:rFonts w:hint="eastAsia"/>
          <w:color w:val="auto"/>
          <w:sz w:val="28"/>
          <w:szCs w:val="28"/>
        </w:rPr>
        <w:t>（清远市清新区</w:t>
      </w:r>
      <w:r>
        <w:rPr>
          <w:rFonts w:hint="eastAsia"/>
          <w:color w:val="auto"/>
          <w:sz w:val="28"/>
          <w:szCs w:val="28"/>
          <w:lang w:val="en-US" w:eastAsia="zh-CN"/>
        </w:rPr>
        <w:t>太和供水</w:t>
      </w:r>
      <w:r>
        <w:rPr>
          <w:rFonts w:hint="eastAsia"/>
          <w:color w:val="auto"/>
          <w:sz w:val="28"/>
          <w:szCs w:val="28"/>
        </w:rPr>
        <w:t>有限公司）</w:t>
      </w:r>
      <w:r>
        <w:rPr>
          <w:color w:val="auto"/>
          <w:sz w:val="28"/>
          <w:szCs w:val="28"/>
        </w:rPr>
        <w:t>在应急期间采取各种应急处置措施，保证出厂水质达标，保障居民饮用水安全；必要时向其他饮用水水源地引水甚至采取停水措施。</w:t>
      </w:r>
    </w:p>
    <w:p>
      <w:pPr>
        <w:snapToGrid w:val="0"/>
        <w:ind w:firstLine="562"/>
        <w:rPr>
          <w:color w:val="auto"/>
          <w:sz w:val="28"/>
          <w:szCs w:val="28"/>
        </w:rPr>
      </w:pPr>
      <w:r>
        <w:rPr>
          <w:b/>
          <w:color w:val="auto"/>
          <w:sz w:val="28"/>
          <w:szCs w:val="28"/>
        </w:rPr>
        <w:t>（9）医疗救护。</w:t>
      </w:r>
      <w:r>
        <w:rPr>
          <w:color w:val="auto"/>
          <w:sz w:val="28"/>
          <w:szCs w:val="28"/>
        </w:rPr>
        <w:t>医学救援组组织开展伤、病人员医疗救治、心理辅导；提出保护公众健康的措施建议；禁止或限制受污染食品和饮用水的生产、加工、流通和食用，防范因</w:t>
      </w:r>
      <w:r>
        <w:rPr>
          <w:rFonts w:hint="eastAsia"/>
          <w:color w:val="auto"/>
          <w:sz w:val="28"/>
          <w:szCs w:val="28"/>
          <w:lang w:eastAsia="zh-CN"/>
        </w:rPr>
        <w:t>突发生态环境事件</w:t>
      </w:r>
      <w:r>
        <w:rPr>
          <w:color w:val="auto"/>
          <w:sz w:val="28"/>
          <w:szCs w:val="28"/>
        </w:rPr>
        <w:t>造成集体中毒等。</w:t>
      </w:r>
    </w:p>
    <w:p>
      <w:pPr>
        <w:snapToGrid w:val="0"/>
        <w:ind w:firstLine="562"/>
        <w:rPr>
          <w:color w:val="auto"/>
          <w:sz w:val="28"/>
          <w:szCs w:val="28"/>
        </w:rPr>
      </w:pPr>
      <w:r>
        <w:rPr>
          <w:b/>
          <w:color w:val="auto"/>
          <w:sz w:val="28"/>
          <w:szCs w:val="28"/>
        </w:rPr>
        <w:t>（10）后勤保障工作。</w:t>
      </w:r>
      <w:r>
        <w:rPr>
          <w:color w:val="auto"/>
          <w:sz w:val="28"/>
          <w:szCs w:val="28"/>
        </w:rPr>
        <w:t>应急保障组</w:t>
      </w:r>
      <w:r>
        <w:rPr>
          <w:rFonts w:hint="eastAsia"/>
          <w:color w:val="auto"/>
          <w:sz w:val="28"/>
          <w:szCs w:val="28"/>
        </w:rPr>
        <w:t>组织</w:t>
      </w:r>
      <w:r>
        <w:rPr>
          <w:color w:val="auto"/>
          <w:sz w:val="28"/>
          <w:szCs w:val="28"/>
        </w:rPr>
        <w:t>划定现场警戒区和交通管制区域，设置警示标识，清理现场中与救援无关的人员，维护社会治安和道路交通秩序；负责制订实施受影响群众紧急转移和安置工作方案，组织相关部门按照工作方案疏散、转移受影响群众，并做好后续安置工作，保障群众基本生活和资金、物资供应。</w:t>
      </w:r>
    </w:p>
    <w:p>
      <w:pPr>
        <w:snapToGrid w:val="0"/>
        <w:ind w:firstLine="562"/>
        <w:rPr>
          <w:color w:val="auto"/>
          <w:sz w:val="28"/>
          <w:szCs w:val="28"/>
        </w:rPr>
      </w:pPr>
      <w:r>
        <w:rPr>
          <w:b/>
          <w:color w:val="auto"/>
          <w:sz w:val="28"/>
          <w:szCs w:val="28"/>
        </w:rPr>
        <w:t>（11）维护社会稳定。</w:t>
      </w:r>
      <w:r>
        <w:rPr>
          <w:rFonts w:hint="eastAsia"/>
          <w:color w:val="auto"/>
          <w:sz w:val="28"/>
          <w:szCs w:val="28"/>
        </w:rPr>
        <w:t>应急保障组和</w:t>
      </w:r>
      <w:r>
        <w:rPr>
          <w:color w:val="auto"/>
          <w:sz w:val="28"/>
          <w:szCs w:val="28"/>
        </w:rPr>
        <w:t>新闻宣传组</w:t>
      </w:r>
      <w:r>
        <w:rPr>
          <w:rFonts w:hint="eastAsia"/>
          <w:color w:val="auto"/>
          <w:sz w:val="28"/>
          <w:szCs w:val="28"/>
        </w:rPr>
        <w:t>组织</w:t>
      </w:r>
      <w:r>
        <w:rPr>
          <w:color w:val="auto"/>
          <w:sz w:val="28"/>
          <w:szCs w:val="28"/>
        </w:rPr>
        <w:t>加强受影响地区社会治安管理，严厉打击借机传播谣言制造社会恐慌、哄抢救灾物资等违法犯罪行为；加强转移人员安置点、救灾物资存放点等重点地区治安管控；做好受影响人员与涉事单位、各有关部门矛盾纠纷化解和法律服务工作，防止出现群体性事件，维护社会稳定。</w:t>
      </w:r>
    </w:p>
    <w:p>
      <w:pPr>
        <w:snapToGrid w:val="0"/>
        <w:ind w:firstLine="562"/>
        <w:rPr>
          <w:color w:val="auto"/>
          <w:sz w:val="28"/>
          <w:szCs w:val="28"/>
        </w:rPr>
      </w:pPr>
      <w:r>
        <w:rPr>
          <w:b/>
          <w:color w:val="auto"/>
          <w:sz w:val="28"/>
          <w:szCs w:val="28"/>
        </w:rPr>
        <w:t>（12）后期工作。</w:t>
      </w:r>
      <w:r>
        <w:rPr>
          <w:color w:val="auto"/>
          <w:sz w:val="28"/>
          <w:szCs w:val="28"/>
        </w:rPr>
        <w:t>根据专家咨询组的建议、损害评估报告等相关资料做好环境修复、生态恢复重建工作。区现场应急指挥部办公室全面收集有关事故发生的原因，危害及其损失等方面的证据和资料，将事件案件资料、损害评估报告等材料送交检察院追究肇事方相关责任。</w:t>
      </w:r>
    </w:p>
    <w:p>
      <w:pPr>
        <w:snapToGrid w:val="0"/>
        <w:ind w:firstLine="560"/>
        <w:rPr>
          <w:color w:val="auto"/>
          <w:sz w:val="28"/>
          <w:szCs w:val="28"/>
        </w:rPr>
      </w:pPr>
    </w:p>
    <w:p>
      <w:pPr>
        <w:snapToGrid w:val="0"/>
        <w:ind w:firstLine="560"/>
        <w:rPr>
          <w:color w:val="auto"/>
          <w:sz w:val="28"/>
          <w:szCs w:val="28"/>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pStyle w:val="2"/>
        <w:jc w:val="both"/>
        <w:rPr>
          <w:color w:val="auto"/>
          <w:sz w:val="28"/>
          <w:szCs w:val="28"/>
        </w:rPr>
      </w:pPr>
      <w:bookmarkStart w:id="137" w:name="_Toc11762"/>
      <w:r>
        <w:rPr>
          <w:color w:val="auto"/>
          <w:sz w:val="28"/>
          <w:szCs w:val="28"/>
        </w:rPr>
        <w:t>附件</w:t>
      </w:r>
      <w:r>
        <w:rPr>
          <w:rFonts w:hint="eastAsia"/>
          <w:color w:val="auto"/>
          <w:sz w:val="28"/>
          <w:szCs w:val="28"/>
          <w:lang w:val="en-US" w:eastAsia="zh-CN"/>
        </w:rPr>
        <w:t xml:space="preserve">5 </w:t>
      </w:r>
      <w:r>
        <w:rPr>
          <w:rFonts w:hint="eastAsia"/>
          <w:color w:val="auto"/>
        </w:rPr>
        <w:t>水华防控及应急措施</w:t>
      </w:r>
      <w:bookmarkEnd w:id="137"/>
    </w:p>
    <w:p>
      <w:pPr>
        <w:bidi w:val="0"/>
        <w:rPr>
          <w:rFonts w:hint="eastAsia"/>
          <w:color w:val="auto"/>
        </w:rPr>
      </w:pPr>
      <w:r>
        <w:rPr>
          <w:rFonts w:hint="eastAsia"/>
          <w:color w:val="auto"/>
        </w:rPr>
        <w:t>水华的防控要从水华产生的内因和外因着手，要做好重点流域的污染防治工作，水华高发季节要做好预警工作，水华发生后要做好相应的应急工作。</w:t>
      </w:r>
    </w:p>
    <w:p>
      <w:pPr>
        <w:bidi w:val="0"/>
        <w:rPr>
          <w:rFonts w:hint="eastAsia"/>
          <w:color w:val="auto"/>
        </w:rPr>
      </w:pPr>
      <w:r>
        <w:rPr>
          <w:rFonts w:hint="eastAsia"/>
          <w:color w:val="auto"/>
        </w:rPr>
        <w:t>（一）流域污染防治</w:t>
      </w:r>
    </w:p>
    <w:p>
      <w:pPr>
        <w:bidi w:val="0"/>
        <w:rPr>
          <w:rFonts w:hint="eastAsia"/>
          <w:color w:val="auto"/>
        </w:rPr>
      </w:pPr>
      <w:r>
        <w:rPr>
          <w:rFonts w:hint="eastAsia"/>
          <w:color w:val="auto"/>
        </w:rPr>
        <w:t>为了根除流域发生水华，需要开展流域污染防治，减少水体中磷、化学需氧量、氮的排放总量。针对水华的特点，除了要加强工业污染源监管外，流域污染防治应开展以下几方面的重点工作：</w:t>
      </w:r>
    </w:p>
    <w:p>
      <w:pPr>
        <w:bidi w:val="0"/>
        <w:rPr>
          <w:rFonts w:hint="eastAsia"/>
          <w:color w:val="auto"/>
        </w:rPr>
      </w:pPr>
      <w:r>
        <w:rPr>
          <w:rFonts w:hint="eastAsia"/>
          <w:color w:val="auto"/>
          <w:lang w:eastAsia="zh-CN"/>
        </w:rPr>
        <w:t>1.</w:t>
      </w:r>
      <w:r>
        <w:rPr>
          <w:rFonts w:hint="eastAsia"/>
          <w:color w:val="auto"/>
        </w:rPr>
        <w:t>宏观控制面源中磷的排放总量。农业面源污染治理难度更大，需要出台相关鼓励措施和限制措施，科学合理使用磷肥等，减少农业中磷的流失。</w:t>
      </w:r>
    </w:p>
    <w:p>
      <w:pPr>
        <w:bidi w:val="0"/>
        <w:rPr>
          <w:rFonts w:hint="eastAsia"/>
          <w:color w:val="auto"/>
        </w:rPr>
      </w:pPr>
      <w:r>
        <w:rPr>
          <w:rFonts w:hint="eastAsia"/>
          <w:color w:val="auto"/>
          <w:lang w:eastAsia="zh-CN"/>
        </w:rPr>
        <w:t>2.</w:t>
      </w:r>
      <w:r>
        <w:rPr>
          <w:rFonts w:hint="eastAsia"/>
          <w:color w:val="auto"/>
        </w:rPr>
        <w:t>严格</w:t>
      </w:r>
      <w:r>
        <w:rPr>
          <w:rFonts w:hint="eastAsia"/>
          <w:color w:val="auto"/>
          <w:lang w:val="en-US" w:eastAsia="zh-CN"/>
        </w:rPr>
        <w:t>监管</w:t>
      </w:r>
      <w:r>
        <w:rPr>
          <w:rFonts w:hint="eastAsia"/>
          <w:color w:val="auto"/>
        </w:rPr>
        <w:t>规模</w:t>
      </w:r>
      <w:r>
        <w:rPr>
          <w:rFonts w:hint="eastAsia"/>
          <w:color w:val="auto"/>
          <w:lang w:val="en-US" w:eastAsia="zh-CN"/>
        </w:rPr>
        <w:t>养猪场和养鸡场</w:t>
      </w:r>
      <w:r>
        <w:rPr>
          <w:rFonts w:hint="eastAsia"/>
          <w:color w:val="auto"/>
        </w:rPr>
        <w:t>，同</w:t>
      </w:r>
      <w:r>
        <w:rPr>
          <w:rFonts w:hint="eastAsia"/>
          <w:color w:val="auto"/>
          <w:lang w:val="en-US" w:eastAsia="zh-CN"/>
        </w:rPr>
        <w:t>农业</w:t>
      </w:r>
      <w:r>
        <w:rPr>
          <w:rFonts w:hint="eastAsia"/>
          <w:color w:val="auto"/>
        </w:rPr>
        <w:t>部门建立协同监管机制，</w:t>
      </w:r>
      <w:r>
        <w:rPr>
          <w:rFonts w:hint="eastAsia"/>
          <w:color w:val="auto"/>
          <w:lang w:val="en-US" w:eastAsia="zh-CN"/>
        </w:rPr>
        <w:t>加强养殖场废水和固体废物管理，避免废水异常排放</w:t>
      </w:r>
      <w:r>
        <w:rPr>
          <w:rFonts w:hint="eastAsia"/>
          <w:color w:val="auto"/>
        </w:rPr>
        <w:t>。</w:t>
      </w:r>
    </w:p>
    <w:p>
      <w:pPr>
        <w:bidi w:val="0"/>
        <w:rPr>
          <w:rFonts w:hint="eastAsia"/>
          <w:color w:val="auto"/>
        </w:rPr>
      </w:pPr>
      <w:r>
        <w:rPr>
          <w:rFonts w:hint="eastAsia"/>
          <w:color w:val="auto"/>
          <w:lang w:eastAsia="zh-CN"/>
        </w:rPr>
        <w:t>3.</w:t>
      </w:r>
      <w:r>
        <w:rPr>
          <w:rFonts w:hint="eastAsia"/>
          <w:color w:val="auto"/>
          <w:lang w:val="en-US" w:eastAsia="zh-CN"/>
        </w:rPr>
        <w:t>定期</w:t>
      </w:r>
      <w:r>
        <w:rPr>
          <w:rFonts w:hint="eastAsia"/>
          <w:color w:val="auto"/>
        </w:rPr>
        <w:t>开展流域底泥疏浚</w:t>
      </w:r>
      <w:r>
        <w:rPr>
          <w:rFonts w:hint="eastAsia"/>
          <w:color w:val="auto"/>
          <w:lang w:eastAsia="zh-CN"/>
        </w:rPr>
        <w:t>，</w:t>
      </w:r>
      <w:r>
        <w:rPr>
          <w:rFonts w:hint="eastAsia"/>
          <w:color w:val="auto"/>
          <w:lang w:val="en-US" w:eastAsia="zh-CN"/>
        </w:rPr>
        <w:t>避免总磷等污染物累积</w:t>
      </w:r>
      <w:r>
        <w:rPr>
          <w:rFonts w:hint="eastAsia"/>
          <w:color w:val="auto"/>
        </w:rPr>
        <w:t>。</w:t>
      </w:r>
    </w:p>
    <w:p>
      <w:pPr>
        <w:bidi w:val="0"/>
        <w:rPr>
          <w:rFonts w:hint="eastAsia"/>
          <w:color w:val="auto"/>
        </w:rPr>
      </w:pPr>
      <w:r>
        <w:rPr>
          <w:rFonts w:hint="eastAsia"/>
          <w:color w:val="auto"/>
        </w:rPr>
        <w:t>（二）水华预警</w:t>
      </w:r>
    </w:p>
    <w:p>
      <w:pPr>
        <w:bidi w:val="0"/>
        <w:rPr>
          <w:rFonts w:hint="eastAsia"/>
          <w:color w:val="auto"/>
        </w:rPr>
      </w:pPr>
      <w:r>
        <w:rPr>
          <w:rFonts w:hint="eastAsia"/>
          <w:color w:val="auto"/>
        </w:rPr>
        <w:t>开展水华的预警</w:t>
      </w:r>
      <w:r>
        <w:rPr>
          <w:rFonts w:hint="eastAsia"/>
          <w:color w:val="auto"/>
          <w:lang w:eastAsia="zh-CN"/>
        </w:rPr>
        <w:t>，</w:t>
      </w:r>
      <w:r>
        <w:rPr>
          <w:rFonts w:hint="eastAsia"/>
          <w:color w:val="auto"/>
        </w:rPr>
        <w:t>防止藻类集中</w:t>
      </w:r>
      <w:r>
        <w:rPr>
          <w:rFonts w:hint="eastAsia"/>
          <w:color w:val="auto"/>
          <w:lang w:eastAsia="zh-CN"/>
        </w:rPr>
        <w:t>爆发式</w:t>
      </w:r>
      <w:r>
        <w:rPr>
          <w:rFonts w:hint="eastAsia"/>
          <w:color w:val="auto"/>
        </w:rPr>
        <w:t>繁殖。</w:t>
      </w:r>
    </w:p>
    <w:p>
      <w:pPr>
        <w:bidi w:val="0"/>
        <w:rPr>
          <w:rFonts w:hint="eastAsia"/>
          <w:color w:val="auto"/>
        </w:rPr>
      </w:pPr>
      <w:r>
        <w:rPr>
          <w:rFonts w:hint="eastAsia"/>
          <w:color w:val="auto"/>
          <w:lang w:eastAsia="zh-CN"/>
        </w:rPr>
        <w:t>1.</w:t>
      </w:r>
      <w:r>
        <w:rPr>
          <w:rFonts w:hint="eastAsia"/>
          <w:color w:val="auto"/>
        </w:rPr>
        <w:t>与水利、水文、气象等部门建立联合协调机制，实现数据共享。</w:t>
      </w:r>
    </w:p>
    <w:p>
      <w:pPr>
        <w:bidi w:val="0"/>
        <w:rPr>
          <w:rFonts w:hint="eastAsia"/>
          <w:color w:val="auto"/>
        </w:rPr>
      </w:pPr>
      <w:r>
        <w:rPr>
          <w:rFonts w:hint="eastAsia"/>
          <w:color w:val="auto"/>
          <w:lang w:eastAsia="zh-CN"/>
        </w:rPr>
        <w:t>2.</w:t>
      </w:r>
      <w:r>
        <w:rPr>
          <w:rFonts w:hint="eastAsia"/>
          <w:color w:val="auto"/>
        </w:rPr>
        <w:t>针对易发生水华的河流，确定其生态流速（即流速超过该生态流速时，该河流基本不会发生水华），在水华易发的气象条件下，水利部门应</w:t>
      </w:r>
      <w:r>
        <w:rPr>
          <w:rFonts w:hint="eastAsia"/>
          <w:color w:val="auto"/>
          <w:lang w:val="en-US" w:eastAsia="zh-CN"/>
        </w:rPr>
        <w:t>协调</w:t>
      </w:r>
      <w:r>
        <w:rPr>
          <w:rFonts w:hint="eastAsia"/>
          <w:color w:val="auto"/>
        </w:rPr>
        <w:t>进行生态补水，保证一定的生态流速。</w:t>
      </w:r>
    </w:p>
    <w:p>
      <w:pPr>
        <w:bidi w:val="0"/>
        <w:rPr>
          <w:rFonts w:hint="eastAsia"/>
          <w:color w:val="auto"/>
        </w:rPr>
      </w:pPr>
      <w:r>
        <w:rPr>
          <w:rFonts w:hint="eastAsia"/>
          <w:color w:val="auto"/>
          <w:lang w:eastAsia="zh-CN"/>
        </w:rPr>
        <w:t>3.</w:t>
      </w:r>
      <w:r>
        <w:rPr>
          <w:rFonts w:hint="eastAsia"/>
          <w:color w:val="auto"/>
        </w:rPr>
        <w:t>在水华高发季节，应坚持水温、气象、水文、pH值、高锰酸盐指数、溶解氧、藻类、叶绿素等指标的监测和预报工作。</w:t>
      </w:r>
    </w:p>
    <w:p>
      <w:pPr>
        <w:bidi w:val="0"/>
        <w:rPr>
          <w:rFonts w:hint="eastAsia"/>
          <w:color w:val="auto"/>
        </w:rPr>
      </w:pPr>
      <w:r>
        <w:rPr>
          <w:rFonts w:hint="eastAsia"/>
          <w:color w:val="auto"/>
        </w:rPr>
        <w:t>（三）水华事件的应急处置</w:t>
      </w:r>
    </w:p>
    <w:p>
      <w:pPr>
        <w:bidi w:val="0"/>
        <w:rPr>
          <w:rFonts w:hint="eastAsia"/>
          <w:color w:val="auto"/>
        </w:rPr>
      </w:pPr>
      <w:r>
        <w:rPr>
          <w:rFonts w:hint="eastAsia"/>
          <w:color w:val="auto"/>
        </w:rPr>
        <w:t>水华发生后，应及时开展有效的应急处置工作，最大限度地降低水华的影响。</w:t>
      </w:r>
    </w:p>
    <w:p>
      <w:pPr>
        <w:bidi w:val="0"/>
        <w:rPr>
          <w:rFonts w:hint="eastAsia"/>
          <w:color w:val="auto"/>
        </w:rPr>
      </w:pPr>
      <w:r>
        <w:rPr>
          <w:rFonts w:hint="eastAsia"/>
          <w:color w:val="auto"/>
          <w:lang w:eastAsia="zh-CN"/>
        </w:rPr>
        <w:t>1.</w:t>
      </w:r>
      <w:r>
        <w:rPr>
          <w:rFonts w:hint="eastAsia"/>
          <w:color w:val="auto"/>
        </w:rPr>
        <w:t>会同水利部门协调相关</w:t>
      </w:r>
      <w:r>
        <w:rPr>
          <w:rFonts w:hint="eastAsia"/>
          <w:color w:val="auto"/>
          <w:lang w:val="en-US" w:eastAsia="zh-CN"/>
        </w:rPr>
        <w:t>生态补水</w:t>
      </w:r>
      <w:r>
        <w:rPr>
          <w:rFonts w:hint="eastAsia"/>
          <w:color w:val="auto"/>
        </w:rPr>
        <w:t>，减少水华持续的时间。</w:t>
      </w:r>
    </w:p>
    <w:p>
      <w:pPr>
        <w:bidi w:val="0"/>
        <w:rPr>
          <w:rFonts w:hint="eastAsia"/>
          <w:color w:val="auto"/>
        </w:rPr>
      </w:pPr>
      <w:r>
        <w:rPr>
          <w:rFonts w:hint="eastAsia"/>
          <w:color w:val="auto"/>
          <w:lang w:eastAsia="zh-CN"/>
        </w:rPr>
        <w:t>2.生态环境部门、卫健部门应参与事件的处理。生态环境部门、卫健部门应开展饮用水水质监测，确定恢复供水时间，确保供水安全</w:t>
      </w:r>
      <w:r>
        <w:rPr>
          <w:rFonts w:hint="eastAsia"/>
          <w:color w:val="auto"/>
        </w:rPr>
        <w:t>。</w:t>
      </w:r>
    </w:p>
    <w:p>
      <w:pPr>
        <w:bidi w:val="0"/>
        <w:rPr>
          <w:rFonts w:hint="eastAsia"/>
          <w:color w:val="auto"/>
        </w:rPr>
      </w:pPr>
      <w:r>
        <w:rPr>
          <w:rFonts w:hint="eastAsia"/>
          <w:color w:val="auto"/>
          <w:lang w:eastAsia="zh-CN"/>
        </w:rPr>
        <w:t>3.</w:t>
      </w:r>
      <w:r>
        <w:rPr>
          <w:rFonts w:hint="eastAsia"/>
          <w:color w:val="auto"/>
        </w:rPr>
        <w:t>自来水厂应启动应急措施。发生水华时，由于藻类还具有活性，一般先灭藻，后除藻。对水华的清除，主要有物理除藻（机械打捞、超声辐射等）、化学除藻、生物控藻等。常用的除藻方法是投加大量的氯气</w:t>
      </w:r>
      <w:r>
        <w:rPr>
          <w:rFonts w:hint="eastAsia"/>
          <w:color w:val="auto"/>
          <w:lang w:eastAsia="zh-CN"/>
        </w:rPr>
        <w:t>、</w:t>
      </w:r>
      <w:r>
        <w:rPr>
          <w:rFonts w:hint="eastAsia"/>
          <w:color w:val="auto"/>
        </w:rPr>
        <w:t>絮凝沉淀</w:t>
      </w:r>
      <w:r>
        <w:rPr>
          <w:rFonts w:hint="eastAsia"/>
          <w:color w:val="auto"/>
          <w:lang w:eastAsia="zh-CN"/>
        </w:rPr>
        <w:t>、</w:t>
      </w:r>
      <w:r>
        <w:rPr>
          <w:rFonts w:hint="eastAsia"/>
          <w:color w:val="auto"/>
        </w:rPr>
        <w:t>砂滤</w:t>
      </w:r>
      <w:r>
        <w:rPr>
          <w:rFonts w:hint="eastAsia"/>
          <w:color w:val="auto"/>
          <w:lang w:val="en-US" w:eastAsia="zh-CN"/>
        </w:rPr>
        <w:t>等措施进行</w:t>
      </w:r>
      <w:r>
        <w:rPr>
          <w:rFonts w:hint="eastAsia"/>
          <w:color w:val="auto"/>
        </w:rPr>
        <w:t>除藻。</w:t>
      </w:r>
    </w:p>
    <w:p>
      <w:pPr>
        <w:bidi w:val="0"/>
        <w:rPr>
          <w:rFonts w:hint="eastAsia"/>
          <w:color w:val="auto"/>
        </w:rPr>
      </w:pPr>
      <w:r>
        <w:rPr>
          <w:rFonts w:hint="eastAsia"/>
          <w:color w:val="auto"/>
          <w:lang w:eastAsia="zh-CN"/>
        </w:rPr>
        <w:t>4.</w:t>
      </w:r>
      <w:r>
        <w:rPr>
          <w:rFonts w:hint="eastAsia"/>
          <w:color w:val="auto"/>
        </w:rPr>
        <w:t>加强应急监测。发生水华时，应及时判定藻的类型，监测藻类浓度。详细记录水体中藻类的基本形态、种属及生长情况，并同时对水面面积、水深、透明度等影响蓝藻水华的一系列因素进行监测。</w:t>
      </w:r>
    </w:p>
    <w:p>
      <w:pPr>
        <w:bidi w:val="0"/>
        <w:rPr>
          <w:rFonts w:hint="eastAsia"/>
          <w:color w:val="auto"/>
        </w:rPr>
      </w:pPr>
      <w:r>
        <w:rPr>
          <w:rFonts w:hint="eastAsia"/>
          <w:color w:val="auto"/>
          <w:lang w:eastAsia="zh-CN"/>
        </w:rPr>
        <w:t>5.</w:t>
      </w:r>
      <w:r>
        <w:rPr>
          <w:rFonts w:hint="eastAsia"/>
          <w:color w:val="auto"/>
        </w:rPr>
        <w:t>及时消除社会影响。为消除社会影响，一是地方政府积极组织人力物力，多渠道向受影响的居民供水；二是工商部门加大执法力度，严厉打击商品水供应商趁机哄抬物价的违法行为；三是</w:t>
      </w:r>
      <w:r>
        <w:rPr>
          <w:rFonts w:hint="eastAsia"/>
          <w:color w:val="auto"/>
          <w:lang w:eastAsia="zh-CN"/>
        </w:rPr>
        <w:t>生态环境</w:t>
      </w:r>
      <w:r>
        <w:rPr>
          <w:rFonts w:hint="eastAsia"/>
          <w:color w:val="auto"/>
        </w:rPr>
        <w:t>部门召开新闻通气会，通过媒体向社会及时说明事件的原因及危害性，防止其他媒体进一步炒作。</w:t>
      </w:r>
    </w:p>
    <w:p>
      <w:pPr>
        <w:rPr>
          <w:color w:val="auto"/>
          <w:sz w:val="28"/>
          <w:szCs w:val="28"/>
        </w:rPr>
      </w:pPr>
      <w:r>
        <w:rPr>
          <w:color w:val="auto"/>
          <w:sz w:val="28"/>
          <w:szCs w:val="28"/>
        </w:rPr>
        <w:br w:type="page"/>
      </w:r>
    </w:p>
    <w:p>
      <w:pPr>
        <w:pStyle w:val="2"/>
        <w:jc w:val="both"/>
        <w:rPr>
          <w:color w:val="auto"/>
          <w:sz w:val="28"/>
          <w:szCs w:val="28"/>
        </w:rPr>
      </w:pPr>
      <w:bookmarkStart w:id="138" w:name="_Toc26170"/>
      <w:r>
        <w:rPr>
          <w:color w:val="auto"/>
          <w:sz w:val="28"/>
          <w:szCs w:val="28"/>
        </w:rPr>
        <w:t>附件</w:t>
      </w:r>
      <w:r>
        <w:rPr>
          <w:rFonts w:hint="eastAsia"/>
          <w:color w:val="auto"/>
          <w:sz w:val="28"/>
          <w:szCs w:val="28"/>
          <w:lang w:val="en-US" w:eastAsia="zh-CN"/>
        </w:rPr>
        <w:t xml:space="preserve">6 </w:t>
      </w:r>
      <w:r>
        <w:rPr>
          <w:color w:val="auto"/>
          <w:sz w:val="28"/>
          <w:szCs w:val="28"/>
        </w:rPr>
        <w:t>不同污染物推荐处理技术</w:t>
      </w:r>
      <w:bookmarkEnd w:id="138"/>
    </w:p>
    <w:tbl>
      <w:tblPr>
        <w:tblStyle w:val="4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3"/>
        <w:gridCol w:w="64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2103" w:type="dxa"/>
            <w:vAlign w:val="center"/>
          </w:tcPr>
          <w:p>
            <w:pPr>
              <w:ind w:firstLine="0" w:firstLineChars="0"/>
              <w:jc w:val="center"/>
              <w:rPr>
                <w:b/>
                <w:color w:val="auto"/>
                <w:szCs w:val="24"/>
              </w:rPr>
            </w:pPr>
            <w:r>
              <w:rPr>
                <w:b/>
                <w:color w:val="auto"/>
                <w:szCs w:val="24"/>
              </w:rPr>
              <w:t>超标项目</w:t>
            </w:r>
          </w:p>
        </w:tc>
        <w:tc>
          <w:tcPr>
            <w:tcW w:w="6419" w:type="dxa"/>
            <w:vAlign w:val="center"/>
          </w:tcPr>
          <w:p>
            <w:pPr>
              <w:ind w:firstLine="0" w:firstLineChars="0"/>
              <w:jc w:val="center"/>
              <w:rPr>
                <w:b/>
                <w:color w:val="auto"/>
                <w:szCs w:val="24"/>
              </w:rPr>
            </w:pPr>
            <w:r>
              <w:rPr>
                <w:b/>
                <w:color w:val="auto"/>
                <w:szCs w:val="24"/>
              </w:rPr>
              <w:t>推荐技术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浊度</w:t>
            </w:r>
          </w:p>
        </w:tc>
        <w:tc>
          <w:tcPr>
            <w:tcW w:w="6419" w:type="dxa"/>
            <w:vAlign w:val="center"/>
          </w:tcPr>
          <w:p>
            <w:pPr>
              <w:ind w:firstLine="0" w:firstLineChars="0"/>
              <w:rPr>
                <w:color w:val="auto"/>
                <w:szCs w:val="24"/>
              </w:rPr>
            </w:pPr>
            <w:r>
              <w:rPr>
                <w:color w:val="auto"/>
                <w:szCs w:val="24"/>
              </w:rPr>
              <w:t>快速砂滤池、絮凝、沉淀、过滤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色度</w:t>
            </w:r>
          </w:p>
        </w:tc>
        <w:tc>
          <w:tcPr>
            <w:tcW w:w="6419" w:type="dxa"/>
            <w:vAlign w:val="center"/>
          </w:tcPr>
          <w:p>
            <w:pPr>
              <w:ind w:firstLine="0" w:firstLineChars="0"/>
              <w:rPr>
                <w:color w:val="auto"/>
                <w:szCs w:val="24"/>
              </w:rPr>
            </w:pPr>
            <w:r>
              <w:rPr>
                <w:color w:val="auto"/>
                <w:szCs w:val="24"/>
              </w:rPr>
              <w:t>快速砂滤池、絮凝；活性炭吸附；化学氧化预处理：臭氧、氯、高锰酸钾、二氧化氯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嗅味</w:t>
            </w:r>
          </w:p>
        </w:tc>
        <w:tc>
          <w:tcPr>
            <w:tcW w:w="6419" w:type="dxa"/>
            <w:vAlign w:val="center"/>
          </w:tcPr>
          <w:p>
            <w:pPr>
              <w:ind w:firstLine="0" w:firstLineChars="0"/>
              <w:rPr>
                <w:color w:val="auto"/>
                <w:szCs w:val="24"/>
              </w:rPr>
            </w:pPr>
            <w:r>
              <w:rPr>
                <w:color w:val="auto"/>
                <w:szCs w:val="24"/>
              </w:rPr>
              <w:t>化学氧化预处理：臭氧、氯、高锰酸钾、二氧化氯、活性炭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氟化物</w:t>
            </w:r>
          </w:p>
        </w:tc>
        <w:tc>
          <w:tcPr>
            <w:tcW w:w="6419" w:type="dxa"/>
            <w:vAlign w:val="center"/>
          </w:tcPr>
          <w:p>
            <w:pPr>
              <w:ind w:firstLine="0" w:firstLineChars="0"/>
              <w:rPr>
                <w:color w:val="auto"/>
                <w:szCs w:val="24"/>
              </w:rPr>
            </w:pPr>
            <w:r>
              <w:rPr>
                <w:color w:val="auto"/>
                <w:szCs w:val="24"/>
              </w:rPr>
              <w:t>吸附法：氧化铝、磷酸二钙；混凝沉淀法：硫酸铝、聚合氯化铝；离子交换法；电渗析法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氨氮</w:t>
            </w:r>
          </w:p>
        </w:tc>
        <w:tc>
          <w:tcPr>
            <w:tcW w:w="6419" w:type="dxa"/>
            <w:vAlign w:val="center"/>
          </w:tcPr>
          <w:p>
            <w:pPr>
              <w:ind w:firstLine="0" w:firstLineChars="0"/>
              <w:rPr>
                <w:color w:val="auto"/>
                <w:szCs w:val="24"/>
              </w:rPr>
            </w:pPr>
            <w:r>
              <w:rPr>
                <w:color w:val="auto"/>
                <w:szCs w:val="24"/>
              </w:rPr>
              <w:t>化学氧化预处理：氯、高锰酸钾；深度处理：臭氧-生物</w:t>
            </w:r>
            <w:r>
              <w:rPr>
                <w:rFonts w:hint="eastAsia"/>
                <w:color w:val="auto"/>
                <w:szCs w:val="24"/>
                <w:lang w:eastAsia="zh-CN"/>
              </w:rPr>
              <w:t>活性炭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铁、锰</w:t>
            </w:r>
          </w:p>
        </w:tc>
        <w:tc>
          <w:tcPr>
            <w:tcW w:w="6419" w:type="dxa"/>
            <w:vAlign w:val="center"/>
          </w:tcPr>
          <w:p>
            <w:pPr>
              <w:ind w:firstLine="0" w:firstLineChars="0"/>
              <w:rPr>
                <w:color w:val="auto"/>
                <w:szCs w:val="24"/>
              </w:rPr>
            </w:pPr>
            <w:r>
              <w:rPr>
                <w:color w:val="auto"/>
                <w:szCs w:val="24"/>
              </w:rPr>
              <w:t>锰砂；化学氧化预处理：氯、高锰酸钾；深度处理：臭氧-生物</w:t>
            </w:r>
            <w:r>
              <w:rPr>
                <w:rFonts w:hint="eastAsia"/>
                <w:color w:val="auto"/>
                <w:szCs w:val="24"/>
                <w:lang w:eastAsia="zh-CN"/>
              </w:rPr>
              <w:t>活性炭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挥发性有机物</w:t>
            </w:r>
          </w:p>
        </w:tc>
        <w:tc>
          <w:tcPr>
            <w:tcW w:w="6419" w:type="dxa"/>
            <w:vAlign w:val="center"/>
          </w:tcPr>
          <w:p>
            <w:pPr>
              <w:ind w:firstLine="0" w:firstLineChars="0"/>
              <w:rPr>
                <w:color w:val="auto"/>
                <w:szCs w:val="24"/>
              </w:rPr>
            </w:pPr>
            <w:r>
              <w:rPr>
                <w:color w:val="auto"/>
                <w:szCs w:val="24"/>
              </w:rPr>
              <w:t>生物活性炭吸附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三氯甲烷和腐殖酸</w:t>
            </w:r>
          </w:p>
        </w:tc>
        <w:tc>
          <w:tcPr>
            <w:tcW w:w="6419" w:type="dxa"/>
            <w:vAlign w:val="center"/>
          </w:tcPr>
          <w:p>
            <w:pPr>
              <w:ind w:firstLine="0" w:firstLineChars="0"/>
              <w:rPr>
                <w:color w:val="auto"/>
                <w:szCs w:val="24"/>
              </w:rPr>
            </w:pPr>
            <w:r>
              <w:rPr>
                <w:color w:val="auto"/>
                <w:szCs w:val="24"/>
              </w:rPr>
              <w:t>前驱物的去除：强化混凝、粒状活性炭、生物活性炭；氯化副产物的去除：粒状活性炭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有机化合物</w:t>
            </w:r>
          </w:p>
        </w:tc>
        <w:tc>
          <w:tcPr>
            <w:tcW w:w="6419" w:type="dxa"/>
            <w:vAlign w:val="center"/>
          </w:tcPr>
          <w:p>
            <w:pPr>
              <w:ind w:firstLine="0" w:firstLineChars="0"/>
              <w:rPr>
                <w:color w:val="auto"/>
                <w:szCs w:val="24"/>
              </w:rPr>
            </w:pPr>
            <w:r>
              <w:rPr>
                <w:color w:val="auto"/>
                <w:szCs w:val="24"/>
              </w:rPr>
              <w:t>生物</w:t>
            </w:r>
            <w:r>
              <w:rPr>
                <w:rFonts w:hint="eastAsia"/>
                <w:color w:val="auto"/>
                <w:szCs w:val="24"/>
                <w:lang w:eastAsia="zh-CN"/>
              </w:rPr>
              <w:t>活性炭</w:t>
            </w:r>
            <w:r>
              <w:rPr>
                <w:color w:val="auto"/>
                <w:szCs w:val="24"/>
              </w:rPr>
              <w:t>、膜处理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细菌和病毒</w:t>
            </w:r>
          </w:p>
        </w:tc>
        <w:tc>
          <w:tcPr>
            <w:tcW w:w="6419" w:type="dxa"/>
            <w:vAlign w:val="center"/>
          </w:tcPr>
          <w:p>
            <w:pPr>
              <w:ind w:firstLine="0" w:firstLineChars="0"/>
              <w:rPr>
                <w:color w:val="auto"/>
                <w:szCs w:val="24"/>
              </w:rPr>
            </w:pPr>
            <w:r>
              <w:rPr>
                <w:color w:val="auto"/>
                <w:szCs w:val="24"/>
              </w:rPr>
              <w:t>过滤（部分去除）；消毒处理：氯、二氧化氯、臭氧、膜处理、紫外消毒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汞、铬等部分重金属</w:t>
            </w:r>
          </w:p>
          <w:p>
            <w:pPr>
              <w:ind w:firstLine="0" w:firstLineChars="0"/>
              <w:jc w:val="center"/>
              <w:rPr>
                <w:color w:val="auto"/>
                <w:szCs w:val="24"/>
              </w:rPr>
            </w:pPr>
            <w:r>
              <w:rPr>
                <w:color w:val="auto"/>
                <w:szCs w:val="24"/>
              </w:rPr>
              <w:t>（应急状态）</w:t>
            </w:r>
          </w:p>
        </w:tc>
        <w:tc>
          <w:tcPr>
            <w:tcW w:w="6419" w:type="dxa"/>
            <w:vAlign w:val="center"/>
          </w:tcPr>
          <w:p>
            <w:pPr>
              <w:ind w:firstLine="0" w:firstLineChars="0"/>
              <w:rPr>
                <w:color w:val="auto"/>
                <w:szCs w:val="24"/>
              </w:rPr>
            </w:pPr>
            <w:r>
              <w:rPr>
                <w:color w:val="auto"/>
                <w:szCs w:val="24"/>
              </w:rPr>
              <w:t>氧化法：高锰酸钾；生物活性</w:t>
            </w:r>
            <w:r>
              <w:rPr>
                <w:rFonts w:hint="eastAsia"/>
                <w:color w:val="auto"/>
                <w:szCs w:val="24"/>
                <w:lang w:val="en-US" w:eastAsia="zh-CN"/>
              </w:rPr>
              <w:t>炭</w:t>
            </w:r>
            <w:r>
              <w:rPr>
                <w:color w:val="auto"/>
                <w:szCs w:val="24"/>
              </w:rPr>
              <w:t>吸附（部分去除）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ind w:firstLine="0" w:firstLineChars="0"/>
              <w:jc w:val="center"/>
              <w:rPr>
                <w:color w:val="auto"/>
                <w:szCs w:val="24"/>
              </w:rPr>
            </w:pPr>
            <w:r>
              <w:rPr>
                <w:color w:val="auto"/>
                <w:szCs w:val="24"/>
              </w:rPr>
              <w:t>藻类及藻毒素</w:t>
            </w:r>
          </w:p>
        </w:tc>
        <w:tc>
          <w:tcPr>
            <w:tcW w:w="6419" w:type="dxa"/>
            <w:vAlign w:val="center"/>
          </w:tcPr>
          <w:p>
            <w:pPr>
              <w:ind w:firstLine="0" w:firstLineChars="0"/>
              <w:rPr>
                <w:color w:val="auto"/>
                <w:szCs w:val="24"/>
              </w:rPr>
            </w:pPr>
            <w:r>
              <w:rPr>
                <w:color w:val="auto"/>
                <w:szCs w:val="24"/>
              </w:rPr>
              <w:t>化学氧化预处理：除藻剂法、高锰酸钾、氯；微滤法；气浮法；臭氧氧化法</w:t>
            </w:r>
          </w:p>
        </w:tc>
      </w:tr>
    </w:tbl>
    <w:p>
      <w:pPr>
        <w:keepNext/>
        <w:keepLines/>
        <w:ind w:firstLine="0" w:firstLineChars="0"/>
        <w:jc w:val="left"/>
        <w:outlineLvl w:val="2"/>
        <w:rPr>
          <w:b/>
          <w:color w:val="auto"/>
          <w:sz w:val="28"/>
          <w:szCs w:val="24"/>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pStyle w:val="2"/>
        <w:jc w:val="both"/>
        <w:rPr>
          <w:color w:val="auto"/>
          <w:sz w:val="28"/>
          <w:szCs w:val="28"/>
        </w:rPr>
      </w:pPr>
      <w:bookmarkStart w:id="139" w:name="_Toc14781"/>
      <w:r>
        <w:rPr>
          <w:color w:val="auto"/>
          <w:sz w:val="28"/>
          <w:szCs w:val="28"/>
        </w:rPr>
        <w:t>附件</w:t>
      </w:r>
      <w:r>
        <w:rPr>
          <w:rFonts w:hint="eastAsia"/>
          <w:color w:val="auto"/>
          <w:sz w:val="28"/>
          <w:szCs w:val="28"/>
          <w:lang w:val="en-US" w:eastAsia="zh-CN"/>
        </w:rPr>
        <w:t xml:space="preserve">7 </w:t>
      </w:r>
      <w:r>
        <w:rPr>
          <w:color w:val="auto"/>
          <w:sz w:val="28"/>
          <w:szCs w:val="28"/>
        </w:rPr>
        <w:t>典型污染物应急处置技术</w:t>
      </w:r>
      <w:bookmarkEnd w:id="139"/>
    </w:p>
    <w:tbl>
      <w:tblPr>
        <w:tblStyle w:val="42"/>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2"/>
        <w:gridCol w:w="1276"/>
        <w:gridCol w:w="1276"/>
        <w:gridCol w:w="1559"/>
        <w:gridCol w:w="2410"/>
        <w:gridCol w:w="2693"/>
        <w:gridCol w:w="2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34" w:type="dxa"/>
            <w:vMerge w:val="restart"/>
            <w:vAlign w:val="center"/>
          </w:tcPr>
          <w:p>
            <w:pPr>
              <w:adjustRightInd w:val="0"/>
              <w:snapToGrid w:val="0"/>
              <w:spacing w:line="240" w:lineRule="auto"/>
              <w:ind w:firstLine="0" w:firstLineChars="0"/>
              <w:jc w:val="center"/>
              <w:rPr>
                <w:b/>
                <w:color w:val="auto"/>
                <w:sz w:val="21"/>
                <w:szCs w:val="21"/>
              </w:rPr>
            </w:pPr>
            <w:r>
              <w:rPr>
                <w:b/>
                <w:color w:val="auto"/>
                <w:sz w:val="21"/>
                <w:szCs w:val="21"/>
              </w:rPr>
              <w:t>序号</w:t>
            </w:r>
          </w:p>
        </w:tc>
        <w:tc>
          <w:tcPr>
            <w:tcW w:w="1842" w:type="dxa"/>
            <w:vMerge w:val="restart"/>
            <w:vAlign w:val="center"/>
          </w:tcPr>
          <w:p>
            <w:pPr>
              <w:adjustRightInd w:val="0"/>
              <w:snapToGrid w:val="0"/>
              <w:spacing w:line="240" w:lineRule="auto"/>
              <w:ind w:firstLine="0" w:firstLineChars="0"/>
              <w:jc w:val="center"/>
              <w:rPr>
                <w:b/>
                <w:color w:val="auto"/>
                <w:sz w:val="21"/>
                <w:szCs w:val="21"/>
              </w:rPr>
            </w:pPr>
            <w:r>
              <w:rPr>
                <w:b/>
                <w:color w:val="auto"/>
                <w:sz w:val="21"/>
                <w:szCs w:val="21"/>
              </w:rPr>
              <w:t>项目</w:t>
            </w:r>
          </w:p>
        </w:tc>
        <w:tc>
          <w:tcPr>
            <w:tcW w:w="2552" w:type="dxa"/>
            <w:gridSpan w:val="2"/>
            <w:vAlign w:val="center"/>
          </w:tcPr>
          <w:p>
            <w:pPr>
              <w:adjustRightInd w:val="0"/>
              <w:snapToGrid w:val="0"/>
              <w:spacing w:line="240" w:lineRule="auto"/>
              <w:ind w:firstLine="0" w:firstLineChars="0"/>
              <w:jc w:val="center"/>
              <w:rPr>
                <w:b/>
                <w:color w:val="auto"/>
                <w:sz w:val="21"/>
                <w:szCs w:val="21"/>
              </w:rPr>
            </w:pPr>
            <w:r>
              <w:rPr>
                <w:b/>
                <w:color w:val="auto"/>
                <w:sz w:val="21"/>
                <w:szCs w:val="21"/>
              </w:rPr>
              <w:t>水质标准</w:t>
            </w:r>
            <w:r>
              <w:rPr>
                <w:b/>
                <w:color w:val="auto"/>
                <w:sz w:val="21"/>
                <w:szCs w:val="21"/>
                <w:vertAlign w:val="superscript"/>
              </w:rPr>
              <w:t>〔1〕</w:t>
            </w:r>
          </w:p>
        </w:tc>
        <w:tc>
          <w:tcPr>
            <w:tcW w:w="1559" w:type="dxa"/>
            <w:vMerge w:val="restart"/>
            <w:vAlign w:val="center"/>
          </w:tcPr>
          <w:p>
            <w:pPr>
              <w:adjustRightInd w:val="0"/>
              <w:snapToGrid w:val="0"/>
              <w:spacing w:line="240" w:lineRule="auto"/>
              <w:ind w:firstLine="0" w:firstLineChars="0"/>
              <w:jc w:val="center"/>
              <w:rPr>
                <w:b/>
                <w:color w:val="auto"/>
                <w:sz w:val="21"/>
                <w:szCs w:val="21"/>
              </w:rPr>
            </w:pPr>
            <w:r>
              <w:rPr>
                <w:b/>
                <w:color w:val="auto"/>
                <w:sz w:val="21"/>
                <w:szCs w:val="21"/>
              </w:rPr>
              <w:t>备选处理技术</w:t>
            </w:r>
          </w:p>
        </w:tc>
        <w:tc>
          <w:tcPr>
            <w:tcW w:w="7687" w:type="dxa"/>
            <w:gridSpan w:val="3"/>
            <w:vAlign w:val="center"/>
          </w:tcPr>
          <w:p>
            <w:pPr>
              <w:adjustRightInd w:val="0"/>
              <w:snapToGrid w:val="0"/>
              <w:spacing w:line="240" w:lineRule="auto"/>
              <w:ind w:firstLine="0" w:firstLineChars="0"/>
              <w:jc w:val="center"/>
              <w:rPr>
                <w:b/>
                <w:color w:val="auto"/>
                <w:sz w:val="21"/>
                <w:szCs w:val="21"/>
              </w:rPr>
            </w:pPr>
            <w:r>
              <w:rPr>
                <w:b/>
                <w:color w:val="auto"/>
                <w:sz w:val="21"/>
                <w:szCs w:val="21"/>
              </w:rPr>
              <w:t>推荐应急净水工艺条件和参数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34" w:type="dxa"/>
            <w:vMerge w:val="continue"/>
            <w:vAlign w:val="center"/>
          </w:tcPr>
          <w:p>
            <w:pPr>
              <w:keepNext/>
              <w:keepLines/>
              <w:widowControl/>
              <w:snapToGrid w:val="0"/>
              <w:spacing w:line="240" w:lineRule="auto"/>
              <w:ind w:firstLine="0" w:firstLineChars="0"/>
              <w:jc w:val="left"/>
              <w:outlineLvl w:val="0"/>
              <w:rPr>
                <w:b/>
                <w:color w:val="auto"/>
                <w:sz w:val="21"/>
                <w:szCs w:val="21"/>
              </w:rPr>
            </w:pPr>
          </w:p>
        </w:tc>
        <w:tc>
          <w:tcPr>
            <w:tcW w:w="1842" w:type="dxa"/>
            <w:vMerge w:val="continue"/>
            <w:vAlign w:val="center"/>
          </w:tcPr>
          <w:p>
            <w:pPr>
              <w:keepNext/>
              <w:keepLines/>
              <w:widowControl/>
              <w:snapToGrid w:val="0"/>
              <w:spacing w:line="240" w:lineRule="auto"/>
              <w:ind w:firstLine="0" w:firstLineChars="0"/>
              <w:jc w:val="left"/>
              <w:outlineLvl w:val="0"/>
              <w:rPr>
                <w:b/>
                <w:color w:val="auto"/>
                <w:sz w:val="21"/>
                <w:szCs w:val="21"/>
              </w:rPr>
            </w:pPr>
          </w:p>
        </w:tc>
        <w:tc>
          <w:tcPr>
            <w:tcW w:w="1276" w:type="dxa"/>
            <w:vAlign w:val="center"/>
          </w:tcPr>
          <w:p>
            <w:pPr>
              <w:adjustRightInd w:val="0"/>
              <w:snapToGrid w:val="0"/>
              <w:spacing w:line="240" w:lineRule="auto"/>
              <w:ind w:firstLine="0" w:firstLineChars="0"/>
              <w:jc w:val="center"/>
              <w:rPr>
                <w:b/>
                <w:color w:val="auto"/>
                <w:sz w:val="21"/>
                <w:szCs w:val="21"/>
              </w:rPr>
            </w:pPr>
            <w:r>
              <w:rPr>
                <w:b/>
                <w:color w:val="auto"/>
                <w:sz w:val="21"/>
                <w:szCs w:val="21"/>
              </w:rPr>
              <w:t>生活饮用水卫生标准（mg/L）</w:t>
            </w:r>
          </w:p>
        </w:tc>
        <w:tc>
          <w:tcPr>
            <w:tcW w:w="1276" w:type="dxa"/>
            <w:vAlign w:val="center"/>
          </w:tcPr>
          <w:p>
            <w:pPr>
              <w:adjustRightInd w:val="0"/>
              <w:snapToGrid w:val="0"/>
              <w:spacing w:line="240" w:lineRule="auto"/>
              <w:ind w:firstLine="0" w:firstLineChars="0"/>
              <w:jc w:val="center"/>
              <w:rPr>
                <w:b/>
                <w:color w:val="auto"/>
                <w:sz w:val="21"/>
                <w:szCs w:val="21"/>
              </w:rPr>
            </w:pPr>
            <w:r>
              <w:rPr>
                <w:b/>
                <w:color w:val="auto"/>
                <w:sz w:val="21"/>
                <w:szCs w:val="21"/>
              </w:rPr>
              <w:t>地表水环境质量标准</w:t>
            </w:r>
            <w:r>
              <w:rPr>
                <w:rFonts w:hint="eastAsia" w:ascii="宋体" w:hAnsi="宋体" w:cs="宋体"/>
                <w:b/>
                <w:color w:val="auto"/>
                <w:sz w:val="21"/>
                <w:szCs w:val="21"/>
              </w:rPr>
              <w:t>Ⅱ</w:t>
            </w:r>
            <w:r>
              <w:rPr>
                <w:b/>
                <w:color w:val="auto"/>
                <w:sz w:val="21"/>
                <w:szCs w:val="21"/>
              </w:rPr>
              <w:t>类水体（mg/L）</w:t>
            </w:r>
          </w:p>
        </w:tc>
        <w:tc>
          <w:tcPr>
            <w:tcW w:w="1559" w:type="dxa"/>
            <w:vMerge w:val="continue"/>
            <w:vAlign w:val="center"/>
          </w:tcPr>
          <w:p>
            <w:pPr>
              <w:keepNext/>
              <w:keepLines/>
              <w:widowControl/>
              <w:snapToGrid w:val="0"/>
              <w:spacing w:line="240" w:lineRule="auto"/>
              <w:ind w:firstLine="0" w:firstLineChars="0"/>
              <w:jc w:val="left"/>
              <w:outlineLvl w:val="0"/>
              <w:rPr>
                <w:b/>
                <w:color w:val="auto"/>
                <w:sz w:val="21"/>
                <w:szCs w:val="21"/>
              </w:rPr>
            </w:pPr>
          </w:p>
        </w:tc>
        <w:tc>
          <w:tcPr>
            <w:tcW w:w="2410" w:type="dxa"/>
            <w:vAlign w:val="center"/>
          </w:tcPr>
          <w:p>
            <w:pPr>
              <w:adjustRightInd w:val="0"/>
              <w:snapToGrid w:val="0"/>
              <w:spacing w:line="240" w:lineRule="auto"/>
              <w:ind w:firstLine="0" w:firstLineChars="0"/>
              <w:jc w:val="center"/>
              <w:rPr>
                <w:b/>
                <w:color w:val="auto"/>
                <w:sz w:val="21"/>
                <w:szCs w:val="21"/>
              </w:rPr>
            </w:pPr>
            <w:r>
              <w:rPr>
                <w:b/>
                <w:color w:val="auto"/>
                <w:sz w:val="21"/>
                <w:szCs w:val="21"/>
              </w:rPr>
              <w:t>反应条件</w:t>
            </w:r>
            <w:r>
              <w:rPr>
                <w:b/>
                <w:color w:val="auto"/>
                <w:sz w:val="21"/>
                <w:szCs w:val="21"/>
                <w:vertAlign w:val="superscript"/>
              </w:rPr>
              <w:t>〔2〕</w:t>
            </w:r>
          </w:p>
        </w:tc>
        <w:tc>
          <w:tcPr>
            <w:tcW w:w="2693" w:type="dxa"/>
            <w:vAlign w:val="center"/>
          </w:tcPr>
          <w:p>
            <w:pPr>
              <w:adjustRightInd w:val="0"/>
              <w:snapToGrid w:val="0"/>
              <w:spacing w:line="240" w:lineRule="auto"/>
              <w:ind w:firstLine="0" w:firstLineChars="0"/>
              <w:jc w:val="center"/>
              <w:rPr>
                <w:b/>
                <w:color w:val="auto"/>
                <w:sz w:val="21"/>
                <w:szCs w:val="21"/>
              </w:rPr>
            </w:pPr>
            <w:r>
              <w:rPr>
                <w:b/>
                <w:color w:val="auto"/>
                <w:sz w:val="21"/>
                <w:szCs w:val="21"/>
              </w:rPr>
              <w:t>药剂基准投加量（mg/L）</w:t>
            </w:r>
            <w:r>
              <w:rPr>
                <w:b/>
                <w:color w:val="auto"/>
                <w:sz w:val="21"/>
                <w:szCs w:val="21"/>
                <w:vertAlign w:val="superscript"/>
              </w:rPr>
              <w:t>〔3〕</w:t>
            </w:r>
          </w:p>
        </w:tc>
        <w:tc>
          <w:tcPr>
            <w:tcW w:w="2584" w:type="dxa"/>
            <w:vAlign w:val="center"/>
          </w:tcPr>
          <w:p>
            <w:pPr>
              <w:adjustRightInd w:val="0"/>
              <w:snapToGrid w:val="0"/>
              <w:spacing w:line="240" w:lineRule="auto"/>
              <w:ind w:firstLine="0" w:firstLineChars="0"/>
              <w:jc w:val="center"/>
              <w:rPr>
                <w:b/>
                <w:color w:val="auto"/>
                <w:sz w:val="21"/>
                <w:szCs w:val="21"/>
              </w:rPr>
            </w:pPr>
            <w:r>
              <w:rPr>
                <w:b/>
                <w:color w:val="auto"/>
                <w:sz w:val="21"/>
                <w:szCs w:val="21"/>
              </w:rPr>
              <w:t>最大应对超标倍数</w:t>
            </w:r>
            <w:r>
              <w:rPr>
                <w:b/>
                <w:color w:val="auto"/>
                <w:sz w:val="21"/>
                <w:szCs w:val="21"/>
                <w:vertAlign w:val="superscript"/>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1</w:t>
            </w:r>
          </w:p>
        </w:tc>
        <w:tc>
          <w:tcPr>
            <w:tcW w:w="1842"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锌</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1.0</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1.0</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碱性化沉淀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pH&gt;8.5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&gt;5</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842"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硫化物沉淀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S</w:t>
            </w:r>
            <w:r>
              <w:rPr>
                <w:color w:val="auto"/>
                <w:sz w:val="21"/>
                <w:szCs w:val="21"/>
                <w:vertAlign w:val="superscript"/>
              </w:rPr>
              <w:t>2</w:t>
            </w:r>
            <w:r>
              <w:rPr>
                <w:color w:val="auto"/>
                <w:sz w:val="21"/>
                <w:szCs w:val="21"/>
              </w:rPr>
              <w:t>&gt;2</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2</w:t>
            </w:r>
          </w:p>
        </w:tc>
        <w:tc>
          <w:tcPr>
            <w:tcW w:w="1842"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铅</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0.01</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碱性化沉淀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pH&gt;7.5/9.0-9.5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&gt;10/聚铝&gt;20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842"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硫化物沉淀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S</w:t>
            </w:r>
            <w:r>
              <w:rPr>
                <w:color w:val="auto"/>
                <w:sz w:val="21"/>
                <w:szCs w:val="21"/>
                <w:vertAlign w:val="superscript"/>
              </w:rPr>
              <w:t>2</w:t>
            </w:r>
            <w:r>
              <w:rPr>
                <w:color w:val="auto"/>
                <w:sz w:val="21"/>
                <w:szCs w:val="21"/>
              </w:rPr>
              <w:t>&gt;0.5</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3</w:t>
            </w:r>
          </w:p>
        </w:tc>
        <w:tc>
          <w:tcPr>
            <w:tcW w:w="1842"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汞</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0.001</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0.00005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碱性化沉淀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pH&gt;9.5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&gt;5</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842"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硫化物沉淀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S</w:t>
            </w:r>
            <w:r>
              <w:rPr>
                <w:color w:val="auto"/>
                <w:sz w:val="21"/>
                <w:szCs w:val="21"/>
                <w:vertAlign w:val="superscript"/>
              </w:rPr>
              <w:t>2</w:t>
            </w:r>
            <w:r>
              <w:rPr>
                <w:color w:val="auto"/>
                <w:sz w:val="21"/>
                <w:szCs w:val="21"/>
              </w:rPr>
              <w:t>&gt;0.02</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4</w:t>
            </w:r>
          </w:p>
        </w:tc>
        <w:tc>
          <w:tcPr>
            <w:tcW w:w="1842"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铜</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1</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1.0</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碱性化沉淀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pH&gt;7.5/8.0-9.5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&gt;5/聚铝&gt;10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842"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硫化物沉淀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S</w:t>
            </w:r>
            <w:r>
              <w:rPr>
                <w:color w:val="auto"/>
                <w:sz w:val="21"/>
                <w:szCs w:val="21"/>
                <w:vertAlign w:val="superscript"/>
              </w:rPr>
              <w:t>2</w:t>
            </w:r>
            <w:r>
              <w:rPr>
                <w:color w:val="auto"/>
                <w:sz w:val="21"/>
                <w:szCs w:val="21"/>
              </w:rPr>
              <w:t>&gt;1</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5</w:t>
            </w:r>
          </w:p>
        </w:tc>
        <w:tc>
          <w:tcPr>
            <w:tcW w:w="1842"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银</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碱性化沉淀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pH&gt;7.0/7.0-9.5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&gt;10/聚铝&gt;10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842"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硫化物沉淀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S</w:t>
            </w:r>
            <w:r>
              <w:rPr>
                <w:color w:val="auto"/>
                <w:sz w:val="21"/>
                <w:szCs w:val="21"/>
                <w:vertAlign w:val="superscript"/>
              </w:rPr>
              <w:t>2</w:t>
            </w:r>
            <w:r>
              <w:rPr>
                <w:color w:val="auto"/>
                <w:sz w:val="21"/>
                <w:szCs w:val="21"/>
              </w:rPr>
              <w:t>&gt;0.02</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6</w:t>
            </w:r>
          </w:p>
        </w:tc>
        <w:tc>
          <w:tcPr>
            <w:tcW w:w="1842"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镉</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0.005</w:t>
            </w:r>
          </w:p>
        </w:tc>
        <w:tc>
          <w:tcPr>
            <w:tcW w:w="1276" w:type="dxa"/>
            <w:vMerge w:val="restart"/>
            <w:vAlign w:val="center"/>
          </w:tcPr>
          <w:p>
            <w:pPr>
              <w:adjustRightInd w:val="0"/>
              <w:snapToGrid w:val="0"/>
              <w:spacing w:line="240" w:lineRule="auto"/>
              <w:ind w:firstLine="0" w:firstLineChars="0"/>
              <w:jc w:val="center"/>
              <w:rPr>
                <w:color w:val="auto"/>
                <w:sz w:val="21"/>
                <w:szCs w:val="21"/>
              </w:rPr>
            </w:pPr>
            <w:r>
              <w:rPr>
                <w:color w:val="auto"/>
                <w:sz w:val="21"/>
                <w:szCs w:val="21"/>
              </w:rPr>
              <w:t>0.005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碱性化沉淀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pH&gt;8.5/8.5-9.0</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&gt;5/聚铝&gt;20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842"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276" w:type="dxa"/>
            <w:vMerge w:val="continue"/>
            <w:vAlign w:val="center"/>
          </w:tcPr>
          <w:p>
            <w:pPr>
              <w:keepNext/>
              <w:keepLines/>
              <w:widowControl/>
              <w:snapToGrid w:val="0"/>
              <w:spacing w:line="240" w:lineRule="auto"/>
              <w:ind w:firstLine="0" w:firstLineChars="0"/>
              <w:jc w:val="left"/>
              <w:outlineLvl w:val="0"/>
              <w:rPr>
                <w:color w:val="auto"/>
                <w:sz w:val="21"/>
                <w:szCs w:val="21"/>
              </w:rPr>
            </w:pP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硫化物沉淀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S</w:t>
            </w:r>
            <w:r>
              <w:rPr>
                <w:color w:val="auto"/>
                <w:sz w:val="21"/>
                <w:szCs w:val="21"/>
                <w:vertAlign w:val="superscript"/>
              </w:rPr>
              <w:t>2</w:t>
            </w:r>
            <w:r>
              <w:rPr>
                <w:color w:val="auto"/>
                <w:sz w:val="21"/>
                <w:szCs w:val="21"/>
              </w:rPr>
              <w:t>&gt;0.02</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7</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铍</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0.002</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0.002</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碱性化沉淀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pH&gt;8.0/7.0-9.5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&gt;5/聚铝&gt;10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8</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镍</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0.02</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0.02</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碱性化沉淀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pH&gt;9.5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&gt;5</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9</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铬（六价）</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化沉</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FeSO</w:t>
            </w:r>
            <w:r>
              <w:rPr>
                <w:color w:val="auto"/>
                <w:sz w:val="21"/>
                <w:szCs w:val="21"/>
                <w:vertAlign w:val="subscript"/>
              </w:rPr>
              <w:t>4</w:t>
            </w:r>
            <w:r>
              <w:rPr>
                <w:color w:val="auto"/>
                <w:sz w:val="21"/>
                <w:szCs w:val="21"/>
              </w:rPr>
              <w:t>&gt;5，Cl</w:t>
            </w:r>
            <w:r>
              <w:rPr>
                <w:color w:val="auto"/>
                <w:sz w:val="21"/>
                <w:szCs w:val="21"/>
                <w:vertAlign w:val="subscript"/>
              </w:rPr>
              <w:t>2</w:t>
            </w:r>
            <w:r>
              <w:rPr>
                <w:color w:val="auto"/>
                <w:sz w:val="21"/>
                <w:szCs w:val="21"/>
              </w:rPr>
              <w:t>=3</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10</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钡</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0.7</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0.7</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化沉</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硫酸铝&gt;30mg/L</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11</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钛</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0.1</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化沉</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&gt;5/聚铝&gt;20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12</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钒</w:t>
            </w:r>
          </w:p>
        </w:tc>
        <w:tc>
          <w:tcPr>
            <w:tcW w:w="1276" w:type="dxa"/>
            <w:vAlign w:val="center"/>
          </w:tcPr>
          <w:p>
            <w:pPr>
              <w:adjustRightInd w:val="0"/>
              <w:snapToGrid w:val="0"/>
              <w:spacing w:line="240" w:lineRule="auto"/>
              <w:ind w:firstLine="0" w:firstLineChars="0"/>
              <w:jc w:val="center"/>
              <w:rPr>
                <w:rFonts w:hint="default" w:eastAsia="宋体"/>
                <w:color w:val="auto"/>
                <w:sz w:val="21"/>
                <w:szCs w:val="21"/>
                <w:lang w:val="en-US" w:eastAsia="zh-CN"/>
              </w:rPr>
            </w:pPr>
            <w:r>
              <w:rPr>
                <w:rFonts w:hint="eastAsia"/>
                <w:color w:val="auto"/>
                <w:sz w:val="21"/>
                <w:szCs w:val="21"/>
                <w:lang w:val="en-US" w:eastAsia="zh-CN"/>
              </w:rPr>
              <w:t>0.01</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化沉</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&gt;5</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13</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锑</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化沉</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&gt;5，三价锑另需预加氯Cl</w:t>
            </w:r>
            <w:r>
              <w:rPr>
                <w:color w:val="auto"/>
                <w:sz w:val="21"/>
                <w:szCs w:val="21"/>
                <w:vertAlign w:val="subscript"/>
              </w:rPr>
              <w:t>2</w:t>
            </w:r>
            <w:r>
              <w:rPr>
                <w:color w:val="auto"/>
                <w:sz w:val="21"/>
                <w:szCs w:val="21"/>
              </w:rPr>
              <w:t>=3</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14</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钴</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1.0</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碱性化沉淀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pH&gt;9.5/9.0</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&gt;5/聚铝&gt;10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15</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锰</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0.1</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0.1</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化沉、氧化</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pH&gt;9.0</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&gt;5</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16</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砷</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0.01</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化沉</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&gt;20，三价锑另需预加氯Cl</w:t>
            </w:r>
            <w:r>
              <w:rPr>
                <w:color w:val="auto"/>
                <w:sz w:val="21"/>
                <w:szCs w:val="21"/>
                <w:vertAlign w:val="subscript"/>
              </w:rPr>
              <w:t>2</w:t>
            </w:r>
            <w:r>
              <w:rPr>
                <w:color w:val="auto"/>
                <w:sz w:val="21"/>
                <w:szCs w:val="21"/>
              </w:rPr>
              <w:t>=3</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17</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硒</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0.01</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0.01</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碱性化沉淀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FeCl</w:t>
            </w:r>
            <w:r>
              <w:rPr>
                <w:color w:val="auto"/>
                <w:sz w:val="21"/>
                <w:szCs w:val="21"/>
                <w:vertAlign w:val="subscript"/>
              </w:rPr>
              <w:t>3</w:t>
            </w:r>
            <w:r>
              <w:rPr>
                <w:color w:val="auto"/>
                <w:sz w:val="21"/>
                <w:szCs w:val="21"/>
              </w:rPr>
              <w:t>&gt;30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pPr>
              <w:adjustRightInd w:val="0"/>
              <w:snapToGrid w:val="0"/>
              <w:spacing w:line="240" w:lineRule="auto"/>
              <w:ind w:firstLine="0" w:firstLineChars="0"/>
              <w:jc w:val="center"/>
              <w:rPr>
                <w:color w:val="auto"/>
                <w:sz w:val="21"/>
                <w:szCs w:val="21"/>
              </w:rPr>
            </w:pPr>
            <w:r>
              <w:rPr>
                <w:color w:val="auto"/>
                <w:sz w:val="21"/>
                <w:szCs w:val="21"/>
              </w:rPr>
              <w:t>18</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氰化物</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氧化</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中性pH</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Cl</w:t>
            </w:r>
            <w:r>
              <w:rPr>
                <w:color w:val="auto"/>
                <w:sz w:val="21"/>
                <w:szCs w:val="21"/>
                <w:vertAlign w:val="subscript"/>
              </w:rPr>
              <w:t>2</w:t>
            </w:r>
            <w:r>
              <w:rPr>
                <w:color w:val="auto"/>
                <w:sz w:val="21"/>
                <w:szCs w:val="21"/>
              </w:rPr>
              <w:t>&gt;0.8</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19</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亚硝酸盐</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1.0</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氧化</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20</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0.01</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0.01</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k=0.0245,1/n=0.5217</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PAC&gt;30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21</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甲苯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0.7</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0.7</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k=0.2083,1/n=0.763</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PAC&gt;34</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22</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乙苯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0.3</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0.3</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k=0.1331,1/n=0.5179</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PAC&gt;30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23</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二甲苯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0.5</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k=0.2465,1/n=0.8495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PAC&gt;28</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24</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苯乙烯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0.02</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0.02</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k=0.166,1/n=0.624</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25</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一氯苯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0.3</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k=0.1213,1/n=0.5115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PAC&gt;30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26</w:t>
            </w:r>
          </w:p>
        </w:tc>
        <w:tc>
          <w:tcPr>
            <w:tcW w:w="1842" w:type="dxa"/>
            <w:vAlign w:val="center"/>
          </w:tcPr>
          <w:p>
            <w:pPr>
              <w:adjustRightInd w:val="0"/>
              <w:snapToGrid w:val="0"/>
              <w:spacing w:line="240" w:lineRule="auto"/>
              <w:ind w:firstLine="0" w:firstLineChars="0"/>
              <w:jc w:val="center"/>
              <w:rPr>
                <w:color w:val="auto"/>
                <w:sz w:val="21"/>
                <w:szCs w:val="21"/>
              </w:rPr>
            </w:pPr>
            <w:r>
              <w:rPr>
                <w:rFonts w:hint="eastAsia"/>
                <w:color w:val="auto"/>
                <w:sz w:val="21"/>
                <w:szCs w:val="21"/>
                <w:lang w:eastAsia="zh-CN"/>
              </w:rPr>
              <w:t>1.</w:t>
            </w:r>
            <w:r>
              <w:rPr>
                <w:color w:val="auto"/>
                <w:sz w:val="21"/>
                <w:szCs w:val="21"/>
              </w:rPr>
              <w:t>2-二氯苯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1.0</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1.0</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k=0.2041,1/n=0.5425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PAC&gt;33</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27</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1,4-二氯苯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0.3</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0.3</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k=0.1401,1/n=0.2623</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PAC&gt;16</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28</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三氯苯（总量）</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0.2</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0.02</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k=0.2822,1/n=0.579</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PAC&gt;4</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29</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挥发酚（以苯酚计）</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0.002</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0.002</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k=0.0101,1/n=0.4984</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PAC&gt;28</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30</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五氯酚</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0.009</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0.009</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k=0.0114,1/n=0.2079</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PAC&gt;11</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31</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2,4,6-三氯苯酚</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0.2</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0.2</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k=0.031,1/n=0.2033</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PAC&gt;50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32</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2,4 –二氯苯酚</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k=0.0567,1/n=0.2993</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PAC&gt;19</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33</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四氯苯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0.02</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混凝沉淀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四氯苯难溶于水</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&gt;5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34</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六氯苯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0.001</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混凝沉淀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六氯苯难溶于水</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&gt;5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35</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异丙苯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0.25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混凝沉淀</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异丙苯难溶于水</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&gt;5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36</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硝基苯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0.017</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k=0.12067,1/n=0.6166</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PAC&gt;12</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37</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二硝基苯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k=0.4328,1/n=0.0491</w:t>
            </w:r>
          </w:p>
        </w:tc>
        <w:tc>
          <w:tcPr>
            <w:tcW w:w="2693" w:type="dxa"/>
            <w:vAlign w:val="center"/>
          </w:tcPr>
          <w:p>
            <w:pPr>
              <w:adjustRightInd w:val="0"/>
              <w:snapToGrid w:val="0"/>
              <w:spacing w:line="240" w:lineRule="auto"/>
              <w:ind w:firstLine="0" w:firstLineChars="0"/>
              <w:jc w:val="center"/>
              <w:rPr>
                <w:b/>
                <w:color w:val="auto"/>
                <w:sz w:val="21"/>
                <w:szCs w:val="21"/>
              </w:rPr>
            </w:pPr>
            <w:r>
              <w:rPr>
                <w:color w:val="auto"/>
                <w:sz w:val="21"/>
                <w:szCs w:val="21"/>
              </w:rPr>
              <w:t>PAC&gt;11</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38</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2,4-二硝基甲苯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0.0003</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k=0.0022,1/n=0.4072</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PAC&gt;23</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39</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2,4,6-三硝基甲苯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k=0.0873,1/n=0.200</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PAC&gt;35</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40</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硝基氯苯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k=0.0694,1/n=0.4206</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PAC&gt;39</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41</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2,4-二硝基氯苯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k=0.1407,1/n=0.3394</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PAC&gt;26</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42</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苯胺</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0.1</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吹脱</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43</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联苯胺</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0.0002</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k=0.3044,1/n=1.0131</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PAC&gt;35</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44</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多环芳烃</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&gt;5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45</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苯丙(a)芘</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0.00001</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0.0000028</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&gt;5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46</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多氯联苯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0.00002</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&gt;5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47</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四氯化碳</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0.002</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0.02</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k=1.0255,1/n=1.4734</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PAC&gt;148</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48</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三氯乙烯</w:t>
            </w:r>
          </w:p>
        </w:tc>
        <w:tc>
          <w:tcPr>
            <w:tcW w:w="1276" w:type="dxa"/>
            <w:vAlign w:val="center"/>
          </w:tcPr>
          <w:p>
            <w:pPr>
              <w:adjustRightInd w:val="0"/>
              <w:snapToGrid w:val="0"/>
              <w:spacing w:line="240" w:lineRule="auto"/>
              <w:ind w:firstLine="0" w:firstLineChars="0"/>
              <w:jc w:val="center"/>
              <w:rPr>
                <w:rFonts w:hint="eastAsia" w:eastAsia="宋体"/>
                <w:color w:val="auto"/>
                <w:sz w:val="21"/>
                <w:szCs w:val="21"/>
                <w:lang w:val="en-US" w:eastAsia="zh-CN"/>
              </w:rPr>
            </w:pPr>
            <w:r>
              <w:rPr>
                <w:color w:val="auto"/>
                <w:sz w:val="21"/>
                <w:szCs w:val="21"/>
              </w:rPr>
              <w:t>0.0</w:t>
            </w:r>
            <w:r>
              <w:rPr>
                <w:rFonts w:hint="eastAsia"/>
                <w:color w:val="auto"/>
                <w:sz w:val="21"/>
                <w:szCs w:val="21"/>
                <w:lang w:val="en-US" w:eastAsia="zh-CN"/>
              </w:rPr>
              <w:t>2</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0.07</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k=0.1302,1/n=1.4517</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PAC&gt;204</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49</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四氯乙烯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0.04</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0.04</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k=1.1631,1/n=1.6157</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PAC&gt;50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50</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1,1,2-三氯乙烷</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k=63.791,1/n=5.1026</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PAC&gt;93</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51</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六氯丁二烯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0.0006</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0.0006</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k=0.0449,1/n=0.7456</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PAC&gt;26</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52</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三氯甲烷</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0.06</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0.06</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k=0.2994,1/n=1.995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PAC&gt;440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53</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阴离子表面活性剂</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0.3</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k=0.1507,1/n=0.9951</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PAC&gt;18</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54</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邻苯二甲酸二(2-乙基己酯)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0.008</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0.008</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k=0.0403,1/n=0.7981</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PAC&gt;8</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55</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邻苯二甲酸二丁酯</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0.003</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0.003</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k=0.0947,1/n=0.2523</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PAC&gt;12</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56</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石油类</w:t>
            </w:r>
          </w:p>
        </w:tc>
        <w:tc>
          <w:tcPr>
            <w:tcW w:w="1276" w:type="dxa"/>
            <w:vAlign w:val="center"/>
          </w:tcPr>
          <w:p>
            <w:pPr>
              <w:adjustRightInd w:val="0"/>
              <w:snapToGrid w:val="0"/>
              <w:spacing w:line="240" w:lineRule="auto"/>
              <w:ind w:firstLine="0" w:firstLineChars="0"/>
              <w:jc w:val="center"/>
              <w:rPr>
                <w:rFonts w:hint="default" w:eastAsia="宋体"/>
                <w:color w:val="auto"/>
                <w:sz w:val="21"/>
                <w:szCs w:val="21"/>
                <w:lang w:val="en-US" w:eastAsia="zh-CN"/>
              </w:rPr>
            </w:pPr>
            <w:r>
              <w:rPr>
                <w:color w:val="auto"/>
                <w:sz w:val="21"/>
                <w:szCs w:val="21"/>
              </w:rPr>
              <w:t>0.</w:t>
            </w:r>
            <w:r>
              <w:rPr>
                <w:rFonts w:hint="eastAsia"/>
                <w:color w:val="auto"/>
                <w:sz w:val="21"/>
                <w:szCs w:val="21"/>
                <w:lang w:val="en-US" w:eastAsia="zh-CN"/>
              </w:rPr>
              <w:t>05</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0.05</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吸附、混凝</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57</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环氧氯丙烷</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0.0004</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0.02</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k=0.3382,1/n=1.0315</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PAC&gt;35</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58</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藻类</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预处理、强化混凝、气浮</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1亿个/L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59</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微囊藻毒素</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0.001</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0.001</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吸附、氧化</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PAC&gt;20</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&gt;10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60</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土嗅素</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0.00001</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k=0.0008,1/n=0.3637</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PAC&gt;5</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61</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二甲基异莰醇</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0.00001</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吸附</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k=0.0001,1/n=0.2876</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PAC&gt;16</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62</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甲硫醇</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氧化</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63</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乙硫醇</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氧化</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64</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甲硫醚</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氧化</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65</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二甲二硫醚</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氧化</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66</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二甲三硫醚</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氧化</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67</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菌</w:t>
            </w:r>
            <w:r>
              <w:rPr>
                <w:rFonts w:hint="eastAsia"/>
                <w:color w:val="auto"/>
                <w:sz w:val="21"/>
                <w:szCs w:val="21"/>
                <w:lang w:val="en-US" w:eastAsia="zh-CN"/>
              </w:rPr>
              <w:t>落</w:t>
            </w:r>
            <w:r>
              <w:rPr>
                <w:color w:val="auto"/>
                <w:sz w:val="21"/>
                <w:szCs w:val="21"/>
              </w:rPr>
              <w:t>总数</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100 CFU/ml</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消毒</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应急期保持出水余氯大于0.5 mg/L</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68</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总大肠菌群</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每100 ml水样不得检出</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消毒</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应急期保持出水余氯大于0.5 mg/L</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69</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粪型链球菌群</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消毒</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应急期保持出水余氯大于0.5 mg/L</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70</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大肠埃希氏菌</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每100 ml水样不得检出</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消毒</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应急期保持出水余氯大于0.5 mg/L</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71</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贾第鞭毛虫</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＜1个/10 L</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消毒</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应急期保持出水余氯大于0.5 mg/L</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534" w:type="dxa"/>
            <w:shd w:val="clear" w:color="auto" w:fill="auto"/>
            <w:vAlign w:val="center"/>
          </w:tcPr>
          <w:p>
            <w:pPr>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72</w:t>
            </w:r>
          </w:p>
        </w:tc>
        <w:tc>
          <w:tcPr>
            <w:tcW w:w="1842" w:type="dxa"/>
            <w:vAlign w:val="center"/>
          </w:tcPr>
          <w:p>
            <w:pPr>
              <w:adjustRightInd w:val="0"/>
              <w:snapToGrid w:val="0"/>
              <w:spacing w:line="240" w:lineRule="auto"/>
              <w:ind w:firstLine="0" w:firstLineChars="0"/>
              <w:jc w:val="center"/>
              <w:rPr>
                <w:color w:val="auto"/>
                <w:sz w:val="21"/>
                <w:szCs w:val="21"/>
              </w:rPr>
            </w:pPr>
            <w:r>
              <w:rPr>
                <w:color w:val="auto"/>
                <w:sz w:val="21"/>
                <w:szCs w:val="21"/>
              </w:rPr>
              <w:t>隐孢子虫</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＜1个/10 L</w:t>
            </w:r>
          </w:p>
        </w:tc>
        <w:tc>
          <w:tcPr>
            <w:tcW w:w="1276"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1559" w:type="dxa"/>
            <w:vAlign w:val="center"/>
          </w:tcPr>
          <w:p>
            <w:pPr>
              <w:adjustRightInd w:val="0"/>
              <w:snapToGrid w:val="0"/>
              <w:spacing w:line="240" w:lineRule="auto"/>
              <w:ind w:firstLine="0" w:firstLineChars="0"/>
              <w:jc w:val="center"/>
              <w:rPr>
                <w:color w:val="auto"/>
                <w:sz w:val="21"/>
                <w:szCs w:val="21"/>
              </w:rPr>
            </w:pPr>
            <w:r>
              <w:rPr>
                <w:color w:val="auto"/>
                <w:sz w:val="21"/>
                <w:szCs w:val="21"/>
              </w:rPr>
              <w:t>强化常规工艺</w:t>
            </w:r>
          </w:p>
        </w:tc>
        <w:tc>
          <w:tcPr>
            <w:tcW w:w="2410"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c>
          <w:tcPr>
            <w:tcW w:w="2693" w:type="dxa"/>
            <w:vAlign w:val="center"/>
          </w:tcPr>
          <w:p>
            <w:pPr>
              <w:adjustRightInd w:val="0"/>
              <w:snapToGrid w:val="0"/>
              <w:spacing w:line="240" w:lineRule="auto"/>
              <w:ind w:firstLine="0" w:firstLineChars="0"/>
              <w:jc w:val="center"/>
              <w:rPr>
                <w:color w:val="auto"/>
                <w:sz w:val="21"/>
                <w:szCs w:val="21"/>
              </w:rPr>
            </w:pPr>
            <w:r>
              <w:rPr>
                <w:color w:val="auto"/>
                <w:sz w:val="21"/>
                <w:szCs w:val="21"/>
              </w:rPr>
              <w:t>应急期保持出水浊度小于0.1 NTU，余氯大于0.5 mg/L</w:t>
            </w:r>
          </w:p>
        </w:tc>
        <w:tc>
          <w:tcPr>
            <w:tcW w:w="2584" w:type="dxa"/>
            <w:vAlign w:val="center"/>
          </w:tcPr>
          <w:p>
            <w:pPr>
              <w:adjustRightInd w:val="0"/>
              <w:snapToGrid w:val="0"/>
              <w:spacing w:line="240" w:lineRule="auto"/>
              <w:ind w:firstLine="0" w:firstLineChars="0"/>
              <w:jc w:val="center"/>
              <w:rPr>
                <w:color w:val="auto"/>
                <w:sz w:val="21"/>
                <w:szCs w:val="21"/>
              </w:rPr>
            </w:pPr>
            <w:r>
              <w:rPr>
                <w:color w:val="auto"/>
                <w:sz w:val="21"/>
                <w:szCs w:val="21"/>
              </w:rPr>
              <w:t>/</w:t>
            </w:r>
          </w:p>
        </w:tc>
      </w:tr>
    </w:tbl>
    <w:p>
      <w:pPr>
        <w:adjustRightInd w:val="0"/>
        <w:snapToGrid w:val="0"/>
        <w:spacing w:line="400" w:lineRule="exact"/>
        <w:ind w:firstLine="422"/>
        <w:rPr>
          <w:color w:val="auto"/>
          <w:sz w:val="21"/>
          <w:szCs w:val="21"/>
        </w:rPr>
      </w:pPr>
      <w:r>
        <w:rPr>
          <w:b/>
          <w:color w:val="auto"/>
          <w:sz w:val="21"/>
          <w:szCs w:val="21"/>
        </w:rPr>
        <w:t>*部分资料及参考数据来源于《城市供水系统应急净水技术指导手册》</w:t>
      </w:r>
    </w:p>
    <w:p>
      <w:pPr>
        <w:adjustRightInd w:val="0"/>
        <w:snapToGrid w:val="0"/>
        <w:spacing w:line="400" w:lineRule="exact"/>
        <w:ind w:firstLine="420"/>
        <w:rPr>
          <w:color w:val="auto"/>
          <w:sz w:val="21"/>
          <w:szCs w:val="21"/>
        </w:rPr>
      </w:pPr>
      <w:r>
        <w:rPr>
          <w:color w:val="auto"/>
          <w:sz w:val="21"/>
          <w:szCs w:val="21"/>
        </w:rPr>
        <w:t>注：</w:t>
      </w:r>
    </w:p>
    <w:p>
      <w:pPr>
        <w:adjustRightInd w:val="0"/>
        <w:snapToGrid w:val="0"/>
        <w:spacing w:line="400" w:lineRule="exact"/>
        <w:ind w:firstLine="420"/>
        <w:rPr>
          <w:color w:val="auto"/>
          <w:sz w:val="21"/>
          <w:szCs w:val="21"/>
        </w:rPr>
      </w:pPr>
      <w:r>
        <w:rPr>
          <w:color w:val="auto"/>
          <w:sz w:val="21"/>
          <w:szCs w:val="21"/>
        </w:rPr>
        <w:t>〔1〕：水质标准：本技术指导手册引用的水质标准包括生活饮用水卫生标准（GB 5749-20</w:t>
      </w:r>
      <w:r>
        <w:rPr>
          <w:rFonts w:hint="eastAsia"/>
          <w:color w:val="auto"/>
          <w:sz w:val="21"/>
          <w:szCs w:val="21"/>
          <w:lang w:val="en-US" w:eastAsia="zh-CN"/>
        </w:rPr>
        <w:t>22</w:t>
      </w:r>
      <w:r>
        <w:rPr>
          <w:color w:val="auto"/>
          <w:sz w:val="21"/>
          <w:szCs w:val="21"/>
        </w:rPr>
        <w:t>，包括正文和附录A）、城市供水水质标准（CJ/T 206）、地表水环境质量标准（GB3838-2002，</w:t>
      </w:r>
      <w:r>
        <w:rPr>
          <w:rFonts w:hint="eastAsia" w:ascii="宋体" w:hAnsi="宋体" w:cs="宋体"/>
          <w:color w:val="auto"/>
          <w:sz w:val="21"/>
          <w:szCs w:val="21"/>
        </w:rPr>
        <w:t>Ⅱ</w:t>
      </w:r>
      <w:r>
        <w:rPr>
          <w:color w:val="auto"/>
          <w:sz w:val="21"/>
          <w:szCs w:val="21"/>
        </w:rPr>
        <w:t>类水体标准值，适用于集中式生活饮用水地表水源地一级保护区）和地下水（GB/T14848-</w:t>
      </w:r>
      <w:r>
        <w:rPr>
          <w:rFonts w:hint="eastAsia"/>
          <w:color w:val="auto"/>
          <w:sz w:val="21"/>
          <w:szCs w:val="21"/>
          <w:lang w:val="en-US" w:eastAsia="zh-CN"/>
        </w:rPr>
        <w:t>2017</w:t>
      </w:r>
      <w:r>
        <w:rPr>
          <w:color w:val="auto"/>
          <w:sz w:val="21"/>
          <w:szCs w:val="21"/>
        </w:rPr>
        <w:t>）。</w:t>
      </w:r>
    </w:p>
    <w:p>
      <w:pPr>
        <w:adjustRightInd w:val="0"/>
        <w:snapToGrid w:val="0"/>
        <w:spacing w:line="400" w:lineRule="exact"/>
        <w:ind w:firstLine="420"/>
        <w:rPr>
          <w:color w:val="auto"/>
          <w:sz w:val="21"/>
          <w:szCs w:val="21"/>
        </w:rPr>
      </w:pPr>
      <w:r>
        <w:rPr>
          <w:color w:val="auto"/>
          <w:sz w:val="21"/>
          <w:szCs w:val="21"/>
        </w:rPr>
        <w:t>〔2〕：反应条件：对化学沉淀工艺，提供使用铁盐混凝剂或铝盐混凝剂所需调节的pH值；对粉末炭吸附工艺，提供试验得出的水源水条件下的Freundlich吸附等温线方程q=C</w:t>
      </w:r>
      <w:r>
        <w:rPr>
          <w:color w:val="auto"/>
          <w:sz w:val="21"/>
          <w:szCs w:val="21"/>
          <w:vertAlign w:val="subscript"/>
        </w:rPr>
        <w:t>0</w:t>
      </w:r>
      <w:r>
        <w:rPr>
          <w:color w:val="auto"/>
          <w:sz w:val="21"/>
          <w:szCs w:val="21"/>
        </w:rPr>
        <w:t>-Ce/C</w:t>
      </w:r>
      <w:r>
        <w:rPr>
          <w:color w:val="auto"/>
          <w:sz w:val="21"/>
          <w:szCs w:val="21"/>
          <w:vertAlign w:val="subscript"/>
        </w:rPr>
        <w:t>1</w:t>
      </w:r>
      <w:r>
        <w:rPr>
          <w:color w:val="auto"/>
          <w:sz w:val="21"/>
          <w:szCs w:val="21"/>
        </w:rPr>
        <w:t>=k</w:t>
      </w:r>
      <w:r>
        <w:rPr>
          <w:color w:val="auto"/>
          <w:position w:val="-6"/>
          <w:sz w:val="21"/>
          <w:szCs w:val="21"/>
        </w:rPr>
        <w:object>
          <v:shape id="_x0000_i1026" o:spt="75" type="#_x0000_t75" style="height:14.25pt;width:14.25pt;" o:ole="t" filled="f" o:preferrelative="t" stroked="f" coordsize="21600,21600">
            <v:path/>
            <v:fill on="f" focussize="0,0"/>
            <v:stroke on="f" joinstyle="miter"/>
            <v:imagedata r:id="rId16" o:title=""/>
            <o:lock v:ext="edit" aspectratio="t"/>
            <w10:wrap type="none"/>
            <w10:anchorlock/>
          </v:shape>
          <o:OLEObject Type="Embed" ProgID="Equation.3" ShapeID="_x0000_i1026" DrawAspect="Content" ObjectID="_1468075726" r:id="rId15">
            <o:LockedField>false</o:LockedField>
          </o:OLEObject>
        </w:object>
      </w:r>
      <w:r>
        <w:rPr>
          <w:color w:val="auto"/>
          <w:sz w:val="21"/>
          <w:szCs w:val="21"/>
          <w:vertAlign w:val="superscript"/>
        </w:rPr>
        <w:t>1/n</w:t>
      </w:r>
      <w:r>
        <w:rPr>
          <w:color w:val="auto"/>
          <w:sz w:val="21"/>
          <w:szCs w:val="21"/>
        </w:rPr>
        <w:t>中的参数k、1/n，可由此根据污染物的原水浓度C</w:t>
      </w:r>
      <w:r>
        <w:rPr>
          <w:color w:val="auto"/>
          <w:sz w:val="21"/>
          <w:szCs w:val="21"/>
          <w:vertAlign w:val="subscript"/>
        </w:rPr>
        <w:t>0</w:t>
      </w:r>
      <w:r>
        <w:rPr>
          <w:color w:val="auto"/>
          <w:sz w:val="21"/>
          <w:szCs w:val="21"/>
        </w:rPr>
        <w:t>和处理后的目标浓度Ce求出投炭量C</w:t>
      </w:r>
      <w:r>
        <w:rPr>
          <w:color w:val="auto"/>
          <w:sz w:val="21"/>
          <w:szCs w:val="21"/>
          <w:vertAlign w:val="subscript"/>
        </w:rPr>
        <w:t>1</w:t>
      </w:r>
      <w:r>
        <w:rPr>
          <w:color w:val="auto"/>
          <w:sz w:val="21"/>
          <w:szCs w:val="21"/>
        </w:rPr>
        <w:t>，方程中污染物浓度和投炭量均为mg/L；对化学氧化工艺提供反应所需的pH等条件。</w:t>
      </w:r>
    </w:p>
    <w:p>
      <w:pPr>
        <w:adjustRightInd w:val="0"/>
        <w:snapToGrid w:val="0"/>
        <w:spacing w:line="400" w:lineRule="exact"/>
        <w:ind w:firstLine="420"/>
        <w:rPr>
          <w:color w:val="auto"/>
          <w:sz w:val="21"/>
          <w:szCs w:val="21"/>
        </w:rPr>
      </w:pPr>
      <w:r>
        <w:rPr>
          <w:color w:val="auto"/>
          <w:sz w:val="21"/>
          <w:szCs w:val="21"/>
        </w:rPr>
        <w:t>〔3〕：基准投加量条件：污染水样按标准</w:t>
      </w:r>
      <w:r>
        <w:rPr>
          <w:rFonts w:hint="eastAsia"/>
          <w:color w:val="auto"/>
          <w:sz w:val="21"/>
          <w:szCs w:val="21"/>
          <w:lang w:eastAsia="zh-CN"/>
        </w:rPr>
        <w:t>限值</w:t>
      </w:r>
      <w:r>
        <w:rPr>
          <w:color w:val="auto"/>
          <w:sz w:val="21"/>
          <w:szCs w:val="21"/>
        </w:rPr>
        <w:t>的5倍（超标4倍）配制，处理后浓度低于标准限值的50%。如各标准限值不同，原水浓度以最高者计，处理后浓度以最低者计。粉末炭投加量以l~2小时吸附时间（取水口投加，距水厂一定距离）计，如水厂内投加，应适当增加投加量。混凝剂投加量以正常混凝工艺时间计。曝气吹脱法给出了50%、80%和90%去除污染物所需的气水比。</w:t>
      </w:r>
    </w:p>
    <w:p>
      <w:pPr>
        <w:adjustRightInd w:val="0"/>
        <w:snapToGrid w:val="0"/>
        <w:spacing w:line="400" w:lineRule="exact"/>
        <w:ind w:firstLine="420"/>
        <w:rPr>
          <w:color w:val="auto"/>
          <w:sz w:val="21"/>
          <w:szCs w:val="21"/>
        </w:rPr>
      </w:pPr>
      <w:r>
        <w:rPr>
          <w:color w:val="auto"/>
          <w:sz w:val="21"/>
          <w:szCs w:val="21"/>
        </w:rPr>
        <w:t>〔4〕：最大应对超标倍数条件：</w:t>
      </w:r>
      <w:r>
        <w:rPr>
          <w:rFonts w:hint="eastAsia" w:ascii="宋体" w:hAnsi="宋体" w:cs="宋体"/>
          <w:color w:val="auto"/>
          <w:sz w:val="21"/>
          <w:szCs w:val="21"/>
        </w:rPr>
        <w:t>①</w:t>
      </w:r>
      <w:r>
        <w:rPr>
          <w:color w:val="auto"/>
          <w:sz w:val="21"/>
          <w:szCs w:val="21"/>
        </w:rPr>
        <w:t>对于粉末活性炭吸附法，按粉末炭最大投加量80 m/L，吸附时间大于120 min，出水达标计；</w:t>
      </w:r>
      <w:r>
        <w:rPr>
          <w:rFonts w:hint="eastAsia" w:ascii="宋体" w:hAnsi="宋体" w:cs="宋体"/>
          <w:color w:val="auto"/>
          <w:sz w:val="21"/>
          <w:szCs w:val="21"/>
        </w:rPr>
        <w:t>②</w:t>
      </w:r>
      <w:r>
        <w:rPr>
          <w:color w:val="auto"/>
          <w:sz w:val="21"/>
          <w:szCs w:val="21"/>
        </w:rPr>
        <w:t>对于碱性化学沉淀法，只要能满足沉淀所需pH值，理论上可应对任何超标浓度，但是在当前的水处理技术条件下，仍存在一些物质难以去除，包括钼、铊、硼等，因此对于含这些污染物的污染源要特别加强监控，防止污染水源；</w:t>
      </w:r>
      <w:r>
        <w:rPr>
          <w:rFonts w:hint="eastAsia" w:ascii="宋体" w:hAnsi="宋体" w:cs="宋体"/>
          <w:color w:val="auto"/>
          <w:sz w:val="21"/>
          <w:szCs w:val="21"/>
        </w:rPr>
        <w:t>③</w:t>
      </w:r>
      <w:r>
        <w:rPr>
          <w:color w:val="auto"/>
          <w:sz w:val="21"/>
          <w:szCs w:val="21"/>
        </w:rPr>
        <w:t>对于硫化物沉淀法，可应对的超标浓度取决于硫化物投加量，当硫化物投加量过高时需要在沉后加氯氧化去除硫化物，避免二次污染。</w:t>
      </w:r>
    </w:p>
    <w:p>
      <w:pPr>
        <w:adjustRightInd w:val="0"/>
        <w:snapToGrid w:val="0"/>
        <w:spacing w:line="400" w:lineRule="exact"/>
        <w:ind w:firstLine="420"/>
        <w:rPr>
          <w:color w:val="auto"/>
          <w:sz w:val="21"/>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26" w:charSpace="0"/>
        </w:sectPr>
      </w:pPr>
      <w:r>
        <w:rPr>
          <w:color w:val="auto"/>
          <w:sz w:val="21"/>
          <w:szCs w:val="21"/>
        </w:rPr>
        <w:t>〔5〕：投加药剂二次污染及处理方法：</w:t>
      </w:r>
      <w:r>
        <w:rPr>
          <w:rFonts w:hint="eastAsia" w:ascii="宋体" w:hAnsi="宋体" w:cs="宋体"/>
          <w:color w:val="auto"/>
          <w:sz w:val="21"/>
          <w:szCs w:val="21"/>
        </w:rPr>
        <w:t>①</w:t>
      </w:r>
      <w:r>
        <w:rPr>
          <w:color w:val="auto"/>
          <w:sz w:val="21"/>
          <w:szCs w:val="21"/>
        </w:rPr>
        <w:t>对于粉末活性炭吸附法，不足之处是部分细炭末被混凝沉淀去除的效果较差，会随水流进入滤池，增加滤池负担，缩短滤池的过滤周期。此时水厂必须采取强化混凝措施，如增加混凝剂的投加量和采用助凝剂等。已吸附有污染物的废弃炭随水厂沉淀池排泥水排出，对此种污泥应妥善处置，防止二次污染；</w:t>
      </w:r>
      <w:r>
        <w:rPr>
          <w:rFonts w:hint="eastAsia" w:ascii="宋体" w:hAnsi="宋体" w:cs="宋体"/>
          <w:color w:val="auto"/>
          <w:sz w:val="21"/>
          <w:szCs w:val="21"/>
        </w:rPr>
        <w:t>②</w:t>
      </w:r>
      <w:r>
        <w:rPr>
          <w:color w:val="auto"/>
          <w:sz w:val="21"/>
          <w:szCs w:val="21"/>
        </w:rPr>
        <w:t>碱性化学沉淀法特别要注意的是铝盐混凝剂在pH值过高（pH&gt;9.5）条件下使用会产生溶于水的偏铝酸根，可能会产生滤后水铝超标问题（饮用水标准铝的限值为0.2 mg/L）；</w:t>
      </w:r>
      <w:r>
        <w:rPr>
          <w:rFonts w:hint="eastAsia" w:ascii="宋体" w:hAnsi="宋体" w:cs="宋体"/>
          <w:color w:val="auto"/>
          <w:sz w:val="21"/>
          <w:szCs w:val="21"/>
        </w:rPr>
        <w:t>③</w:t>
      </w:r>
      <w:r>
        <w:rPr>
          <w:color w:val="auto"/>
          <w:sz w:val="21"/>
          <w:szCs w:val="21"/>
        </w:rPr>
        <w:t>硫化物沉淀法中由于硫化物本身是饮用水标准中予以限制的污染物，如果投加量过高还必须加入氧化剂予以去除。混凝剂选择方面为了避免对投加的硫化物产生氧化或沉淀反应，应选用铝盐混凝剂而不用铁盐混凝剂（包括</w:t>
      </w:r>
      <w:r>
        <w:rPr>
          <w:rFonts w:hint="eastAsia" w:ascii="宋体" w:hAnsi="宋体" w:cs="宋体"/>
          <w:color w:val="auto"/>
          <w:sz w:val="21"/>
          <w:szCs w:val="21"/>
        </w:rPr>
        <w:t>Ⅱ</w:t>
      </w:r>
      <w:r>
        <w:rPr>
          <w:color w:val="auto"/>
          <w:sz w:val="21"/>
          <w:szCs w:val="21"/>
        </w:rPr>
        <w:t>价铁和</w:t>
      </w:r>
      <w:r>
        <w:rPr>
          <w:rFonts w:hint="eastAsia" w:ascii="宋体" w:hAnsi="宋体" w:cs="宋体"/>
          <w:color w:val="auto"/>
          <w:sz w:val="21"/>
          <w:szCs w:val="21"/>
        </w:rPr>
        <w:t>Ⅲ</w:t>
      </w:r>
      <w:r>
        <w:rPr>
          <w:color w:val="auto"/>
          <w:sz w:val="21"/>
          <w:szCs w:val="21"/>
        </w:rPr>
        <w:t>价铁）。硫化物可以在水厂内和铝盐混凝剂一起投加，经过混凝—沉淀后大部分硫化物和污染物结合成为不溶物而得以去除，在进入滤池前加入一定剂量的氧化剂，将残余的硫化物氧化去除，避免二次污染。需要强调的是，投加硫化物沉淀去除金属污染物的做法在国内外饮用水处理中并没有先例，使用必须十分谨慎，此处仅将其作为一种储备技术进行分析；</w:t>
      </w:r>
      <w:r>
        <w:rPr>
          <w:rFonts w:hint="eastAsia" w:ascii="宋体" w:hAnsi="宋体" w:cs="宋体"/>
          <w:color w:val="auto"/>
          <w:sz w:val="21"/>
          <w:szCs w:val="21"/>
        </w:rPr>
        <w:t>④</w:t>
      </w:r>
      <w:r>
        <w:rPr>
          <w:color w:val="auto"/>
          <w:sz w:val="21"/>
          <w:szCs w:val="21"/>
        </w:rPr>
        <w:t>氧化技术的主要缺点是通常采用的氧化剂（液氯、次氯酸钠、高锰酸钾、过氧化氢等）的种类和剂量可能不足以将污染物彻底氧化分解，特别是处理有机物时可能会生成次生污染物。因此，在饮用水应急处理中，化学氧化法主要用于无机污染物（氰化物、硫化物、亚硫酸盐等）。对于有机污染物，首选的应急处理方法是活性炭吸附法；</w:t>
      </w:r>
      <w:r>
        <w:rPr>
          <w:rFonts w:hint="eastAsia" w:ascii="宋体" w:hAnsi="宋体" w:cs="宋体"/>
          <w:color w:val="auto"/>
          <w:sz w:val="21"/>
          <w:szCs w:val="21"/>
        </w:rPr>
        <w:t>⑤</w:t>
      </w:r>
      <w:r>
        <w:rPr>
          <w:color w:val="auto"/>
          <w:sz w:val="21"/>
          <w:szCs w:val="21"/>
        </w:rPr>
        <w:t>应急强化消毒所用消毒剂的首选药剂为液氯。为增加消毒接触时间，建议增大预氯化或前加氯的加氯。</w:t>
      </w:r>
    </w:p>
    <w:bookmarkEnd w:id="119"/>
    <w:bookmarkEnd w:id="120"/>
    <w:bookmarkEnd w:id="121"/>
    <w:bookmarkEnd w:id="122"/>
    <w:bookmarkEnd w:id="123"/>
    <w:bookmarkEnd w:id="124"/>
    <w:p>
      <w:pPr>
        <w:pStyle w:val="2"/>
        <w:jc w:val="both"/>
        <w:rPr>
          <w:color w:val="auto"/>
          <w:sz w:val="28"/>
          <w:szCs w:val="28"/>
        </w:rPr>
      </w:pPr>
      <w:bookmarkStart w:id="140" w:name="_Toc528234277"/>
      <w:bookmarkStart w:id="141" w:name="_Toc529453295"/>
      <w:bookmarkStart w:id="142" w:name="_Toc21431"/>
      <w:bookmarkStart w:id="143" w:name="_Toc529453141"/>
      <w:bookmarkStart w:id="144" w:name="_Toc32165"/>
      <w:bookmarkStart w:id="145" w:name="_Toc527026598"/>
      <w:bookmarkStart w:id="146" w:name="_Toc32272"/>
      <w:r>
        <w:rPr>
          <w:color w:val="auto"/>
          <w:sz w:val="28"/>
          <w:szCs w:val="28"/>
        </w:rPr>
        <w:t>附件</w:t>
      </w:r>
      <w:bookmarkEnd w:id="125"/>
      <w:bookmarkEnd w:id="126"/>
      <w:bookmarkEnd w:id="127"/>
      <w:bookmarkEnd w:id="128"/>
      <w:bookmarkEnd w:id="129"/>
      <w:bookmarkEnd w:id="130"/>
      <w:bookmarkEnd w:id="131"/>
      <w:bookmarkEnd w:id="132"/>
      <w:bookmarkEnd w:id="140"/>
      <w:bookmarkEnd w:id="141"/>
      <w:bookmarkEnd w:id="142"/>
      <w:bookmarkEnd w:id="143"/>
      <w:bookmarkEnd w:id="144"/>
      <w:bookmarkEnd w:id="145"/>
      <w:r>
        <w:rPr>
          <w:rFonts w:hint="eastAsia"/>
          <w:color w:val="auto"/>
          <w:sz w:val="28"/>
          <w:szCs w:val="28"/>
          <w:lang w:val="en-US" w:eastAsia="zh-CN"/>
        </w:rPr>
        <w:t xml:space="preserve">8 </w:t>
      </w:r>
      <w:r>
        <w:rPr>
          <w:color w:val="auto"/>
          <w:sz w:val="28"/>
          <w:szCs w:val="28"/>
        </w:rPr>
        <w:t>水源地</w:t>
      </w:r>
      <w:r>
        <w:rPr>
          <w:rFonts w:hint="eastAsia"/>
          <w:color w:val="auto"/>
          <w:sz w:val="28"/>
          <w:szCs w:val="28"/>
          <w:lang w:eastAsia="zh-CN"/>
        </w:rPr>
        <w:t>突发生态环境事件</w:t>
      </w:r>
      <w:r>
        <w:rPr>
          <w:color w:val="auto"/>
          <w:sz w:val="28"/>
          <w:szCs w:val="28"/>
        </w:rPr>
        <w:t>现场调查表</w:t>
      </w:r>
      <w:bookmarkEnd w:id="146"/>
    </w:p>
    <w:p>
      <w:pPr>
        <w:wordWrap w:val="0"/>
        <w:ind w:right="120" w:firstLine="480"/>
        <w:jc w:val="right"/>
        <w:textAlignment w:val="baseline"/>
        <w:rPr>
          <w:color w:val="auto"/>
          <w:szCs w:val="24"/>
          <w:lang w:val="en-GB"/>
        </w:rPr>
      </w:pPr>
      <w:r>
        <w:rPr>
          <w:color w:val="auto"/>
          <w:szCs w:val="24"/>
          <w:lang w:val="en-GB"/>
        </w:rPr>
        <w:t>调查时间： 年  月  日  时  分</w:t>
      </w:r>
    </w:p>
    <w:tbl>
      <w:tblPr>
        <w:tblStyle w:val="4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949"/>
        <w:gridCol w:w="151"/>
        <w:gridCol w:w="1120"/>
        <w:gridCol w:w="213"/>
        <w:gridCol w:w="493"/>
        <w:gridCol w:w="445"/>
        <w:gridCol w:w="467"/>
        <w:gridCol w:w="498"/>
        <w:gridCol w:w="733"/>
        <w:gridCol w:w="2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522" w:type="dxa"/>
            <w:gridSpan w:val="11"/>
            <w:vAlign w:val="center"/>
          </w:tcPr>
          <w:p>
            <w:pPr>
              <w:ind w:firstLine="0" w:firstLineChars="0"/>
              <w:textAlignment w:val="baseline"/>
              <w:rPr>
                <w:b/>
                <w:bCs/>
                <w:color w:val="auto"/>
                <w:szCs w:val="24"/>
                <w:lang w:val="en-GB"/>
              </w:rPr>
            </w:pPr>
            <w:r>
              <w:rPr>
                <w:rFonts w:hint="eastAsia"/>
                <w:b/>
                <w:bCs/>
                <w:color w:val="auto"/>
                <w:szCs w:val="24"/>
                <w:lang w:val="en-GB" w:eastAsia="zh-CN"/>
              </w:rPr>
              <w:t>1.突发生态环境事件</w:t>
            </w:r>
            <w:r>
              <w:rPr>
                <w:b/>
                <w:bCs/>
                <w:color w:val="auto"/>
                <w:szCs w:val="24"/>
                <w:lang w:val="en-GB"/>
              </w:rPr>
              <w:t>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2366" w:type="dxa"/>
            <w:gridSpan w:val="2"/>
            <w:vAlign w:val="center"/>
          </w:tcPr>
          <w:p>
            <w:pPr>
              <w:ind w:firstLine="0" w:firstLineChars="0"/>
              <w:textAlignment w:val="baseline"/>
              <w:rPr>
                <w:color w:val="auto"/>
                <w:szCs w:val="24"/>
                <w:lang w:val="en-GB"/>
              </w:rPr>
            </w:pPr>
            <w:r>
              <w:rPr>
                <w:color w:val="auto"/>
                <w:szCs w:val="24"/>
                <w:lang w:val="en-GB"/>
              </w:rPr>
              <w:t>信息来源</w:t>
            </w:r>
          </w:p>
        </w:tc>
        <w:tc>
          <w:tcPr>
            <w:tcW w:w="1271" w:type="dxa"/>
            <w:gridSpan w:val="2"/>
            <w:vAlign w:val="center"/>
          </w:tcPr>
          <w:p>
            <w:pPr>
              <w:ind w:firstLine="480"/>
              <w:textAlignment w:val="baseline"/>
              <w:rPr>
                <w:color w:val="auto"/>
                <w:szCs w:val="24"/>
                <w:lang w:val="en-GB"/>
              </w:rPr>
            </w:pPr>
          </w:p>
        </w:tc>
        <w:tc>
          <w:tcPr>
            <w:tcW w:w="706" w:type="dxa"/>
            <w:gridSpan w:val="2"/>
            <w:vAlign w:val="center"/>
          </w:tcPr>
          <w:p>
            <w:pPr>
              <w:ind w:firstLine="0" w:firstLineChars="0"/>
              <w:textAlignment w:val="baseline"/>
              <w:rPr>
                <w:color w:val="auto"/>
                <w:szCs w:val="24"/>
                <w:lang w:val="en-GB"/>
              </w:rPr>
            </w:pPr>
            <w:r>
              <w:rPr>
                <w:color w:val="auto"/>
                <w:szCs w:val="24"/>
                <w:lang w:val="en-GB"/>
              </w:rPr>
              <w:t>发生时间</w:t>
            </w:r>
          </w:p>
        </w:tc>
        <w:tc>
          <w:tcPr>
            <w:tcW w:w="1410" w:type="dxa"/>
            <w:gridSpan w:val="3"/>
            <w:vAlign w:val="center"/>
          </w:tcPr>
          <w:p>
            <w:pPr>
              <w:ind w:firstLine="480"/>
              <w:textAlignment w:val="baseline"/>
              <w:rPr>
                <w:color w:val="auto"/>
                <w:szCs w:val="24"/>
                <w:lang w:val="en-GB"/>
              </w:rPr>
            </w:pPr>
          </w:p>
        </w:tc>
        <w:tc>
          <w:tcPr>
            <w:tcW w:w="733" w:type="dxa"/>
            <w:vAlign w:val="center"/>
          </w:tcPr>
          <w:p>
            <w:pPr>
              <w:ind w:firstLine="0" w:firstLineChars="0"/>
              <w:textAlignment w:val="baseline"/>
              <w:rPr>
                <w:color w:val="auto"/>
                <w:szCs w:val="24"/>
                <w:lang w:val="en-GB"/>
              </w:rPr>
            </w:pPr>
            <w:r>
              <w:rPr>
                <w:color w:val="auto"/>
                <w:szCs w:val="24"/>
                <w:lang w:val="en-GB"/>
              </w:rPr>
              <w:t>地点</w:t>
            </w:r>
          </w:p>
        </w:tc>
        <w:tc>
          <w:tcPr>
            <w:tcW w:w="2036" w:type="dxa"/>
            <w:vAlign w:val="center"/>
          </w:tcPr>
          <w:p>
            <w:pPr>
              <w:ind w:firstLine="480"/>
              <w:textAlignment w:val="baseline"/>
              <w:rPr>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2366" w:type="dxa"/>
            <w:gridSpan w:val="2"/>
            <w:vAlign w:val="center"/>
          </w:tcPr>
          <w:p>
            <w:pPr>
              <w:ind w:firstLine="0" w:firstLineChars="0"/>
              <w:textAlignment w:val="baseline"/>
              <w:rPr>
                <w:color w:val="auto"/>
                <w:szCs w:val="24"/>
                <w:lang w:val="en-GB"/>
              </w:rPr>
            </w:pPr>
            <w:r>
              <w:rPr>
                <w:color w:val="auto"/>
                <w:szCs w:val="24"/>
                <w:lang w:val="en-GB"/>
              </w:rPr>
              <w:t>事件起因</w:t>
            </w:r>
          </w:p>
        </w:tc>
        <w:tc>
          <w:tcPr>
            <w:tcW w:w="6156" w:type="dxa"/>
            <w:gridSpan w:val="9"/>
            <w:vAlign w:val="center"/>
          </w:tcPr>
          <w:p>
            <w:pPr>
              <w:ind w:firstLine="480"/>
              <w:textAlignment w:val="baseline"/>
              <w:rPr>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2366" w:type="dxa"/>
            <w:gridSpan w:val="2"/>
            <w:vAlign w:val="center"/>
          </w:tcPr>
          <w:p>
            <w:pPr>
              <w:ind w:firstLine="0" w:firstLineChars="0"/>
              <w:textAlignment w:val="baseline"/>
              <w:rPr>
                <w:color w:val="auto"/>
                <w:szCs w:val="24"/>
                <w:lang w:val="en-GB"/>
              </w:rPr>
            </w:pPr>
            <w:r>
              <w:rPr>
                <w:color w:val="auto"/>
                <w:szCs w:val="24"/>
                <w:lang w:val="en-GB"/>
              </w:rPr>
              <w:t>主要污染物和数量</w:t>
            </w:r>
          </w:p>
        </w:tc>
        <w:tc>
          <w:tcPr>
            <w:tcW w:w="6156" w:type="dxa"/>
            <w:gridSpan w:val="9"/>
            <w:vAlign w:val="center"/>
          </w:tcPr>
          <w:p>
            <w:pPr>
              <w:ind w:firstLine="480"/>
              <w:textAlignment w:val="baseline"/>
              <w:rPr>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2366" w:type="dxa"/>
            <w:gridSpan w:val="2"/>
            <w:vAlign w:val="center"/>
          </w:tcPr>
          <w:p>
            <w:pPr>
              <w:ind w:firstLine="0" w:firstLineChars="0"/>
              <w:textAlignment w:val="baseline"/>
              <w:rPr>
                <w:color w:val="auto"/>
                <w:szCs w:val="24"/>
                <w:lang w:val="en-GB"/>
              </w:rPr>
            </w:pPr>
            <w:r>
              <w:rPr>
                <w:color w:val="auto"/>
                <w:szCs w:val="24"/>
                <w:lang w:val="en-GB"/>
              </w:rPr>
              <w:t>污染程度和范围</w:t>
            </w:r>
          </w:p>
        </w:tc>
        <w:tc>
          <w:tcPr>
            <w:tcW w:w="6156" w:type="dxa"/>
            <w:gridSpan w:val="9"/>
            <w:vAlign w:val="center"/>
          </w:tcPr>
          <w:p>
            <w:pPr>
              <w:ind w:firstLine="480"/>
              <w:textAlignment w:val="baseline"/>
              <w:rPr>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2366" w:type="dxa"/>
            <w:gridSpan w:val="2"/>
            <w:vAlign w:val="center"/>
          </w:tcPr>
          <w:p>
            <w:pPr>
              <w:ind w:firstLine="0" w:firstLineChars="0"/>
              <w:textAlignment w:val="baseline"/>
              <w:rPr>
                <w:color w:val="auto"/>
                <w:szCs w:val="24"/>
                <w:lang w:val="en-GB"/>
              </w:rPr>
            </w:pPr>
            <w:r>
              <w:rPr>
                <w:color w:val="auto"/>
                <w:szCs w:val="24"/>
                <w:lang w:val="en-GB"/>
              </w:rPr>
              <w:t>人员受害</w:t>
            </w:r>
          </w:p>
          <w:p>
            <w:pPr>
              <w:ind w:firstLine="0" w:firstLineChars="0"/>
              <w:textAlignment w:val="baseline"/>
              <w:rPr>
                <w:color w:val="auto"/>
                <w:szCs w:val="24"/>
                <w:lang w:val="en-GB"/>
              </w:rPr>
            </w:pPr>
            <w:r>
              <w:rPr>
                <w:color w:val="auto"/>
                <w:szCs w:val="24"/>
                <w:lang w:val="en-GB"/>
              </w:rPr>
              <w:t>及救护情况</w:t>
            </w:r>
          </w:p>
        </w:tc>
        <w:tc>
          <w:tcPr>
            <w:tcW w:w="6156" w:type="dxa"/>
            <w:gridSpan w:val="9"/>
            <w:vAlign w:val="center"/>
          </w:tcPr>
          <w:p>
            <w:pPr>
              <w:ind w:firstLine="480"/>
              <w:textAlignment w:val="baseline"/>
              <w:rPr>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2366" w:type="dxa"/>
            <w:gridSpan w:val="2"/>
            <w:vAlign w:val="center"/>
          </w:tcPr>
          <w:p>
            <w:pPr>
              <w:ind w:firstLine="0" w:firstLineChars="0"/>
              <w:textAlignment w:val="baseline"/>
              <w:rPr>
                <w:color w:val="auto"/>
                <w:szCs w:val="24"/>
                <w:lang w:val="en-GB"/>
              </w:rPr>
            </w:pPr>
            <w:r>
              <w:rPr>
                <w:color w:val="auto"/>
                <w:szCs w:val="24"/>
                <w:lang w:val="en-GB"/>
              </w:rPr>
              <w:t>环境敏感点受影响情况(企业基本情况）</w:t>
            </w:r>
          </w:p>
        </w:tc>
        <w:tc>
          <w:tcPr>
            <w:tcW w:w="6156" w:type="dxa"/>
            <w:gridSpan w:val="9"/>
            <w:vAlign w:val="center"/>
          </w:tcPr>
          <w:p>
            <w:pPr>
              <w:ind w:firstLine="480"/>
              <w:textAlignment w:val="baseline"/>
              <w:rPr>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2366" w:type="dxa"/>
            <w:gridSpan w:val="2"/>
            <w:vAlign w:val="center"/>
          </w:tcPr>
          <w:p>
            <w:pPr>
              <w:ind w:firstLine="0" w:firstLineChars="0"/>
              <w:textAlignment w:val="baseline"/>
              <w:rPr>
                <w:color w:val="auto"/>
                <w:szCs w:val="24"/>
                <w:lang w:val="en-GB"/>
              </w:rPr>
            </w:pPr>
            <w:r>
              <w:rPr>
                <w:color w:val="auto"/>
                <w:szCs w:val="24"/>
                <w:lang w:val="en-GB"/>
              </w:rPr>
              <w:t>是否及时启动</w:t>
            </w:r>
          </w:p>
          <w:p>
            <w:pPr>
              <w:ind w:firstLine="0" w:firstLineChars="0"/>
              <w:textAlignment w:val="baseline"/>
              <w:rPr>
                <w:color w:val="auto"/>
                <w:szCs w:val="24"/>
                <w:lang w:val="en-GB"/>
              </w:rPr>
            </w:pPr>
            <w:r>
              <w:rPr>
                <w:color w:val="auto"/>
                <w:szCs w:val="24"/>
                <w:lang w:val="en-GB"/>
              </w:rPr>
              <w:t>环境应急预案</w:t>
            </w:r>
          </w:p>
        </w:tc>
        <w:tc>
          <w:tcPr>
            <w:tcW w:w="1271" w:type="dxa"/>
            <w:gridSpan w:val="2"/>
            <w:vAlign w:val="center"/>
          </w:tcPr>
          <w:p>
            <w:pPr>
              <w:ind w:firstLine="480"/>
              <w:textAlignment w:val="baseline"/>
              <w:rPr>
                <w:color w:val="auto"/>
                <w:szCs w:val="24"/>
                <w:lang w:val="en-GB"/>
              </w:rPr>
            </w:pPr>
          </w:p>
        </w:tc>
        <w:tc>
          <w:tcPr>
            <w:tcW w:w="1151" w:type="dxa"/>
            <w:gridSpan w:val="3"/>
            <w:vAlign w:val="center"/>
          </w:tcPr>
          <w:p>
            <w:pPr>
              <w:ind w:firstLine="0" w:firstLineChars="0"/>
              <w:textAlignment w:val="baseline"/>
              <w:rPr>
                <w:color w:val="auto"/>
                <w:szCs w:val="24"/>
                <w:lang w:val="en-GB"/>
              </w:rPr>
            </w:pPr>
            <w:r>
              <w:rPr>
                <w:color w:val="auto"/>
                <w:szCs w:val="24"/>
                <w:lang w:val="en-GB"/>
              </w:rPr>
              <w:t>预计事件发展趋势</w:t>
            </w:r>
          </w:p>
        </w:tc>
        <w:tc>
          <w:tcPr>
            <w:tcW w:w="3734" w:type="dxa"/>
            <w:gridSpan w:val="4"/>
            <w:vAlign w:val="center"/>
          </w:tcPr>
          <w:p>
            <w:pPr>
              <w:ind w:firstLine="480"/>
              <w:textAlignment w:val="baseline"/>
              <w:rPr>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3637" w:type="dxa"/>
            <w:gridSpan w:val="4"/>
            <w:vAlign w:val="center"/>
          </w:tcPr>
          <w:p>
            <w:pPr>
              <w:ind w:firstLine="0" w:firstLineChars="0"/>
              <w:textAlignment w:val="baseline"/>
              <w:rPr>
                <w:b/>
                <w:bCs/>
                <w:color w:val="auto"/>
                <w:szCs w:val="24"/>
                <w:lang w:val="en-GB"/>
              </w:rPr>
            </w:pPr>
            <w:r>
              <w:rPr>
                <w:rFonts w:hint="eastAsia"/>
                <w:b/>
                <w:bCs/>
                <w:color w:val="auto"/>
                <w:szCs w:val="24"/>
                <w:lang w:val="en-GB" w:eastAsia="zh-CN"/>
              </w:rPr>
              <w:t>2.</w:t>
            </w:r>
            <w:r>
              <w:rPr>
                <w:b/>
                <w:bCs/>
                <w:color w:val="auto"/>
                <w:szCs w:val="24"/>
                <w:lang w:val="en-GB"/>
              </w:rPr>
              <w:t>事件可能级别</w:t>
            </w:r>
          </w:p>
        </w:tc>
        <w:tc>
          <w:tcPr>
            <w:tcW w:w="4885" w:type="dxa"/>
            <w:gridSpan w:val="7"/>
            <w:vAlign w:val="center"/>
          </w:tcPr>
          <w:p>
            <w:pPr>
              <w:ind w:firstLine="0" w:firstLineChars="0"/>
              <w:jc w:val="center"/>
              <w:textAlignment w:val="baseline"/>
              <w:rPr>
                <w:color w:val="auto"/>
                <w:szCs w:val="24"/>
                <w:lang w:val="en-GB"/>
              </w:rPr>
            </w:pPr>
            <w:r>
              <w:rPr>
                <w:color w:val="auto"/>
                <w:szCs w:val="24"/>
                <w:lang w:val="en-GB"/>
              </w:rPr>
              <w:t>特别重大口重大口较大口一般口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522" w:type="dxa"/>
            <w:gridSpan w:val="11"/>
            <w:vAlign w:val="center"/>
          </w:tcPr>
          <w:p>
            <w:pPr>
              <w:ind w:left="0" w:leftChars="0" w:firstLine="0" w:firstLineChars="0"/>
              <w:textAlignment w:val="baseline"/>
              <w:rPr>
                <w:color w:val="auto"/>
                <w:szCs w:val="24"/>
                <w:lang w:val="en-GB"/>
              </w:rPr>
            </w:pPr>
            <w:r>
              <w:rPr>
                <w:color w:val="auto"/>
                <w:szCs w:val="24"/>
                <w:lang w:val="en-GB"/>
              </w:rPr>
              <w:t>（1）是否对饮用水源保护区造成或者可能造成影响：否口是口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522" w:type="dxa"/>
            <w:gridSpan w:val="11"/>
            <w:vAlign w:val="center"/>
          </w:tcPr>
          <w:p>
            <w:pPr>
              <w:ind w:left="0" w:leftChars="0" w:firstLine="0" w:firstLineChars="0"/>
              <w:textAlignment w:val="baseline"/>
              <w:rPr>
                <w:color w:val="auto"/>
                <w:szCs w:val="24"/>
                <w:lang w:val="en-GB"/>
              </w:rPr>
            </w:pPr>
            <w:r>
              <w:rPr>
                <w:color w:val="auto"/>
                <w:szCs w:val="24"/>
                <w:lang w:val="en-GB"/>
              </w:rPr>
              <w:t>（2）是否涉及居民聚居区、学校、医院等敏感区域和敏感人群：否口是口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522" w:type="dxa"/>
            <w:gridSpan w:val="11"/>
            <w:vAlign w:val="center"/>
          </w:tcPr>
          <w:p>
            <w:pPr>
              <w:ind w:left="0" w:leftChars="0" w:firstLine="0" w:firstLineChars="0"/>
              <w:textAlignment w:val="baseline"/>
              <w:rPr>
                <w:color w:val="auto"/>
                <w:szCs w:val="24"/>
                <w:lang w:val="en-GB"/>
              </w:rPr>
            </w:pPr>
            <w:r>
              <w:rPr>
                <w:color w:val="auto"/>
                <w:szCs w:val="24"/>
                <w:lang w:val="en-GB"/>
              </w:rPr>
              <w:t>（3）是否涉及重金属或者类金属污染：否口是口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522" w:type="dxa"/>
            <w:gridSpan w:val="11"/>
            <w:vAlign w:val="center"/>
          </w:tcPr>
          <w:p>
            <w:pPr>
              <w:ind w:left="0" w:leftChars="0" w:firstLine="0" w:firstLineChars="0"/>
              <w:textAlignment w:val="baseline"/>
              <w:rPr>
                <w:color w:val="auto"/>
                <w:szCs w:val="24"/>
                <w:lang w:val="en-GB"/>
              </w:rPr>
            </w:pPr>
            <w:r>
              <w:rPr>
                <w:color w:val="auto"/>
                <w:szCs w:val="24"/>
                <w:lang w:val="en-GB"/>
              </w:rPr>
              <w:t>（4）是否因环境污染引发群体性事件，或者社会影响较大的：否口是口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522" w:type="dxa"/>
            <w:gridSpan w:val="11"/>
            <w:vAlign w:val="center"/>
          </w:tcPr>
          <w:p>
            <w:pPr>
              <w:ind w:left="0" w:leftChars="0" w:firstLine="0" w:firstLineChars="0"/>
              <w:textAlignment w:val="baseline"/>
              <w:rPr>
                <w:color w:val="auto"/>
                <w:szCs w:val="24"/>
                <w:lang w:val="en-GB"/>
              </w:rPr>
            </w:pPr>
            <w:r>
              <w:rPr>
                <w:color w:val="auto"/>
                <w:szCs w:val="24"/>
                <w:lang w:val="en-GB"/>
              </w:rPr>
              <w:t>（5）是否有可能产生跨市、跨省或者跨国影响的：否口是口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522" w:type="dxa"/>
            <w:gridSpan w:val="11"/>
            <w:vAlign w:val="center"/>
          </w:tcPr>
          <w:p>
            <w:pPr>
              <w:ind w:left="0" w:leftChars="0" w:firstLine="0" w:firstLineChars="0"/>
              <w:textAlignment w:val="baseline"/>
              <w:rPr>
                <w:color w:val="auto"/>
                <w:szCs w:val="24"/>
                <w:lang w:val="en-GB"/>
              </w:rPr>
            </w:pPr>
            <w:r>
              <w:rPr>
                <w:color w:val="auto"/>
                <w:szCs w:val="24"/>
                <w:lang w:val="en-GB"/>
              </w:rPr>
              <w:t>（6）其他情形：_______________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2517" w:type="dxa"/>
            <w:gridSpan w:val="3"/>
            <w:vAlign w:val="center"/>
          </w:tcPr>
          <w:p>
            <w:pPr>
              <w:ind w:firstLine="0" w:firstLineChars="0"/>
              <w:textAlignment w:val="baseline"/>
              <w:rPr>
                <w:b/>
                <w:bCs/>
                <w:color w:val="auto"/>
                <w:szCs w:val="24"/>
                <w:lang w:val="en-GB"/>
              </w:rPr>
            </w:pPr>
            <w:r>
              <w:rPr>
                <w:rFonts w:hint="eastAsia"/>
                <w:b/>
                <w:bCs/>
                <w:color w:val="auto"/>
                <w:szCs w:val="24"/>
                <w:lang w:val="en-GB" w:eastAsia="zh-CN"/>
              </w:rPr>
              <w:t>3.</w:t>
            </w:r>
            <w:r>
              <w:rPr>
                <w:b/>
                <w:bCs/>
                <w:color w:val="auto"/>
                <w:szCs w:val="24"/>
                <w:lang w:val="en-GB"/>
              </w:rPr>
              <w:t>信息报告情况</w:t>
            </w:r>
          </w:p>
        </w:tc>
        <w:tc>
          <w:tcPr>
            <w:tcW w:w="6005" w:type="dxa"/>
            <w:gridSpan w:val="8"/>
            <w:vAlign w:val="center"/>
          </w:tcPr>
          <w:p>
            <w:pPr>
              <w:ind w:left="0" w:leftChars="0" w:firstLine="0" w:firstLineChars="0"/>
              <w:textAlignment w:val="baseline"/>
              <w:rPr>
                <w:color w:val="auto"/>
                <w:szCs w:val="24"/>
                <w:lang w:val="en-GB"/>
              </w:rPr>
            </w:pPr>
            <w:r>
              <w:rPr>
                <w:color w:val="auto"/>
                <w:szCs w:val="24"/>
                <w:lang w:val="en-GB"/>
              </w:rPr>
              <w:t>（何时向何部门报告）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517" w:type="dxa"/>
            <w:gridSpan w:val="3"/>
            <w:vAlign w:val="center"/>
          </w:tcPr>
          <w:p>
            <w:pPr>
              <w:ind w:firstLine="0" w:firstLineChars="0"/>
              <w:textAlignment w:val="baseline"/>
              <w:rPr>
                <w:b/>
                <w:bCs/>
                <w:color w:val="auto"/>
                <w:szCs w:val="24"/>
                <w:lang w:val="en-GB"/>
              </w:rPr>
            </w:pPr>
            <w:r>
              <w:rPr>
                <w:rFonts w:hint="eastAsia"/>
                <w:b/>
                <w:bCs/>
                <w:color w:val="auto"/>
                <w:szCs w:val="24"/>
                <w:lang w:val="en-GB" w:eastAsia="zh-CN"/>
              </w:rPr>
              <w:t>4.</w:t>
            </w:r>
            <w:r>
              <w:rPr>
                <w:b/>
                <w:bCs/>
                <w:color w:val="auto"/>
                <w:szCs w:val="24"/>
                <w:lang w:val="en-GB"/>
              </w:rPr>
              <w:t>监测情况</w:t>
            </w:r>
          </w:p>
        </w:tc>
        <w:tc>
          <w:tcPr>
            <w:tcW w:w="6005" w:type="dxa"/>
            <w:gridSpan w:val="8"/>
            <w:vAlign w:val="center"/>
          </w:tcPr>
          <w:p>
            <w:pPr>
              <w:ind w:left="0" w:leftChars="0" w:firstLine="0" w:firstLineChars="0"/>
              <w:textAlignment w:val="baseline"/>
              <w:rPr>
                <w:color w:val="auto"/>
                <w:szCs w:val="24"/>
                <w:lang w:val="en-GB"/>
              </w:rPr>
            </w:pPr>
            <w:r>
              <w:rPr>
                <w:color w:val="auto"/>
                <w:szCs w:val="24"/>
                <w:lang w:val="en-GB"/>
              </w:rPr>
              <w:t>（何时，何地取样，监测结果）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2517" w:type="dxa"/>
            <w:gridSpan w:val="3"/>
            <w:vAlign w:val="center"/>
          </w:tcPr>
          <w:p>
            <w:pPr>
              <w:ind w:firstLine="0" w:firstLineChars="0"/>
              <w:textAlignment w:val="baseline"/>
              <w:rPr>
                <w:b/>
                <w:bCs/>
                <w:color w:val="auto"/>
                <w:szCs w:val="24"/>
                <w:lang w:val="en-GB"/>
              </w:rPr>
            </w:pPr>
            <w:r>
              <w:rPr>
                <w:rFonts w:hint="eastAsia"/>
                <w:b/>
                <w:bCs/>
                <w:color w:val="auto"/>
                <w:szCs w:val="24"/>
                <w:lang w:val="en-GB" w:eastAsia="zh-CN"/>
              </w:rPr>
              <w:t>5.</w:t>
            </w:r>
            <w:r>
              <w:rPr>
                <w:b/>
                <w:bCs/>
                <w:color w:val="auto"/>
                <w:szCs w:val="24"/>
                <w:lang w:val="en-GB"/>
              </w:rPr>
              <w:t>已采取的措施</w:t>
            </w:r>
          </w:p>
          <w:p>
            <w:pPr>
              <w:ind w:firstLine="0" w:firstLineChars="0"/>
              <w:textAlignment w:val="baseline"/>
              <w:rPr>
                <w:b/>
                <w:bCs/>
                <w:color w:val="auto"/>
                <w:szCs w:val="24"/>
                <w:lang w:val="en-GB"/>
              </w:rPr>
            </w:pPr>
            <w:r>
              <w:rPr>
                <w:b/>
                <w:bCs/>
                <w:color w:val="auto"/>
                <w:szCs w:val="24"/>
                <w:lang w:val="en-GB"/>
              </w:rPr>
              <w:t>及效果</w:t>
            </w:r>
          </w:p>
        </w:tc>
        <w:tc>
          <w:tcPr>
            <w:tcW w:w="6005" w:type="dxa"/>
            <w:gridSpan w:val="8"/>
            <w:vAlign w:val="center"/>
          </w:tcPr>
          <w:p>
            <w:pPr>
              <w:ind w:firstLine="480"/>
              <w:textAlignment w:val="baseline"/>
              <w:rPr>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2517" w:type="dxa"/>
            <w:gridSpan w:val="3"/>
            <w:vAlign w:val="center"/>
          </w:tcPr>
          <w:p>
            <w:pPr>
              <w:ind w:firstLine="0" w:firstLineChars="0"/>
              <w:textAlignment w:val="baseline"/>
              <w:rPr>
                <w:b/>
                <w:bCs/>
                <w:color w:val="auto"/>
                <w:szCs w:val="24"/>
                <w:lang w:val="en-GB"/>
              </w:rPr>
            </w:pPr>
            <w:r>
              <w:rPr>
                <w:rFonts w:hint="eastAsia"/>
                <w:b/>
                <w:bCs/>
                <w:color w:val="auto"/>
                <w:szCs w:val="24"/>
                <w:lang w:val="en-GB" w:eastAsia="zh-CN"/>
              </w:rPr>
              <w:t>6.</w:t>
            </w:r>
            <w:r>
              <w:rPr>
                <w:b/>
                <w:bCs/>
                <w:color w:val="auto"/>
                <w:szCs w:val="24"/>
                <w:lang w:val="en-GB"/>
              </w:rPr>
              <w:t>下一步拟采取措施</w:t>
            </w:r>
          </w:p>
        </w:tc>
        <w:tc>
          <w:tcPr>
            <w:tcW w:w="6005" w:type="dxa"/>
            <w:gridSpan w:val="8"/>
            <w:vAlign w:val="center"/>
          </w:tcPr>
          <w:p>
            <w:pPr>
              <w:ind w:firstLine="480"/>
              <w:textAlignment w:val="baseline"/>
              <w:rPr>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417" w:type="dxa"/>
            <w:vAlign w:val="center"/>
          </w:tcPr>
          <w:p>
            <w:pPr>
              <w:ind w:firstLine="0" w:firstLineChars="0"/>
              <w:jc w:val="center"/>
              <w:textAlignment w:val="baseline"/>
              <w:rPr>
                <w:color w:val="auto"/>
                <w:szCs w:val="24"/>
                <w:lang w:val="en-GB"/>
              </w:rPr>
            </w:pPr>
            <w:r>
              <w:rPr>
                <w:color w:val="auto"/>
                <w:szCs w:val="24"/>
                <w:lang w:val="en-GB"/>
              </w:rPr>
              <w:t>被调查人</w:t>
            </w:r>
          </w:p>
        </w:tc>
        <w:tc>
          <w:tcPr>
            <w:tcW w:w="1100" w:type="dxa"/>
            <w:gridSpan w:val="2"/>
            <w:vAlign w:val="center"/>
          </w:tcPr>
          <w:p>
            <w:pPr>
              <w:ind w:firstLine="480"/>
              <w:jc w:val="center"/>
              <w:textAlignment w:val="baseline"/>
              <w:rPr>
                <w:color w:val="auto"/>
                <w:szCs w:val="24"/>
                <w:lang w:val="en-GB"/>
              </w:rPr>
            </w:pPr>
          </w:p>
        </w:tc>
        <w:tc>
          <w:tcPr>
            <w:tcW w:w="1333" w:type="dxa"/>
            <w:gridSpan w:val="2"/>
            <w:vAlign w:val="center"/>
          </w:tcPr>
          <w:p>
            <w:pPr>
              <w:ind w:firstLine="0" w:firstLineChars="0"/>
              <w:jc w:val="center"/>
              <w:textAlignment w:val="baseline"/>
              <w:rPr>
                <w:color w:val="auto"/>
                <w:szCs w:val="24"/>
                <w:lang w:val="en-GB"/>
              </w:rPr>
            </w:pPr>
            <w:r>
              <w:rPr>
                <w:color w:val="auto"/>
                <w:szCs w:val="24"/>
                <w:lang w:val="en-GB"/>
              </w:rPr>
              <w:t>职务</w:t>
            </w:r>
          </w:p>
        </w:tc>
        <w:tc>
          <w:tcPr>
            <w:tcW w:w="1405" w:type="dxa"/>
            <w:gridSpan w:val="3"/>
            <w:vAlign w:val="center"/>
          </w:tcPr>
          <w:p>
            <w:pPr>
              <w:ind w:firstLine="480"/>
              <w:jc w:val="center"/>
              <w:textAlignment w:val="baseline"/>
              <w:rPr>
                <w:color w:val="auto"/>
                <w:szCs w:val="24"/>
                <w:lang w:val="en-GB"/>
              </w:rPr>
            </w:pPr>
          </w:p>
        </w:tc>
        <w:tc>
          <w:tcPr>
            <w:tcW w:w="1231" w:type="dxa"/>
            <w:gridSpan w:val="2"/>
            <w:vAlign w:val="center"/>
          </w:tcPr>
          <w:p>
            <w:pPr>
              <w:ind w:firstLine="0" w:firstLineChars="0"/>
              <w:jc w:val="center"/>
              <w:textAlignment w:val="baseline"/>
              <w:rPr>
                <w:color w:val="auto"/>
                <w:szCs w:val="24"/>
                <w:lang w:val="en-GB"/>
              </w:rPr>
            </w:pPr>
            <w:r>
              <w:rPr>
                <w:color w:val="auto"/>
                <w:szCs w:val="24"/>
                <w:lang w:val="en-GB"/>
              </w:rPr>
              <w:t>联系方式</w:t>
            </w:r>
          </w:p>
        </w:tc>
        <w:tc>
          <w:tcPr>
            <w:tcW w:w="2036" w:type="dxa"/>
            <w:vAlign w:val="center"/>
          </w:tcPr>
          <w:p>
            <w:pPr>
              <w:ind w:firstLine="480"/>
              <w:jc w:val="center"/>
              <w:textAlignment w:val="baseline"/>
              <w:rPr>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417" w:type="dxa"/>
            <w:vAlign w:val="center"/>
          </w:tcPr>
          <w:p>
            <w:pPr>
              <w:ind w:firstLine="0" w:firstLineChars="0"/>
              <w:jc w:val="center"/>
              <w:textAlignment w:val="baseline"/>
              <w:rPr>
                <w:color w:val="auto"/>
                <w:szCs w:val="24"/>
                <w:lang w:val="en-GB"/>
              </w:rPr>
            </w:pPr>
            <w:r>
              <w:rPr>
                <w:color w:val="auto"/>
                <w:szCs w:val="24"/>
                <w:lang w:val="en-GB"/>
              </w:rPr>
              <w:t>调查人</w:t>
            </w:r>
          </w:p>
        </w:tc>
        <w:tc>
          <w:tcPr>
            <w:tcW w:w="1100" w:type="dxa"/>
            <w:gridSpan w:val="2"/>
            <w:vAlign w:val="center"/>
          </w:tcPr>
          <w:p>
            <w:pPr>
              <w:ind w:firstLine="480"/>
              <w:jc w:val="center"/>
              <w:textAlignment w:val="baseline"/>
              <w:rPr>
                <w:color w:val="auto"/>
                <w:szCs w:val="24"/>
                <w:lang w:val="en-GB"/>
              </w:rPr>
            </w:pPr>
          </w:p>
        </w:tc>
        <w:tc>
          <w:tcPr>
            <w:tcW w:w="1333" w:type="dxa"/>
            <w:gridSpan w:val="2"/>
            <w:vAlign w:val="center"/>
          </w:tcPr>
          <w:p>
            <w:pPr>
              <w:ind w:firstLine="0" w:firstLineChars="0"/>
              <w:jc w:val="center"/>
              <w:textAlignment w:val="baseline"/>
              <w:rPr>
                <w:color w:val="auto"/>
                <w:szCs w:val="24"/>
                <w:lang w:val="en-GB"/>
              </w:rPr>
            </w:pPr>
            <w:r>
              <w:rPr>
                <w:color w:val="auto"/>
                <w:szCs w:val="24"/>
                <w:lang w:val="en-GB"/>
              </w:rPr>
              <w:t>单位</w:t>
            </w:r>
          </w:p>
        </w:tc>
        <w:tc>
          <w:tcPr>
            <w:tcW w:w="4672" w:type="dxa"/>
            <w:gridSpan w:val="6"/>
            <w:vAlign w:val="center"/>
          </w:tcPr>
          <w:p>
            <w:pPr>
              <w:ind w:firstLine="480"/>
              <w:jc w:val="center"/>
              <w:textAlignment w:val="baseline"/>
              <w:rPr>
                <w:color w:val="auto"/>
                <w:szCs w:val="24"/>
                <w:lang w:val="en-GB"/>
              </w:rPr>
            </w:pPr>
          </w:p>
        </w:tc>
      </w:tr>
    </w:tbl>
    <w:p>
      <w:pPr>
        <w:ind w:firstLine="480"/>
        <w:textAlignment w:val="baseline"/>
        <w:rPr>
          <w:color w:val="auto"/>
          <w:szCs w:val="24"/>
          <w:lang w:val="en-GB"/>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pStyle w:val="2"/>
        <w:jc w:val="both"/>
        <w:rPr>
          <w:color w:val="auto"/>
          <w:sz w:val="28"/>
          <w:szCs w:val="28"/>
        </w:rPr>
      </w:pPr>
      <w:bookmarkStart w:id="147" w:name="_Toc6323"/>
      <w:r>
        <w:rPr>
          <w:color w:val="auto"/>
          <w:sz w:val="28"/>
          <w:szCs w:val="28"/>
        </w:rPr>
        <w:t>附件</w:t>
      </w:r>
      <w:r>
        <w:rPr>
          <w:rFonts w:hint="eastAsia"/>
          <w:color w:val="auto"/>
          <w:sz w:val="28"/>
          <w:szCs w:val="28"/>
          <w:lang w:val="en-US" w:eastAsia="zh-CN"/>
        </w:rPr>
        <w:t xml:space="preserve">9 </w:t>
      </w:r>
      <w:r>
        <w:rPr>
          <w:color w:val="auto"/>
          <w:sz w:val="28"/>
          <w:szCs w:val="28"/>
        </w:rPr>
        <w:t>水源地</w:t>
      </w:r>
      <w:r>
        <w:rPr>
          <w:rFonts w:hint="eastAsia"/>
          <w:color w:val="auto"/>
          <w:sz w:val="28"/>
          <w:szCs w:val="28"/>
          <w:lang w:eastAsia="zh-CN"/>
        </w:rPr>
        <w:t>突发生态环境事件</w:t>
      </w:r>
      <w:r>
        <w:rPr>
          <w:color w:val="auto"/>
          <w:sz w:val="28"/>
          <w:szCs w:val="28"/>
        </w:rPr>
        <w:t>现场踏勘图</w:t>
      </w:r>
      <w:bookmarkEnd w:id="147"/>
    </w:p>
    <w:tbl>
      <w:tblPr>
        <w:tblStyle w:val="4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6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573" w:type="dxa"/>
            <w:vAlign w:val="center"/>
          </w:tcPr>
          <w:p>
            <w:pPr>
              <w:ind w:firstLine="482"/>
              <w:textAlignment w:val="baseline"/>
              <w:rPr>
                <w:b/>
                <w:bCs/>
                <w:color w:val="auto"/>
                <w:szCs w:val="24"/>
                <w:lang w:val="en-GB"/>
              </w:rPr>
            </w:pPr>
            <w:r>
              <w:rPr>
                <w:b/>
                <w:bCs/>
                <w:color w:val="auto"/>
                <w:szCs w:val="24"/>
                <w:lang w:val="en-GB"/>
              </w:rPr>
              <w:t>地点</w:t>
            </w:r>
          </w:p>
        </w:tc>
        <w:tc>
          <w:tcPr>
            <w:tcW w:w="6949" w:type="dxa"/>
          </w:tcPr>
          <w:p>
            <w:pPr>
              <w:ind w:firstLine="482"/>
              <w:textAlignment w:val="baseline"/>
              <w:rPr>
                <w:b/>
                <w:bCs/>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1573" w:type="dxa"/>
            <w:vAlign w:val="center"/>
          </w:tcPr>
          <w:p>
            <w:pPr>
              <w:ind w:firstLine="0" w:firstLineChars="0"/>
              <w:textAlignment w:val="baseline"/>
              <w:rPr>
                <w:b/>
                <w:bCs/>
                <w:color w:val="auto"/>
                <w:szCs w:val="24"/>
                <w:lang w:val="en-GB"/>
              </w:rPr>
            </w:pPr>
            <w:r>
              <w:rPr>
                <w:b/>
                <w:bCs/>
                <w:color w:val="auto"/>
                <w:szCs w:val="24"/>
                <w:lang w:val="en-GB"/>
              </w:rPr>
              <w:t>周边环境状况和环境敏感点</w:t>
            </w:r>
          </w:p>
        </w:tc>
        <w:tc>
          <w:tcPr>
            <w:tcW w:w="6949" w:type="dxa"/>
          </w:tcPr>
          <w:p>
            <w:pPr>
              <w:ind w:firstLine="482"/>
              <w:textAlignment w:val="baseline"/>
              <w:rPr>
                <w:b/>
                <w:bCs/>
                <w:color w:val="auto"/>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3" w:hRule="atLeast"/>
          <w:jc w:val="center"/>
        </w:trPr>
        <w:tc>
          <w:tcPr>
            <w:tcW w:w="8522" w:type="dxa"/>
            <w:gridSpan w:val="2"/>
          </w:tcPr>
          <w:p>
            <w:pPr>
              <w:ind w:left="0" w:leftChars="0" w:firstLine="0" w:firstLineChars="0"/>
              <w:textAlignment w:val="baseline"/>
              <w:rPr>
                <w:b/>
                <w:bCs/>
                <w:color w:val="auto"/>
                <w:szCs w:val="24"/>
                <w:lang w:val="en-GB"/>
              </w:rPr>
            </w:pPr>
            <w:r>
              <w:rPr>
                <w:color w:val="auto"/>
                <w:szCs w:val="24"/>
              </w:rPr>
              <mc:AlternateContent>
                <mc:Choice Requires="wps">
                  <w:drawing>
                    <wp:anchor distT="0" distB="0" distL="114300" distR="114300" simplePos="0" relativeHeight="251659264" behindDoc="0" locked="0" layoutInCell="1" allowOverlap="1">
                      <wp:simplePos x="0" y="0"/>
                      <wp:positionH relativeFrom="column">
                        <wp:posOffset>4542790</wp:posOffset>
                      </wp:positionH>
                      <wp:positionV relativeFrom="paragraph">
                        <wp:posOffset>247650</wp:posOffset>
                      </wp:positionV>
                      <wp:extent cx="342900" cy="593725"/>
                      <wp:effectExtent l="0" t="0" r="635" b="0"/>
                      <wp:wrapNone/>
                      <wp:docPr id="8" name="文本框 28"/>
                      <wp:cNvGraphicFramePr/>
                      <a:graphic xmlns:a="http://schemas.openxmlformats.org/drawingml/2006/main">
                        <a:graphicData uri="http://schemas.microsoft.com/office/word/2010/wordprocessingShape">
                          <wps:wsp>
                            <wps:cNvSpPr txBox="1">
                              <a:spLocks noChangeArrowheads="1"/>
                            </wps:cNvSpPr>
                            <wps:spPr bwMode="auto">
                              <a:xfrm>
                                <a:off x="0" y="0"/>
                                <a:ext cx="342900" cy="593725"/>
                              </a:xfrm>
                              <a:prstGeom prst="rect">
                                <a:avLst/>
                              </a:prstGeom>
                              <a:noFill/>
                              <a:ln>
                                <a:noFill/>
                              </a:ln>
                            </wps:spPr>
                            <wps:txbx>
                              <w:txbxContent>
                                <w:p>
                                  <w:pPr>
                                    <w:ind w:firstLine="482"/>
                                    <w:rPr>
                                      <w:b/>
                                      <w:bCs/>
                                    </w:rPr>
                                  </w:pPr>
                                </w:p>
                              </w:txbxContent>
                            </wps:txbx>
                            <wps:bodyPr rot="0" vert="horz" wrap="square" lIns="91440" tIns="45720" rIns="91440" bIns="45720" anchor="t" anchorCtr="0" upright="1">
                              <a:noAutofit/>
                            </wps:bodyPr>
                          </wps:wsp>
                        </a:graphicData>
                      </a:graphic>
                    </wp:anchor>
                  </w:drawing>
                </mc:Choice>
                <mc:Fallback>
                  <w:pict>
                    <v:shape id="文本框 28" o:spid="_x0000_s1026" o:spt="202" type="#_x0000_t202" style="position:absolute;left:0pt;margin-left:357.7pt;margin-top:19.5pt;height:46.75pt;width:27pt;z-index:251659264;mso-width-relative:page;mso-height-relative:page;" filled="f" stroked="f" coordsize="21600,21600" o:gfxdata="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i/+E81wAAAAoBAAAPAAAAAAAAAAEAIAAAADgAAABkcnMvZG93bnJldi54bWxQSwEC&#10;FAAUAAAACACHTuJAYvOu3RgCAAAVBAAADgAAAAAAAAABACAAAAA8AQAAZHJzL2Uyb0RvYy54bWxQ&#10;SwUGAAAAAAYABgBZAQAAxgUAAAAA&#10;">
                      <v:fill on="f" focussize="0,0"/>
                      <v:stroke on="f"/>
                      <v:imagedata o:title=""/>
                      <o:lock v:ext="edit" aspectratio="f"/>
                      <v:textbox>
                        <w:txbxContent>
                          <w:p>
                            <w:pPr>
                              <w:ind w:firstLine="482"/>
                              <w:rPr>
                                <w:b/>
                                <w:bCs/>
                              </w:rPr>
                            </w:pPr>
                          </w:p>
                        </w:txbxContent>
                      </v:textbox>
                    </v:shape>
                  </w:pict>
                </mc:Fallback>
              </mc:AlternateContent>
            </w:r>
            <w:r>
              <w:rPr>
                <w:b/>
                <w:bCs/>
                <w:color w:val="auto"/>
                <w:szCs w:val="24"/>
                <w:lang w:val="en-GB"/>
              </w:rPr>
              <w:t>现场踏勘图：</w:t>
            </w:r>
          </w:p>
        </w:tc>
      </w:tr>
    </w:tbl>
    <w:p>
      <w:pPr>
        <w:ind w:firstLine="442"/>
        <w:textAlignment w:val="baseline"/>
        <w:rPr>
          <w:b/>
          <w:bCs/>
          <w:color w:val="auto"/>
          <w:sz w:val="22"/>
          <w:lang w:val="en-GB"/>
        </w:rPr>
      </w:pPr>
    </w:p>
    <w:p>
      <w:pPr>
        <w:ind w:firstLine="442"/>
        <w:textAlignment w:val="baseline"/>
        <w:rPr>
          <w:b/>
          <w:bCs/>
          <w:color w:val="auto"/>
          <w:sz w:val="22"/>
          <w:lang w:val="en-GB"/>
        </w:rPr>
      </w:pPr>
      <w:r>
        <w:rPr>
          <w:b/>
          <w:bCs/>
          <w:color w:val="auto"/>
          <w:sz w:val="22"/>
          <w:lang w:val="en-GB"/>
        </w:rPr>
        <w:t>填表人：</w:t>
      </w:r>
    </w:p>
    <w:p>
      <w:pPr>
        <w:ind w:firstLine="442"/>
        <w:textAlignment w:val="baseline"/>
        <w:rPr>
          <w:b/>
          <w:bCs/>
          <w:color w:val="auto"/>
          <w:sz w:val="22"/>
          <w:lang w:val="en-GB"/>
        </w:rPr>
      </w:pPr>
      <w:r>
        <w:rPr>
          <w:b/>
          <w:bCs/>
          <w:color w:val="auto"/>
          <w:sz w:val="22"/>
          <w:lang w:val="en-GB"/>
        </w:rPr>
        <w:t>时间：</w:t>
      </w:r>
    </w:p>
    <w:p>
      <w:pPr>
        <w:ind w:firstLine="480"/>
        <w:textAlignment w:val="baseline"/>
        <w:rPr>
          <w:color w:val="auto"/>
          <w:szCs w:val="24"/>
          <w:lang w:val="en-GB"/>
        </w:rPr>
      </w:pPr>
    </w:p>
    <w:bookmarkEnd w:id="133"/>
    <w:bookmarkEnd w:id="134"/>
    <w:p>
      <w:pPr>
        <w:pStyle w:val="2"/>
        <w:jc w:val="both"/>
        <w:rPr>
          <w:color w:val="auto"/>
          <w:sz w:val="28"/>
          <w:szCs w:val="28"/>
        </w:rPr>
      </w:pPr>
      <w:bookmarkStart w:id="148" w:name="_Toc523220139"/>
      <w:bookmarkStart w:id="149" w:name="_Toc527026600"/>
      <w:bookmarkStart w:id="150" w:name="_Toc522893266"/>
      <w:bookmarkStart w:id="151" w:name="_Toc529453142"/>
      <w:bookmarkStart w:id="152" w:name="_Toc21644"/>
      <w:bookmarkStart w:id="153" w:name="_Toc523153570"/>
      <w:bookmarkStart w:id="154" w:name="_Toc523223383"/>
      <w:bookmarkStart w:id="155" w:name="_Toc1281"/>
      <w:bookmarkStart w:id="156" w:name="_Toc523223923"/>
      <w:bookmarkStart w:id="157" w:name="_Toc528234278"/>
      <w:bookmarkStart w:id="158" w:name="_Toc529453296"/>
      <w:bookmarkStart w:id="159" w:name="_Toc523219335"/>
      <w:bookmarkStart w:id="160" w:name="_Toc523219624"/>
      <w:bookmarkStart w:id="161" w:name="_Toc25952"/>
      <w:r>
        <w:rPr>
          <w:color w:val="auto"/>
          <w:sz w:val="28"/>
          <w:szCs w:val="28"/>
        </w:rPr>
        <w:t>附件</w:t>
      </w:r>
      <w:bookmarkStart w:id="162" w:name="_Toc385799965"/>
      <w:r>
        <w:rPr>
          <w:color w:val="auto"/>
          <w:sz w:val="28"/>
          <w:szCs w:val="28"/>
        </w:rPr>
        <w:t>1</w:t>
      </w:r>
      <w:bookmarkEnd w:id="135"/>
      <w:bookmarkEnd w:id="148"/>
      <w:bookmarkEnd w:id="149"/>
      <w:bookmarkEnd w:id="150"/>
      <w:bookmarkEnd w:id="151"/>
      <w:bookmarkEnd w:id="152"/>
      <w:bookmarkEnd w:id="153"/>
      <w:bookmarkEnd w:id="154"/>
      <w:bookmarkEnd w:id="155"/>
      <w:bookmarkEnd w:id="156"/>
      <w:bookmarkEnd w:id="157"/>
      <w:bookmarkEnd w:id="158"/>
      <w:bookmarkEnd w:id="159"/>
      <w:bookmarkEnd w:id="160"/>
      <w:bookmarkEnd w:id="162"/>
      <w:r>
        <w:rPr>
          <w:rFonts w:hint="eastAsia"/>
          <w:color w:val="auto"/>
          <w:sz w:val="28"/>
          <w:szCs w:val="28"/>
          <w:lang w:val="en-US" w:eastAsia="zh-CN"/>
        </w:rPr>
        <w:t xml:space="preserve">0 </w:t>
      </w:r>
      <w:r>
        <w:rPr>
          <w:color w:val="auto"/>
          <w:sz w:val="28"/>
          <w:szCs w:val="28"/>
        </w:rPr>
        <w:t>水源地</w:t>
      </w:r>
      <w:r>
        <w:rPr>
          <w:rFonts w:hint="eastAsia"/>
          <w:color w:val="auto"/>
          <w:sz w:val="28"/>
          <w:szCs w:val="28"/>
          <w:lang w:eastAsia="zh-CN"/>
        </w:rPr>
        <w:t>突发生态环境事件</w:t>
      </w:r>
      <w:r>
        <w:rPr>
          <w:color w:val="auto"/>
          <w:sz w:val="28"/>
          <w:szCs w:val="28"/>
        </w:rPr>
        <w:t>信息报送内容</w:t>
      </w:r>
      <w:bookmarkEnd w:id="161"/>
    </w:p>
    <w:tbl>
      <w:tblPr>
        <w:tblStyle w:val="42"/>
        <w:tblW w:w="8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4"/>
        <w:gridCol w:w="6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blHeader/>
          <w:jc w:val="center"/>
        </w:trPr>
        <w:tc>
          <w:tcPr>
            <w:tcW w:w="2134" w:type="dxa"/>
            <w:vAlign w:val="center"/>
          </w:tcPr>
          <w:p>
            <w:pPr>
              <w:spacing w:line="360" w:lineRule="auto"/>
              <w:ind w:firstLine="0" w:firstLineChars="0"/>
              <w:jc w:val="center"/>
              <w:rPr>
                <w:b/>
                <w:color w:val="auto"/>
                <w:kern w:val="0"/>
                <w:szCs w:val="24"/>
              </w:rPr>
            </w:pPr>
            <w:r>
              <w:rPr>
                <w:b/>
                <w:color w:val="auto"/>
                <w:kern w:val="0"/>
                <w:szCs w:val="24"/>
              </w:rPr>
              <w:t>项目</w:t>
            </w:r>
          </w:p>
        </w:tc>
        <w:tc>
          <w:tcPr>
            <w:tcW w:w="6425" w:type="dxa"/>
            <w:vAlign w:val="center"/>
          </w:tcPr>
          <w:p>
            <w:pPr>
              <w:spacing w:line="360" w:lineRule="auto"/>
              <w:ind w:firstLine="0" w:firstLineChars="0"/>
              <w:jc w:val="center"/>
              <w:rPr>
                <w:b/>
                <w:color w:val="auto"/>
                <w:kern w:val="0"/>
                <w:szCs w:val="24"/>
              </w:rPr>
            </w:pPr>
            <w:r>
              <w:rPr>
                <w:b/>
                <w:color w:val="auto"/>
                <w:kern w:val="0"/>
                <w:szCs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2134" w:type="dxa"/>
            <w:vAlign w:val="center"/>
          </w:tcPr>
          <w:p>
            <w:pPr>
              <w:spacing w:line="360" w:lineRule="auto"/>
              <w:ind w:firstLine="0" w:firstLineChars="0"/>
              <w:jc w:val="center"/>
              <w:rPr>
                <w:color w:val="auto"/>
                <w:kern w:val="0"/>
                <w:szCs w:val="24"/>
              </w:rPr>
            </w:pPr>
            <w:r>
              <w:rPr>
                <w:color w:val="auto"/>
                <w:kern w:val="0"/>
                <w:szCs w:val="24"/>
              </w:rPr>
              <w:t>现场信息</w:t>
            </w:r>
          </w:p>
        </w:tc>
        <w:tc>
          <w:tcPr>
            <w:tcW w:w="6425" w:type="dxa"/>
            <w:vAlign w:val="center"/>
          </w:tcPr>
          <w:p>
            <w:pPr>
              <w:spacing w:line="360" w:lineRule="auto"/>
              <w:ind w:firstLine="0" w:firstLineChars="0"/>
              <w:jc w:val="both"/>
              <w:rPr>
                <w:color w:val="auto"/>
                <w:kern w:val="0"/>
                <w:szCs w:val="24"/>
              </w:rPr>
            </w:pPr>
            <w:r>
              <w:rPr>
                <w:color w:val="auto"/>
                <w:kern w:val="0"/>
                <w:szCs w:val="24"/>
              </w:rPr>
              <w:t>报告时间；现场联系人、报告人及联系方式。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2134" w:type="dxa"/>
            <w:vAlign w:val="center"/>
          </w:tcPr>
          <w:p>
            <w:pPr>
              <w:spacing w:line="360" w:lineRule="auto"/>
              <w:ind w:firstLine="0" w:firstLineChars="0"/>
              <w:jc w:val="center"/>
              <w:rPr>
                <w:color w:val="auto"/>
                <w:kern w:val="0"/>
                <w:szCs w:val="24"/>
              </w:rPr>
            </w:pPr>
            <w:r>
              <w:rPr>
                <w:color w:val="auto"/>
                <w:kern w:val="0"/>
                <w:szCs w:val="24"/>
              </w:rPr>
              <w:t>事件基本信息</w:t>
            </w:r>
          </w:p>
        </w:tc>
        <w:tc>
          <w:tcPr>
            <w:tcW w:w="6425" w:type="dxa"/>
            <w:vAlign w:val="center"/>
          </w:tcPr>
          <w:p>
            <w:pPr>
              <w:spacing w:line="360" w:lineRule="auto"/>
              <w:ind w:firstLine="0" w:firstLineChars="0"/>
              <w:rPr>
                <w:color w:val="auto"/>
                <w:szCs w:val="24"/>
              </w:rPr>
            </w:pPr>
            <w:r>
              <w:rPr>
                <w:color w:val="auto"/>
                <w:kern w:val="0"/>
                <w:szCs w:val="24"/>
              </w:rPr>
              <w:t>事件类型、发生地点、发生时间、污染源、泄漏数量、财产损失、人员伤亡、事故原因、事故进展。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jc w:val="center"/>
        </w:trPr>
        <w:tc>
          <w:tcPr>
            <w:tcW w:w="2134" w:type="dxa"/>
            <w:vAlign w:val="center"/>
          </w:tcPr>
          <w:p>
            <w:pPr>
              <w:spacing w:line="360" w:lineRule="auto"/>
              <w:ind w:firstLine="0" w:firstLineChars="0"/>
              <w:jc w:val="center"/>
              <w:rPr>
                <w:color w:val="auto"/>
                <w:kern w:val="0"/>
                <w:szCs w:val="24"/>
              </w:rPr>
            </w:pPr>
            <w:r>
              <w:rPr>
                <w:color w:val="auto"/>
                <w:kern w:val="0"/>
                <w:szCs w:val="24"/>
              </w:rPr>
              <w:t>现场勘察情况</w:t>
            </w:r>
          </w:p>
        </w:tc>
        <w:tc>
          <w:tcPr>
            <w:tcW w:w="6425" w:type="dxa"/>
            <w:vAlign w:val="center"/>
          </w:tcPr>
          <w:p>
            <w:pPr>
              <w:spacing w:line="360" w:lineRule="auto"/>
              <w:ind w:firstLine="0" w:firstLineChars="0"/>
              <w:rPr>
                <w:color w:val="auto"/>
                <w:szCs w:val="24"/>
              </w:rPr>
            </w:pPr>
            <w:r>
              <w:rPr>
                <w:color w:val="auto"/>
                <w:kern w:val="0"/>
                <w:szCs w:val="24"/>
              </w:rPr>
              <w:t>1.饮用水源地状况：分布情况（离事发地距离）、供水范围（每日供水量、影响人口量）；</w:t>
            </w:r>
          </w:p>
          <w:p>
            <w:pPr>
              <w:spacing w:line="360" w:lineRule="auto"/>
              <w:ind w:firstLine="0" w:firstLineChars="0"/>
              <w:rPr>
                <w:color w:val="auto"/>
                <w:szCs w:val="24"/>
              </w:rPr>
            </w:pPr>
            <w:r>
              <w:rPr>
                <w:color w:val="auto"/>
                <w:kern w:val="0"/>
                <w:szCs w:val="24"/>
              </w:rPr>
              <w:t>2.周边是否有居民点：离事发地距离；</w:t>
            </w:r>
          </w:p>
          <w:p>
            <w:pPr>
              <w:spacing w:line="360" w:lineRule="auto"/>
              <w:ind w:firstLine="0" w:firstLineChars="0"/>
              <w:rPr>
                <w:color w:val="auto"/>
                <w:szCs w:val="24"/>
              </w:rPr>
            </w:pPr>
            <w:r>
              <w:rPr>
                <w:color w:val="auto"/>
                <w:kern w:val="0"/>
                <w:szCs w:val="24"/>
              </w:rPr>
              <w:t>3.水文、气象条件：流速、风速。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2134" w:type="dxa"/>
            <w:vAlign w:val="center"/>
          </w:tcPr>
          <w:p>
            <w:pPr>
              <w:spacing w:line="360" w:lineRule="auto"/>
              <w:ind w:firstLine="0" w:firstLineChars="0"/>
              <w:jc w:val="center"/>
              <w:rPr>
                <w:color w:val="auto"/>
                <w:kern w:val="0"/>
                <w:szCs w:val="24"/>
              </w:rPr>
            </w:pPr>
            <w:r>
              <w:rPr>
                <w:color w:val="auto"/>
                <w:kern w:val="0"/>
                <w:szCs w:val="24"/>
              </w:rPr>
              <w:t>现场监测情况</w:t>
            </w:r>
          </w:p>
        </w:tc>
        <w:tc>
          <w:tcPr>
            <w:tcW w:w="6425" w:type="dxa"/>
            <w:vAlign w:val="center"/>
          </w:tcPr>
          <w:p>
            <w:pPr>
              <w:spacing w:line="360" w:lineRule="auto"/>
              <w:ind w:firstLine="0" w:firstLineChars="0"/>
              <w:jc w:val="both"/>
              <w:rPr>
                <w:color w:val="auto"/>
                <w:kern w:val="0"/>
                <w:szCs w:val="24"/>
              </w:rPr>
            </w:pPr>
            <w:r>
              <w:rPr>
                <w:color w:val="auto"/>
                <w:kern w:val="0"/>
                <w:szCs w:val="24"/>
              </w:rPr>
              <w:t>监测报告、监测点位图</w:t>
            </w:r>
          </w:p>
          <w:p>
            <w:pPr>
              <w:spacing w:line="360" w:lineRule="auto"/>
              <w:ind w:firstLine="0" w:firstLineChars="0"/>
              <w:jc w:val="both"/>
              <w:rPr>
                <w:color w:val="auto"/>
                <w:kern w:val="0"/>
                <w:szCs w:val="24"/>
              </w:rPr>
            </w:pPr>
            <w:r>
              <w:rPr>
                <w:color w:val="auto"/>
                <w:kern w:val="0"/>
                <w:szCs w:val="24"/>
              </w:rPr>
              <w:t>（关键点位离事发地及敏感区域距离）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2134" w:type="dxa"/>
            <w:vAlign w:val="center"/>
          </w:tcPr>
          <w:p>
            <w:pPr>
              <w:spacing w:line="360" w:lineRule="auto"/>
              <w:ind w:firstLine="0" w:firstLineChars="0"/>
              <w:jc w:val="center"/>
              <w:rPr>
                <w:color w:val="auto"/>
                <w:kern w:val="0"/>
                <w:szCs w:val="24"/>
              </w:rPr>
            </w:pPr>
            <w:r>
              <w:rPr>
                <w:color w:val="auto"/>
                <w:kern w:val="0"/>
                <w:szCs w:val="24"/>
              </w:rPr>
              <w:t>应急处置措施</w:t>
            </w:r>
          </w:p>
        </w:tc>
        <w:tc>
          <w:tcPr>
            <w:tcW w:w="6425" w:type="dxa"/>
            <w:vAlign w:val="center"/>
          </w:tcPr>
          <w:p>
            <w:pPr>
              <w:spacing w:line="360" w:lineRule="auto"/>
              <w:ind w:firstLine="0" w:firstLineChars="0"/>
              <w:jc w:val="both"/>
              <w:rPr>
                <w:color w:val="auto"/>
                <w:kern w:val="0"/>
                <w:szCs w:val="24"/>
              </w:rPr>
            </w:pPr>
            <w:r>
              <w:rPr>
                <w:color w:val="auto"/>
                <w:kern w:val="0"/>
                <w:szCs w:val="24"/>
              </w:rPr>
              <w:t>政府和生态环境部门采取的措施</w:t>
            </w:r>
          </w:p>
        </w:tc>
      </w:tr>
    </w:tbl>
    <w:p>
      <w:pPr>
        <w:ind w:firstLine="480"/>
        <w:textAlignment w:val="baseline"/>
        <w:rPr>
          <w:color w:val="auto"/>
          <w:szCs w:val="24"/>
          <w:lang w:val="en-GB"/>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bookmarkStart w:id="163" w:name="_Toc522893267"/>
      <w:bookmarkStart w:id="164" w:name="_Toc15854"/>
    </w:p>
    <w:bookmarkEnd w:id="76"/>
    <w:bookmarkEnd w:id="163"/>
    <w:bookmarkEnd w:id="164"/>
    <w:p>
      <w:pPr>
        <w:pStyle w:val="2"/>
        <w:jc w:val="both"/>
        <w:rPr>
          <w:color w:val="auto"/>
          <w:sz w:val="28"/>
          <w:szCs w:val="28"/>
        </w:rPr>
      </w:pPr>
      <w:bookmarkStart w:id="165" w:name="_Hlk522028939"/>
      <w:bookmarkEnd w:id="165"/>
      <w:bookmarkStart w:id="166" w:name="_Toc28489"/>
      <w:r>
        <w:rPr>
          <w:color w:val="auto"/>
          <w:sz w:val="28"/>
          <w:szCs w:val="28"/>
        </w:rPr>
        <w:t>附件1</w:t>
      </w:r>
      <w:bookmarkStart w:id="167" w:name="_Toc523223389"/>
      <w:bookmarkStart w:id="168" w:name="_Toc523220145"/>
      <w:bookmarkStart w:id="169" w:name="_Toc523219630"/>
      <w:bookmarkStart w:id="170" w:name="_Toc527026606"/>
      <w:bookmarkStart w:id="171" w:name="_Toc21825"/>
      <w:bookmarkStart w:id="172" w:name="_Toc4311"/>
      <w:bookmarkStart w:id="173" w:name="_Toc529453300"/>
      <w:bookmarkStart w:id="174" w:name="_Toc529453146"/>
      <w:bookmarkStart w:id="175" w:name="_Toc522893272"/>
      <w:bookmarkStart w:id="176" w:name="_Toc523153576"/>
      <w:bookmarkStart w:id="177" w:name="_Toc13018"/>
      <w:bookmarkStart w:id="178" w:name="_Toc523219341"/>
      <w:bookmarkStart w:id="179" w:name="_Toc523223929"/>
      <w:bookmarkStart w:id="180" w:name="_Toc528234282"/>
      <w:r>
        <w:rPr>
          <w:rFonts w:hint="eastAsia"/>
          <w:color w:val="auto"/>
          <w:sz w:val="28"/>
          <w:szCs w:val="28"/>
          <w:lang w:val="en-US" w:eastAsia="zh-CN"/>
        </w:rPr>
        <w:t xml:space="preserve">1 </w:t>
      </w:r>
      <w:r>
        <w:rPr>
          <w:color w:val="auto"/>
          <w:sz w:val="28"/>
          <w:szCs w:val="28"/>
        </w:rPr>
        <w:t>水源地</w:t>
      </w:r>
      <w:r>
        <w:rPr>
          <w:rFonts w:hint="eastAsia"/>
          <w:color w:val="auto"/>
          <w:sz w:val="28"/>
          <w:szCs w:val="28"/>
          <w:lang w:eastAsia="zh-CN"/>
        </w:rPr>
        <w:t>突发生态环境事件</w:t>
      </w:r>
      <w:r>
        <w:rPr>
          <w:color w:val="auto"/>
          <w:sz w:val="28"/>
          <w:szCs w:val="28"/>
        </w:rPr>
        <w:t>应急结束宣布格式内容</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ind w:firstLine="480"/>
        <w:textAlignment w:val="baseline"/>
        <w:rPr>
          <w:color w:val="auto"/>
          <w:szCs w:val="24"/>
          <w:lang w:val="en-GB"/>
        </w:rPr>
      </w:pPr>
    </w:p>
    <w:p>
      <w:pPr>
        <w:spacing w:line="360" w:lineRule="auto"/>
        <w:ind w:firstLine="480"/>
        <w:textAlignment w:val="baseline"/>
        <w:rPr>
          <w:color w:val="auto"/>
          <w:szCs w:val="24"/>
          <w:lang w:val="en-GB"/>
        </w:rPr>
      </w:pPr>
      <w:r>
        <w:rPr>
          <w:color w:val="auto"/>
          <w:szCs w:val="24"/>
          <w:lang w:val="en-GB"/>
        </w:rPr>
        <w:t>经过清新区人民政府和_____________专业（部门）的及时处理处置，发生在</w:t>
      </w:r>
      <w:r>
        <w:rPr>
          <w:color w:val="auto"/>
          <w:szCs w:val="24"/>
          <w:u w:val="single"/>
          <w:lang w:val="en-GB"/>
        </w:rPr>
        <w:t xml:space="preserve">  </w:t>
      </w:r>
      <w:r>
        <w:rPr>
          <w:color w:val="auto"/>
          <w:szCs w:val="24"/>
          <w:lang w:val="en-GB"/>
        </w:rPr>
        <w:t>月___日的_________________________________（地方）</w:t>
      </w:r>
      <w:r>
        <w:rPr>
          <w:vanish/>
          <w:color w:val="auto"/>
          <w:szCs w:val="24"/>
          <w:lang w:val="en-GB"/>
        </w:rPr>
        <w:t>饮用水水源地突发环境事件</w:t>
      </w:r>
      <w:r>
        <w:rPr>
          <w:color w:val="auto"/>
          <w:szCs w:val="24"/>
          <w:lang w:val="en-GB"/>
        </w:rPr>
        <w:t>救援工作基本结束，现场基本恢复，现场应急指挥部撤销，相关部门认真做好善后恢复工作。</w:t>
      </w:r>
    </w:p>
    <w:p>
      <w:pPr>
        <w:spacing w:line="360" w:lineRule="auto"/>
        <w:ind w:firstLine="480"/>
        <w:textAlignment w:val="baseline"/>
        <w:rPr>
          <w:color w:val="auto"/>
          <w:szCs w:val="24"/>
          <w:lang w:val="en-GB"/>
        </w:rPr>
      </w:pPr>
    </w:p>
    <w:p>
      <w:pPr>
        <w:spacing w:line="360" w:lineRule="auto"/>
        <w:ind w:firstLine="480"/>
        <w:textAlignment w:val="baseline"/>
        <w:rPr>
          <w:color w:val="auto"/>
          <w:szCs w:val="24"/>
          <w:lang w:val="en-GB"/>
        </w:rPr>
      </w:pPr>
    </w:p>
    <w:p>
      <w:pPr>
        <w:spacing w:line="360" w:lineRule="auto"/>
        <w:ind w:firstLine="480"/>
        <w:textAlignment w:val="baseline"/>
        <w:rPr>
          <w:color w:val="auto"/>
          <w:szCs w:val="24"/>
          <w:lang w:val="en-GB"/>
        </w:rPr>
      </w:pPr>
    </w:p>
    <w:p>
      <w:pPr>
        <w:spacing w:line="360" w:lineRule="auto"/>
        <w:ind w:right="840" w:firstLine="0" w:firstLineChars="0"/>
        <w:jc w:val="right"/>
        <w:textAlignment w:val="baseline"/>
        <w:rPr>
          <w:color w:val="auto"/>
          <w:szCs w:val="24"/>
          <w:lang w:val="en-GB"/>
        </w:rPr>
      </w:pPr>
      <w:r>
        <w:rPr>
          <w:color w:val="auto"/>
          <w:szCs w:val="24"/>
          <w:lang w:val="en-GB"/>
        </w:rPr>
        <w:t>清新区人民政府</w:t>
      </w:r>
    </w:p>
    <w:p>
      <w:pPr>
        <w:spacing w:line="360" w:lineRule="auto"/>
        <w:ind w:right="480" w:firstLine="480"/>
        <w:jc w:val="center"/>
        <w:textAlignment w:val="baseline"/>
        <w:rPr>
          <w:color w:val="auto"/>
          <w:szCs w:val="24"/>
          <w:lang w:val="en-GB"/>
        </w:rPr>
      </w:pPr>
      <w:r>
        <w:rPr>
          <w:color w:val="auto"/>
          <w:szCs w:val="24"/>
          <w:lang w:val="en-GB"/>
        </w:rPr>
        <w:t xml:space="preserve">                         </w:t>
      </w:r>
      <w:r>
        <w:rPr>
          <w:rFonts w:hint="eastAsia"/>
          <w:color w:val="auto"/>
          <w:szCs w:val="24"/>
          <w:lang w:val="en-US" w:eastAsia="zh-CN"/>
        </w:rPr>
        <w:t xml:space="preserve">             </w:t>
      </w:r>
      <w:r>
        <w:rPr>
          <w:color w:val="auto"/>
          <w:szCs w:val="24"/>
          <w:lang w:val="en-GB"/>
        </w:rPr>
        <w:t xml:space="preserve"> 年 月 日</w:t>
      </w:r>
    </w:p>
    <w:p>
      <w:pPr>
        <w:widowControl/>
        <w:spacing w:line="360" w:lineRule="auto"/>
        <w:ind w:firstLine="0" w:firstLineChars="0"/>
        <w:jc w:val="left"/>
        <w:rPr>
          <w:color w:val="auto"/>
          <w:sz w:val="32"/>
          <w:szCs w:val="32"/>
          <w:lang w:val="en-GB"/>
        </w:rPr>
      </w:pPr>
      <w:r>
        <w:rPr>
          <w:color w:val="auto"/>
          <w:sz w:val="32"/>
          <w:szCs w:val="32"/>
          <w:lang w:val="en-GB"/>
        </w:rPr>
        <w:br w:type="page"/>
      </w:r>
    </w:p>
    <w:p>
      <w:pPr>
        <w:pStyle w:val="2"/>
        <w:jc w:val="both"/>
        <w:rPr>
          <w:color w:val="auto"/>
          <w:sz w:val="28"/>
          <w:szCs w:val="28"/>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pPr>
    </w:p>
    <w:p>
      <w:pPr>
        <w:pStyle w:val="2"/>
        <w:jc w:val="both"/>
        <w:rPr>
          <w:rFonts w:hint="eastAsia"/>
          <w:color w:val="auto"/>
          <w:sz w:val="28"/>
          <w:szCs w:val="28"/>
          <w:lang w:val="en-US" w:eastAsia="zh-CN"/>
        </w:rPr>
      </w:pPr>
      <w:bookmarkStart w:id="181" w:name="_Toc28850"/>
      <w:r>
        <w:rPr>
          <w:color w:val="auto"/>
          <w:sz w:val="28"/>
          <w:szCs w:val="28"/>
        </w:rPr>
        <w:t>附件1</w:t>
      </w:r>
      <w:r>
        <w:rPr>
          <w:rFonts w:hint="eastAsia"/>
          <w:color w:val="auto"/>
          <w:sz w:val="28"/>
          <w:szCs w:val="28"/>
          <w:lang w:val="en-US" w:eastAsia="zh-CN"/>
        </w:rPr>
        <w:t>2 应急监测指标、频次和点位参考表</w:t>
      </w:r>
      <w:bookmarkEnd w:id="181"/>
    </w:p>
    <w:tbl>
      <w:tblPr>
        <w:tblStyle w:val="42"/>
        <w:tblpPr w:leftFromText="180" w:rightFromText="180" w:vertAnchor="text" w:horzAnchor="page" w:tblpX="842" w:tblpY="474"/>
        <w:tblOverlap w:val="never"/>
        <w:tblW w:w="153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04"/>
        <w:gridCol w:w="1599"/>
        <w:gridCol w:w="2566"/>
        <w:gridCol w:w="1940"/>
        <w:gridCol w:w="1529"/>
        <w:gridCol w:w="1980"/>
        <w:gridCol w:w="2186"/>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trPr>
        <w:tc>
          <w:tcPr>
            <w:tcW w:w="1604" w:type="dxa"/>
            <w:vMerge w:val="restart"/>
            <w:tcMar>
              <w:top w:w="60" w:type="dxa"/>
              <w:left w:w="120" w:type="dxa"/>
              <w:bottom w:w="30" w:type="dxa"/>
              <w:right w:w="120"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污染类型</w:t>
            </w:r>
          </w:p>
        </w:tc>
        <w:tc>
          <w:tcPr>
            <w:tcW w:w="1599" w:type="dxa"/>
            <w:vMerge w:val="restart"/>
            <w:tcMar>
              <w:top w:w="60" w:type="dxa"/>
              <w:left w:w="120" w:type="dxa"/>
              <w:bottom w:w="30" w:type="dxa"/>
              <w:right w:w="120"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细分污染场景</w:t>
            </w:r>
          </w:p>
        </w:tc>
        <w:tc>
          <w:tcPr>
            <w:tcW w:w="2566" w:type="dxa"/>
            <w:vMerge w:val="restart"/>
            <w:tcMar>
              <w:top w:w="60" w:type="dxa"/>
              <w:left w:w="120" w:type="dxa"/>
              <w:bottom w:w="30" w:type="dxa"/>
              <w:right w:w="120"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核心应急监测指标</w:t>
            </w:r>
          </w:p>
        </w:tc>
        <w:tc>
          <w:tcPr>
            <w:tcW w:w="5449" w:type="dxa"/>
            <w:gridSpan w:val="3"/>
            <w:tcMar>
              <w:top w:w="60" w:type="dxa"/>
              <w:left w:w="120" w:type="dxa"/>
              <w:bottom w:w="30" w:type="dxa"/>
              <w:right w:w="120"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监测频次（分应急阶段）</w:t>
            </w:r>
          </w:p>
        </w:tc>
        <w:tc>
          <w:tcPr>
            <w:tcW w:w="2186" w:type="dxa"/>
            <w:vMerge w:val="restart"/>
            <w:tcMar>
              <w:top w:w="60" w:type="dxa"/>
              <w:left w:w="120" w:type="dxa"/>
              <w:bottom w:w="30" w:type="dxa"/>
              <w:right w:w="120"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监测点位</w:t>
            </w:r>
          </w:p>
        </w:tc>
        <w:tc>
          <w:tcPr>
            <w:tcW w:w="1978" w:type="dxa"/>
            <w:vMerge w:val="restart"/>
            <w:tcMar>
              <w:top w:w="60" w:type="dxa"/>
              <w:left w:w="120" w:type="dxa"/>
              <w:bottom w:w="30" w:type="dxa"/>
              <w:right w:w="120"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67" w:hRule="atLeast"/>
          <w:tblHeader/>
        </w:trPr>
        <w:tc>
          <w:tcPr>
            <w:tcW w:w="1604" w:type="dxa"/>
            <w:vMerge w:val="continue"/>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center"/>
              <w:rPr>
                <w:rFonts w:hint="eastAsia" w:ascii="宋体" w:hAnsi="宋体" w:eastAsia="宋体" w:cs="宋体"/>
                <w:b/>
                <w:kern w:val="0"/>
                <w:sz w:val="21"/>
                <w:szCs w:val="21"/>
              </w:rPr>
            </w:pPr>
          </w:p>
        </w:tc>
        <w:tc>
          <w:tcPr>
            <w:tcW w:w="1599" w:type="dxa"/>
            <w:vMerge w:val="continue"/>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center"/>
              <w:rPr>
                <w:rFonts w:hint="eastAsia" w:ascii="宋体" w:hAnsi="宋体" w:eastAsia="宋体" w:cs="宋体"/>
                <w:b/>
                <w:kern w:val="0"/>
                <w:sz w:val="21"/>
                <w:szCs w:val="21"/>
              </w:rPr>
            </w:pPr>
          </w:p>
        </w:tc>
        <w:tc>
          <w:tcPr>
            <w:tcW w:w="2566" w:type="dxa"/>
            <w:vMerge w:val="continue"/>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center"/>
              <w:rPr>
                <w:rFonts w:hint="eastAsia" w:ascii="宋体" w:hAnsi="宋体" w:eastAsia="宋体" w:cs="宋体"/>
                <w:b/>
                <w:kern w:val="0"/>
                <w:sz w:val="21"/>
                <w:szCs w:val="21"/>
              </w:rPr>
            </w:pPr>
          </w:p>
        </w:tc>
        <w:tc>
          <w:tcPr>
            <w:tcW w:w="1940" w:type="dxa"/>
            <w:tcMar>
              <w:top w:w="60" w:type="dxa"/>
              <w:left w:w="120" w:type="dxa"/>
              <w:bottom w:w="30" w:type="dxa"/>
              <w:right w:w="120"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应急初期</w:t>
            </w:r>
          </w:p>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（0-4h）</w:t>
            </w:r>
          </w:p>
        </w:tc>
        <w:tc>
          <w:tcPr>
            <w:tcW w:w="1529" w:type="dxa"/>
            <w:tcMar>
              <w:top w:w="60" w:type="dxa"/>
              <w:left w:w="120" w:type="dxa"/>
              <w:bottom w:w="30" w:type="dxa"/>
              <w:right w:w="120"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应急中期</w:t>
            </w:r>
          </w:p>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（4-24h）</w:t>
            </w:r>
          </w:p>
        </w:tc>
        <w:tc>
          <w:tcPr>
            <w:tcW w:w="1980" w:type="dxa"/>
            <w:tcMar>
              <w:top w:w="60" w:type="dxa"/>
              <w:left w:w="120" w:type="dxa"/>
              <w:bottom w:w="30" w:type="dxa"/>
              <w:right w:w="120"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应急后期</w:t>
            </w:r>
          </w:p>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（24h后至完毕）</w:t>
            </w:r>
          </w:p>
        </w:tc>
        <w:tc>
          <w:tcPr>
            <w:tcW w:w="2186" w:type="dxa"/>
            <w:vMerge w:val="continue"/>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center"/>
              <w:rPr>
                <w:rFonts w:hint="eastAsia" w:ascii="宋体" w:hAnsi="宋体" w:eastAsia="宋体" w:cs="宋体"/>
                <w:b/>
                <w:kern w:val="0"/>
                <w:sz w:val="21"/>
                <w:szCs w:val="21"/>
              </w:rPr>
            </w:pPr>
          </w:p>
        </w:tc>
        <w:tc>
          <w:tcPr>
            <w:tcW w:w="1978" w:type="dxa"/>
            <w:vMerge w:val="continue"/>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center"/>
              <w:rPr>
                <w:rFonts w:hint="eastAsia" w:ascii="宋体" w:hAnsi="宋体" w:eastAsia="宋体" w:cs="宋体"/>
                <w:b/>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604" w:type="dxa"/>
            <w:vMerge w:val="restart"/>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b/>
                <w:kern w:val="0"/>
                <w:sz w:val="21"/>
                <w:szCs w:val="21"/>
              </w:rPr>
              <w:t>常规水质污染</w:t>
            </w:r>
            <w:r>
              <w:rPr>
                <w:rFonts w:hint="eastAsia" w:ascii="宋体" w:hAnsi="宋体" w:eastAsia="宋体" w:cs="宋体"/>
                <w:kern w:val="0"/>
                <w:sz w:val="21"/>
                <w:szCs w:val="21"/>
              </w:rPr>
              <w:t>（生活、一般性水体污染）</w:t>
            </w:r>
          </w:p>
        </w:tc>
        <w:tc>
          <w:tcPr>
            <w:tcW w:w="159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生活污水溢流、生活垃圾污染</w:t>
            </w:r>
          </w:p>
        </w:tc>
        <w:tc>
          <w:tcPr>
            <w:tcW w:w="256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pH值、溶解氧、氨氮、总磷、总氮、化学需氧量（COD）、悬浮物、大肠菌群、菌落总数</w:t>
            </w:r>
          </w:p>
        </w:tc>
        <w:tc>
          <w:tcPr>
            <w:tcW w:w="194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每30min</w:t>
            </w:r>
            <w:r>
              <w:rPr>
                <w:rFonts w:hint="eastAsia" w:ascii="宋体" w:hAnsi="宋体" w:eastAsia="宋体" w:cs="宋体"/>
                <w:kern w:val="0"/>
                <w:sz w:val="21"/>
                <w:szCs w:val="21"/>
                <w:lang w:val="en-US" w:eastAsia="zh-CN"/>
              </w:rPr>
              <w:t>-1h</w:t>
            </w:r>
            <w:r>
              <w:rPr>
                <w:rFonts w:hint="eastAsia" w:ascii="宋体" w:hAnsi="宋体" w:eastAsia="宋体" w:cs="宋体"/>
                <w:kern w:val="0"/>
                <w:sz w:val="21"/>
                <w:szCs w:val="21"/>
              </w:rPr>
              <w:t>/次</w:t>
            </w:r>
          </w:p>
        </w:tc>
        <w:tc>
          <w:tcPr>
            <w:tcW w:w="152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h/次</w:t>
            </w:r>
          </w:p>
        </w:tc>
        <w:tc>
          <w:tcPr>
            <w:tcW w:w="198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每天1-2次</w:t>
            </w:r>
          </w:p>
        </w:tc>
        <w:tc>
          <w:tcPr>
            <w:tcW w:w="218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水源地取水口、污染汇入断面、保护区上下游边界断面</w:t>
            </w:r>
          </w:p>
        </w:tc>
        <w:tc>
          <w:tcPr>
            <w:tcW w:w="1978"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全程同步记录水温、流速、水位，监测数据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604" w:type="dxa"/>
            <w:vMerge w:val="continue"/>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p>
        </w:tc>
        <w:tc>
          <w:tcPr>
            <w:tcW w:w="159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泥沙浑浊、水体悬浮物超标</w:t>
            </w:r>
          </w:p>
        </w:tc>
        <w:tc>
          <w:tcPr>
            <w:tcW w:w="256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pH值、悬浮物、浊度、透明度、溶解氧</w:t>
            </w:r>
          </w:p>
        </w:tc>
        <w:tc>
          <w:tcPr>
            <w:tcW w:w="194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每30min</w:t>
            </w:r>
            <w:r>
              <w:rPr>
                <w:rFonts w:hint="eastAsia" w:ascii="宋体" w:hAnsi="宋体" w:eastAsia="宋体" w:cs="宋体"/>
                <w:kern w:val="0"/>
                <w:sz w:val="21"/>
                <w:szCs w:val="21"/>
                <w:lang w:val="en-US" w:eastAsia="zh-CN"/>
              </w:rPr>
              <w:t>-1h</w:t>
            </w:r>
            <w:r>
              <w:rPr>
                <w:rFonts w:hint="eastAsia" w:ascii="宋体" w:hAnsi="宋体" w:eastAsia="宋体" w:cs="宋体"/>
                <w:kern w:val="0"/>
                <w:sz w:val="21"/>
                <w:szCs w:val="21"/>
              </w:rPr>
              <w:t>/次</w:t>
            </w:r>
          </w:p>
        </w:tc>
        <w:tc>
          <w:tcPr>
            <w:tcW w:w="152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h/次</w:t>
            </w:r>
          </w:p>
        </w:tc>
        <w:tc>
          <w:tcPr>
            <w:tcW w:w="198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每天1-2次</w:t>
            </w:r>
          </w:p>
        </w:tc>
        <w:tc>
          <w:tcPr>
            <w:tcW w:w="218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取水口、上游来水断面、保护区核心区断面</w:t>
            </w:r>
          </w:p>
        </w:tc>
        <w:tc>
          <w:tcPr>
            <w:tcW w:w="1978"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暴雨、河道冲刷引发污染，同步记录天气、水情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604" w:type="dxa"/>
            <w:vMerge w:val="continue"/>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p>
        </w:tc>
        <w:tc>
          <w:tcPr>
            <w:tcW w:w="159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异味、异色水体污染</w:t>
            </w:r>
          </w:p>
        </w:tc>
        <w:tc>
          <w:tcPr>
            <w:tcW w:w="256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pH值、色度、嗅和味、溶解氧、COD、挥发性有机物（初筛）</w:t>
            </w:r>
          </w:p>
        </w:tc>
        <w:tc>
          <w:tcPr>
            <w:tcW w:w="194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每30min</w:t>
            </w:r>
            <w:r>
              <w:rPr>
                <w:rFonts w:hint="eastAsia" w:ascii="宋体" w:hAnsi="宋体" w:eastAsia="宋体" w:cs="宋体"/>
                <w:kern w:val="0"/>
                <w:sz w:val="21"/>
                <w:szCs w:val="21"/>
                <w:lang w:val="en-US" w:eastAsia="zh-CN"/>
              </w:rPr>
              <w:t>-1h</w:t>
            </w:r>
            <w:r>
              <w:rPr>
                <w:rFonts w:hint="eastAsia" w:ascii="宋体" w:hAnsi="宋体" w:eastAsia="宋体" w:cs="宋体"/>
                <w:kern w:val="0"/>
                <w:sz w:val="21"/>
                <w:szCs w:val="21"/>
              </w:rPr>
              <w:t>/次</w:t>
            </w:r>
          </w:p>
        </w:tc>
        <w:tc>
          <w:tcPr>
            <w:tcW w:w="152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h/次</w:t>
            </w:r>
          </w:p>
        </w:tc>
        <w:tc>
          <w:tcPr>
            <w:tcW w:w="198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每天1-2次</w:t>
            </w:r>
          </w:p>
        </w:tc>
        <w:tc>
          <w:tcPr>
            <w:tcW w:w="218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取水口、污染疑似区域、上下游对照断面</w:t>
            </w:r>
          </w:p>
        </w:tc>
        <w:tc>
          <w:tcPr>
            <w:tcW w:w="1978"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无法定性污染时，开展水质全指标快速筛查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604" w:type="dxa"/>
            <w:vMerge w:val="restart"/>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b/>
                <w:kern w:val="0"/>
                <w:sz w:val="21"/>
                <w:szCs w:val="21"/>
              </w:rPr>
              <w:t>工业化学品污染</w:t>
            </w:r>
            <w:r>
              <w:rPr>
                <w:rFonts w:hint="eastAsia" w:ascii="宋体" w:hAnsi="宋体" w:eastAsia="宋体" w:cs="宋体"/>
                <w:kern w:val="0"/>
                <w:sz w:val="21"/>
                <w:szCs w:val="21"/>
              </w:rPr>
              <w:t>（突发泄漏、废水偷排）</w:t>
            </w:r>
          </w:p>
        </w:tc>
        <w:tc>
          <w:tcPr>
            <w:tcW w:w="159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重金属污染（铅、镉、汞、铬、砷等）</w:t>
            </w:r>
          </w:p>
        </w:tc>
        <w:tc>
          <w:tcPr>
            <w:tcW w:w="256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pH值、铅、镉、总汞、六价铬、总砷、铜、锌、镍</w:t>
            </w:r>
          </w:p>
        </w:tc>
        <w:tc>
          <w:tcPr>
            <w:tcW w:w="194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每30min/次（快速监测），2h内完成实验室精准检测</w:t>
            </w:r>
          </w:p>
        </w:tc>
        <w:tc>
          <w:tcPr>
            <w:tcW w:w="152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每1h/次快速监测，每</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h/次实验室复测</w:t>
            </w:r>
          </w:p>
        </w:tc>
        <w:tc>
          <w:tcPr>
            <w:tcW w:w="198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h/次，指标达标稳定后每日1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次，持续</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天</w:t>
            </w:r>
          </w:p>
        </w:tc>
        <w:tc>
          <w:tcPr>
            <w:tcW w:w="218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污染泄漏点下游、取水口、保护区边界断面</w:t>
            </w:r>
          </w:p>
        </w:tc>
        <w:tc>
          <w:tcPr>
            <w:tcW w:w="1978"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留存平行样品备查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604" w:type="dxa"/>
            <w:vMerge w:val="continue"/>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p>
        </w:tc>
        <w:tc>
          <w:tcPr>
            <w:tcW w:w="159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有机溶剂泄漏</w:t>
            </w:r>
          </w:p>
        </w:tc>
        <w:tc>
          <w:tcPr>
            <w:tcW w:w="256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苯、甲苯、二甲苯、三氯甲烷</w:t>
            </w:r>
            <w:r>
              <w:rPr>
                <w:rFonts w:hint="eastAsia" w:ascii="宋体" w:hAnsi="宋体" w:eastAsia="宋体" w:cs="宋体"/>
                <w:kern w:val="0"/>
                <w:sz w:val="21"/>
                <w:szCs w:val="21"/>
                <w:lang w:val="en-US" w:eastAsia="zh-CN"/>
              </w:rPr>
              <w:t>等特征污染物指标</w:t>
            </w:r>
            <w:r>
              <w:rPr>
                <w:rFonts w:hint="eastAsia" w:ascii="宋体" w:hAnsi="宋体" w:eastAsia="宋体" w:cs="宋体"/>
                <w:kern w:val="0"/>
                <w:sz w:val="21"/>
                <w:szCs w:val="21"/>
              </w:rPr>
              <w:t>、COD</w:t>
            </w:r>
          </w:p>
        </w:tc>
        <w:tc>
          <w:tcPr>
            <w:tcW w:w="194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每30min</w:t>
            </w:r>
            <w:r>
              <w:rPr>
                <w:rFonts w:hint="eastAsia" w:ascii="宋体" w:hAnsi="宋体" w:eastAsia="宋体" w:cs="宋体"/>
                <w:kern w:val="0"/>
                <w:sz w:val="21"/>
                <w:szCs w:val="21"/>
                <w:lang w:val="en-US" w:eastAsia="zh-CN"/>
              </w:rPr>
              <w:t>-1h</w:t>
            </w:r>
            <w:r>
              <w:rPr>
                <w:rFonts w:hint="eastAsia" w:ascii="宋体" w:hAnsi="宋体" w:eastAsia="宋体" w:cs="宋体"/>
                <w:kern w:val="0"/>
                <w:sz w:val="21"/>
                <w:szCs w:val="21"/>
              </w:rPr>
              <w:t>/次快速筛查</w:t>
            </w:r>
          </w:p>
        </w:tc>
        <w:tc>
          <w:tcPr>
            <w:tcW w:w="152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h/次精准监测</w:t>
            </w:r>
          </w:p>
        </w:tc>
        <w:tc>
          <w:tcPr>
            <w:tcW w:w="198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h/次，指标未检出后持续监测</w:t>
            </w:r>
            <w:r>
              <w:rPr>
                <w:rFonts w:hint="eastAsia" w:ascii="宋体" w:hAnsi="宋体" w:eastAsia="宋体" w:cs="宋体"/>
                <w:kern w:val="0"/>
                <w:sz w:val="21"/>
                <w:szCs w:val="21"/>
                <w:lang w:val="en-US" w:eastAsia="zh-CN"/>
              </w:rPr>
              <w:t>2天</w:t>
            </w:r>
            <w:r>
              <w:rPr>
                <w:rFonts w:hint="eastAsia" w:ascii="宋体" w:hAnsi="宋体" w:eastAsia="宋体" w:cs="宋体"/>
                <w:kern w:val="0"/>
                <w:sz w:val="21"/>
                <w:szCs w:val="21"/>
              </w:rPr>
              <w:t>h</w:t>
            </w:r>
          </w:p>
        </w:tc>
        <w:tc>
          <w:tcPr>
            <w:tcW w:w="218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泄漏扩散区域、取水口表层水体、下风向空气（辅助监测）</w:t>
            </w:r>
          </w:p>
        </w:tc>
        <w:tc>
          <w:tcPr>
            <w:tcW w:w="1978"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同步监测周边空气污染物，防范挥发气体人身伤害风险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604" w:type="dxa"/>
            <w:vMerge w:val="continue"/>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p>
        </w:tc>
        <w:tc>
          <w:tcPr>
            <w:tcW w:w="159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酸碱类废液泄漏</w:t>
            </w:r>
          </w:p>
        </w:tc>
        <w:tc>
          <w:tcPr>
            <w:tcW w:w="256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pH值、酸碱度、溶解氧、COD、电导率、总硬度</w:t>
            </w:r>
          </w:p>
        </w:tc>
        <w:tc>
          <w:tcPr>
            <w:tcW w:w="194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每30min</w:t>
            </w:r>
            <w:r>
              <w:rPr>
                <w:rFonts w:hint="eastAsia" w:ascii="宋体" w:hAnsi="宋体" w:eastAsia="宋体" w:cs="宋体"/>
                <w:kern w:val="0"/>
                <w:sz w:val="21"/>
                <w:szCs w:val="21"/>
                <w:lang w:val="en-US" w:eastAsia="zh-CN"/>
              </w:rPr>
              <w:t>-1h</w:t>
            </w:r>
            <w:r>
              <w:rPr>
                <w:rFonts w:hint="eastAsia" w:ascii="宋体" w:hAnsi="宋体" w:eastAsia="宋体" w:cs="宋体"/>
                <w:kern w:val="0"/>
                <w:sz w:val="21"/>
                <w:szCs w:val="21"/>
              </w:rPr>
              <w:t>/次</w:t>
            </w:r>
          </w:p>
        </w:tc>
        <w:tc>
          <w:tcPr>
            <w:tcW w:w="152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h/次</w:t>
            </w:r>
          </w:p>
        </w:tc>
        <w:tc>
          <w:tcPr>
            <w:tcW w:w="198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h/次，每天1-2次</w:t>
            </w:r>
          </w:p>
        </w:tc>
        <w:tc>
          <w:tcPr>
            <w:tcW w:w="218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废液入水体断面、取水口、上下游缓冲断面</w:t>
            </w:r>
          </w:p>
        </w:tc>
        <w:tc>
          <w:tcPr>
            <w:tcW w:w="1978"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重点监控pH极端波动，配合中和处置实时调整监测频次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604" w:type="dxa"/>
            <w:vMerge w:val="continue"/>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p>
        </w:tc>
        <w:tc>
          <w:tcPr>
            <w:tcW w:w="159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石油类污染（柴油、机油、泄漏）</w:t>
            </w:r>
          </w:p>
        </w:tc>
        <w:tc>
          <w:tcPr>
            <w:tcW w:w="256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pH值、石油类、动植物油、溶解氧、COD、悬浮物</w:t>
            </w:r>
          </w:p>
        </w:tc>
        <w:tc>
          <w:tcPr>
            <w:tcW w:w="194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每30min</w:t>
            </w:r>
            <w:r>
              <w:rPr>
                <w:rFonts w:hint="eastAsia" w:ascii="宋体" w:hAnsi="宋体" w:eastAsia="宋体" w:cs="宋体"/>
                <w:kern w:val="0"/>
                <w:sz w:val="21"/>
                <w:szCs w:val="21"/>
                <w:lang w:val="en-US" w:eastAsia="zh-CN"/>
              </w:rPr>
              <w:t>-1h</w:t>
            </w:r>
            <w:r>
              <w:rPr>
                <w:rFonts w:hint="eastAsia" w:ascii="宋体" w:hAnsi="宋体" w:eastAsia="宋体" w:cs="宋体"/>
                <w:kern w:val="0"/>
                <w:sz w:val="21"/>
                <w:szCs w:val="21"/>
              </w:rPr>
              <w:t>/次</w:t>
            </w:r>
          </w:p>
        </w:tc>
        <w:tc>
          <w:tcPr>
            <w:tcW w:w="152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h/次</w:t>
            </w:r>
          </w:p>
        </w:tc>
        <w:tc>
          <w:tcPr>
            <w:tcW w:w="198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h/次，油膜消除、指标达标后每日1次</w:t>
            </w:r>
          </w:p>
        </w:tc>
        <w:tc>
          <w:tcPr>
            <w:tcW w:w="218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浮油聚集区域、取水口表层水体、下游扩散断面</w:t>
            </w:r>
          </w:p>
        </w:tc>
        <w:tc>
          <w:tcPr>
            <w:tcW w:w="1978"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表层水体重点采样，防范油膜覆盖导致水体缺氧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604" w:type="dxa"/>
            <w:vMerge w:val="restart"/>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b/>
                <w:kern w:val="0"/>
                <w:sz w:val="21"/>
                <w:szCs w:val="21"/>
              </w:rPr>
              <w:t>农业面源污染</w:t>
            </w:r>
          </w:p>
        </w:tc>
        <w:tc>
          <w:tcPr>
            <w:tcW w:w="159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农药、除草剂泄漏/流失</w:t>
            </w:r>
          </w:p>
        </w:tc>
        <w:tc>
          <w:tcPr>
            <w:tcW w:w="256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pH值、有机磷农药、菊酯类农药、百草枯</w:t>
            </w:r>
            <w:r>
              <w:rPr>
                <w:rFonts w:hint="eastAsia" w:ascii="宋体" w:hAnsi="宋体" w:eastAsia="宋体" w:cs="宋体"/>
                <w:kern w:val="0"/>
                <w:sz w:val="21"/>
                <w:szCs w:val="21"/>
                <w:lang w:val="en-US" w:eastAsia="zh-CN"/>
              </w:rPr>
              <w:t>等农药特征污染物指标</w:t>
            </w:r>
            <w:r>
              <w:rPr>
                <w:rFonts w:hint="eastAsia" w:ascii="宋体" w:hAnsi="宋体" w:eastAsia="宋体" w:cs="宋体"/>
                <w:kern w:val="0"/>
                <w:sz w:val="21"/>
                <w:szCs w:val="21"/>
              </w:rPr>
              <w:t>、氨氮、总磷、COD</w:t>
            </w:r>
          </w:p>
        </w:tc>
        <w:tc>
          <w:tcPr>
            <w:tcW w:w="194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每30min</w:t>
            </w:r>
            <w:r>
              <w:rPr>
                <w:rFonts w:hint="eastAsia" w:ascii="宋体" w:hAnsi="宋体" w:eastAsia="宋体" w:cs="宋体"/>
                <w:kern w:val="0"/>
                <w:sz w:val="21"/>
                <w:szCs w:val="21"/>
                <w:lang w:val="en-US" w:eastAsia="zh-CN"/>
              </w:rPr>
              <w:t>-1h</w:t>
            </w:r>
            <w:r>
              <w:rPr>
                <w:rFonts w:hint="eastAsia" w:ascii="宋体" w:hAnsi="宋体" w:eastAsia="宋体" w:cs="宋体"/>
                <w:kern w:val="0"/>
                <w:sz w:val="21"/>
                <w:szCs w:val="21"/>
              </w:rPr>
              <w:t>/次</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快速监测</w:t>
            </w:r>
          </w:p>
        </w:tc>
        <w:tc>
          <w:tcPr>
            <w:tcW w:w="152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h/次</w:t>
            </w:r>
          </w:p>
        </w:tc>
        <w:tc>
          <w:tcPr>
            <w:tcW w:w="198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h/次，指标达标后每日1次，持续</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天</w:t>
            </w:r>
          </w:p>
        </w:tc>
        <w:tc>
          <w:tcPr>
            <w:tcW w:w="218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农田排水入河断面、水源地上游、取水口</w:t>
            </w:r>
          </w:p>
        </w:tc>
        <w:tc>
          <w:tcPr>
            <w:tcW w:w="1978"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留存平行样品备查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604" w:type="dxa"/>
            <w:vMerge w:val="continue"/>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p>
        </w:tc>
        <w:tc>
          <w:tcPr>
            <w:tcW w:w="159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化肥流失、畜禽养殖废水污染</w:t>
            </w:r>
          </w:p>
        </w:tc>
        <w:tc>
          <w:tcPr>
            <w:tcW w:w="256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氨氮、总磷、总氮、亚硝酸盐氮、COD、BOD₅、溶解氧、大肠菌群</w:t>
            </w:r>
          </w:p>
        </w:tc>
        <w:tc>
          <w:tcPr>
            <w:tcW w:w="194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每30min</w:t>
            </w:r>
            <w:r>
              <w:rPr>
                <w:rFonts w:hint="eastAsia" w:ascii="宋体" w:hAnsi="宋体" w:eastAsia="宋体" w:cs="宋体"/>
                <w:kern w:val="0"/>
                <w:sz w:val="21"/>
                <w:szCs w:val="21"/>
                <w:lang w:val="en-US" w:eastAsia="zh-CN"/>
              </w:rPr>
              <w:t>-1h</w:t>
            </w:r>
            <w:r>
              <w:rPr>
                <w:rFonts w:hint="eastAsia" w:ascii="宋体" w:hAnsi="宋体" w:eastAsia="宋体" w:cs="宋体"/>
                <w:kern w:val="0"/>
                <w:sz w:val="21"/>
                <w:szCs w:val="21"/>
              </w:rPr>
              <w:t>/次</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快速监测</w:t>
            </w:r>
          </w:p>
        </w:tc>
        <w:tc>
          <w:tcPr>
            <w:tcW w:w="152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h/次</w:t>
            </w:r>
          </w:p>
        </w:tc>
        <w:tc>
          <w:tcPr>
            <w:tcW w:w="198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每4h/次，指标达标后每日1次，持续</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天</w:t>
            </w:r>
          </w:p>
        </w:tc>
        <w:tc>
          <w:tcPr>
            <w:tcW w:w="218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污染汇入支流断面、取水口、核心保护区断面</w:t>
            </w:r>
          </w:p>
        </w:tc>
        <w:tc>
          <w:tcPr>
            <w:tcW w:w="1978"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汛期、雨季重点加密监测，防范大面积面源污染扩散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604"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b/>
                <w:kern w:val="0"/>
                <w:sz w:val="21"/>
                <w:szCs w:val="21"/>
              </w:rPr>
              <w:t>生物性污染</w:t>
            </w:r>
          </w:p>
        </w:tc>
        <w:tc>
          <w:tcPr>
            <w:tcW w:w="159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病原体污染、畜禽尸体、水体生物异常死亡</w:t>
            </w:r>
          </w:p>
        </w:tc>
        <w:tc>
          <w:tcPr>
            <w:tcW w:w="256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总大肠菌群、粪大肠菌群、肠道致病菌、菌落总数、溶解氧、氨氮、COD</w:t>
            </w:r>
          </w:p>
        </w:tc>
        <w:tc>
          <w:tcPr>
            <w:tcW w:w="194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每30min</w:t>
            </w:r>
            <w:r>
              <w:rPr>
                <w:rFonts w:hint="eastAsia" w:ascii="宋体" w:hAnsi="宋体" w:eastAsia="宋体" w:cs="宋体"/>
                <w:kern w:val="0"/>
                <w:sz w:val="21"/>
                <w:szCs w:val="21"/>
                <w:lang w:val="en-US" w:eastAsia="zh-CN"/>
              </w:rPr>
              <w:t>-1h</w:t>
            </w:r>
            <w:r>
              <w:rPr>
                <w:rFonts w:hint="eastAsia" w:ascii="宋体" w:hAnsi="宋体" w:eastAsia="宋体" w:cs="宋体"/>
                <w:kern w:val="0"/>
                <w:sz w:val="21"/>
                <w:szCs w:val="21"/>
              </w:rPr>
              <w:t>/次</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快速监测</w:t>
            </w:r>
          </w:p>
        </w:tc>
        <w:tc>
          <w:tcPr>
            <w:tcW w:w="152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h/次</w:t>
            </w:r>
          </w:p>
        </w:tc>
        <w:tc>
          <w:tcPr>
            <w:tcW w:w="198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每日2次，微生物指标达标后持续监测</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天</w:t>
            </w:r>
          </w:p>
        </w:tc>
        <w:tc>
          <w:tcPr>
            <w:tcW w:w="218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污染物散落区域、取水口、水源地核心区</w:t>
            </w:r>
          </w:p>
        </w:tc>
        <w:tc>
          <w:tcPr>
            <w:tcW w:w="1978"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采样、检测全程做好生物安全防护，防止交叉感染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604"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b/>
                <w:kern w:val="0"/>
                <w:sz w:val="21"/>
                <w:szCs w:val="21"/>
              </w:rPr>
              <w:t>突发生态破坏事件</w:t>
            </w:r>
          </w:p>
        </w:tc>
        <w:tc>
          <w:tcPr>
            <w:tcW w:w="159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保护区违规施工、采砂、植被破坏引发水体扰动</w:t>
            </w:r>
            <w:r>
              <w:rPr>
                <w:rFonts w:hint="eastAsia" w:ascii="宋体" w:hAnsi="宋体" w:eastAsia="宋体" w:cs="宋体"/>
                <w:kern w:val="0"/>
                <w:sz w:val="21"/>
                <w:szCs w:val="21"/>
                <w:lang w:val="en-US" w:eastAsia="zh-CN"/>
              </w:rPr>
              <w:t>等</w:t>
            </w:r>
          </w:p>
        </w:tc>
        <w:tc>
          <w:tcPr>
            <w:tcW w:w="256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悬浮物、浊度、pH值、溶解氧、COD、底质污染物（重金属、有机物）</w:t>
            </w:r>
          </w:p>
        </w:tc>
        <w:tc>
          <w:tcPr>
            <w:tcW w:w="194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每30min</w:t>
            </w:r>
            <w:r>
              <w:rPr>
                <w:rFonts w:hint="eastAsia" w:ascii="宋体" w:hAnsi="宋体" w:eastAsia="宋体" w:cs="宋体"/>
                <w:kern w:val="0"/>
                <w:sz w:val="21"/>
                <w:szCs w:val="21"/>
                <w:lang w:val="en-US" w:eastAsia="zh-CN"/>
              </w:rPr>
              <w:t>-1h</w:t>
            </w:r>
            <w:r>
              <w:rPr>
                <w:rFonts w:hint="eastAsia" w:ascii="宋体" w:hAnsi="宋体" w:eastAsia="宋体" w:cs="宋体"/>
                <w:kern w:val="0"/>
                <w:sz w:val="21"/>
                <w:szCs w:val="21"/>
              </w:rPr>
              <w:t>/次</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快速监测</w:t>
            </w:r>
          </w:p>
        </w:tc>
        <w:tc>
          <w:tcPr>
            <w:tcW w:w="1529"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h/次</w:t>
            </w:r>
          </w:p>
        </w:tc>
        <w:tc>
          <w:tcPr>
            <w:tcW w:w="1980"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每4h/次，指标达标后每日1次，持续</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天</w:t>
            </w:r>
          </w:p>
        </w:tc>
        <w:tc>
          <w:tcPr>
            <w:tcW w:w="2186"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施工区域上下游、取水口、保护区核心管控区</w:t>
            </w:r>
          </w:p>
        </w:tc>
        <w:tc>
          <w:tcPr>
            <w:tcW w:w="1978" w:type="dxa"/>
            <w:tcMar>
              <w:top w:w="60" w:type="dxa"/>
              <w:left w:w="120" w:type="dxa"/>
              <w:bottom w:w="30" w:type="dxa"/>
              <w:right w:w="120" w:type="dxa"/>
            </w:tcMar>
            <w:vAlign w:val="center"/>
          </w:tcPr>
          <w:p>
            <w:pPr>
              <w:snapToGrid w:val="0"/>
              <w:spacing w:before="120" w:after="120" w:line="240" w:lineRule="auto"/>
              <w:ind w:left="0" w:leftChars="0" w:right="0" w:righ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同步记录生态破坏情况，结合水体恢复情况调整监测频次</w:t>
            </w:r>
          </w:p>
        </w:tc>
      </w:tr>
    </w:tbl>
    <w:p>
      <w:pPr>
        <w:spacing w:before="120" w:after="120" w:line="288" w:lineRule="auto"/>
        <w:ind w:left="0" w:leftChars="0" w:firstLine="0" w:firstLineChars="0"/>
        <w:jc w:val="left"/>
        <w:rPr>
          <w:rFonts w:hint="eastAsia" w:ascii="Arial" w:hAnsi="Arial" w:eastAsia="等线" w:cs="Arial"/>
          <w:b/>
          <w:sz w:val="21"/>
          <w:szCs w:val="21"/>
          <w:lang w:val="en-US" w:eastAsia="zh-CN"/>
        </w:rPr>
      </w:pPr>
      <w:r>
        <w:rPr>
          <w:rFonts w:hint="eastAsia" w:ascii="Arial" w:hAnsi="Arial" w:eastAsia="等线" w:cs="Arial"/>
          <w:b/>
          <w:sz w:val="21"/>
          <w:szCs w:val="21"/>
          <w:lang w:val="en-US" w:eastAsia="zh-CN"/>
        </w:rPr>
        <w:t>备注：</w:t>
      </w:r>
    </w:p>
    <w:p>
      <w:pPr>
        <w:spacing w:before="120" w:after="120" w:line="288" w:lineRule="auto"/>
        <w:jc w:val="left"/>
      </w:pPr>
      <w:r>
        <w:rPr>
          <w:rFonts w:ascii="Arial" w:hAnsi="Arial" w:eastAsia="等线" w:cs="Arial"/>
          <w:sz w:val="22"/>
        </w:rPr>
        <w:t>1. 监测原则：突发污染事件发生后，遵循先快速筛查、后精准定量，先核心区、后外围区，加密跟踪、动态调整的原则开展应急监测。</w:t>
      </w:r>
    </w:p>
    <w:p>
      <w:pPr>
        <w:numPr>
          <w:ilvl w:val="0"/>
          <w:numId w:val="9"/>
        </w:numPr>
        <w:spacing w:before="120" w:after="120" w:line="288" w:lineRule="auto"/>
        <w:ind w:left="0"/>
        <w:jc w:val="left"/>
        <w:rPr>
          <w:rFonts w:ascii="Arial" w:hAnsi="Arial" w:eastAsia="等线" w:cs="Arial"/>
          <w:sz w:val="22"/>
        </w:rPr>
      </w:pPr>
      <w:r>
        <w:rPr>
          <w:rFonts w:ascii="Arial" w:hAnsi="Arial" w:eastAsia="等线" w:cs="Arial"/>
          <w:sz w:val="22"/>
        </w:rPr>
        <w:t>空白对照：每次监测需同步设置保护区清洁断面空白对照，排除环境本底干扰，保障数据精准有效。</w:t>
      </w:r>
    </w:p>
    <w:p>
      <w:pPr>
        <w:numPr>
          <w:ilvl w:val="0"/>
          <w:numId w:val="9"/>
        </w:numPr>
        <w:spacing w:before="120" w:after="120" w:line="288" w:lineRule="auto"/>
        <w:ind w:left="0"/>
        <w:jc w:val="left"/>
        <w:rPr>
          <w:rFonts w:ascii="Arial" w:hAnsi="Arial" w:eastAsia="等线" w:cs="Arial"/>
          <w:sz w:val="22"/>
        </w:rPr>
      </w:pPr>
      <w:r>
        <w:rPr>
          <w:rFonts w:ascii="Arial" w:hAnsi="Arial" w:eastAsia="等线" w:cs="Arial"/>
          <w:sz w:val="22"/>
        </w:rPr>
        <w:t>应急初期</w:t>
      </w:r>
      <w:r>
        <w:rPr>
          <w:rFonts w:hint="eastAsia" w:ascii="Arial" w:hAnsi="Arial" w:eastAsia="等线" w:cs="Arial"/>
          <w:sz w:val="22"/>
          <w:lang w:eastAsia="zh-CN"/>
        </w:rPr>
        <w:t>：</w:t>
      </w:r>
      <w:r>
        <w:rPr>
          <w:rFonts w:ascii="宋体" w:hAnsi="宋体" w:eastAsia="宋体" w:cs="宋体"/>
          <w:sz w:val="24"/>
          <w:szCs w:val="24"/>
        </w:rPr>
        <w:t>事件发现</w:t>
      </w:r>
      <w:r>
        <w:rPr>
          <w:rFonts w:hint="eastAsia" w:ascii="宋体" w:hAnsi="宋体" w:eastAsia="宋体" w:cs="宋体"/>
          <w:sz w:val="24"/>
          <w:szCs w:val="24"/>
          <w:lang w:eastAsia="zh-CN"/>
        </w:rPr>
        <w:t>，</w:t>
      </w:r>
      <w:r>
        <w:rPr>
          <w:rFonts w:ascii="宋体" w:hAnsi="宋体" w:eastAsia="宋体" w:cs="宋体"/>
          <w:sz w:val="24"/>
          <w:szCs w:val="24"/>
        </w:rPr>
        <w:t>污染初步确认阶段</w:t>
      </w:r>
      <w:r>
        <w:rPr>
          <w:rFonts w:hint="eastAsia" w:ascii="宋体" w:hAnsi="宋体" w:eastAsia="宋体" w:cs="宋体"/>
          <w:sz w:val="24"/>
          <w:szCs w:val="24"/>
          <w:lang w:eastAsia="zh-CN"/>
        </w:rPr>
        <w:t>，</w:t>
      </w:r>
      <w:r>
        <w:rPr>
          <w:rFonts w:ascii="宋体" w:hAnsi="宋体" w:eastAsia="宋体" w:cs="宋体"/>
          <w:sz w:val="24"/>
          <w:szCs w:val="24"/>
        </w:rPr>
        <w:t>优先现场快速监测，快速定性、锁定污染带</w:t>
      </w:r>
      <w:r>
        <w:rPr>
          <w:rFonts w:hint="eastAsia" w:ascii="宋体" w:hAnsi="宋体" w:eastAsia="宋体" w:cs="宋体"/>
          <w:sz w:val="24"/>
          <w:szCs w:val="24"/>
          <w:lang w:eastAsia="zh-CN"/>
        </w:rPr>
        <w:t>；</w:t>
      </w:r>
      <w:r>
        <w:rPr>
          <w:rFonts w:ascii="宋体" w:hAnsi="宋体" w:eastAsia="宋体" w:cs="宋体"/>
          <w:sz w:val="24"/>
          <w:szCs w:val="24"/>
        </w:rPr>
        <w:t>点位加密，高频次监测；重点判断污染是否向取水口推进。</w:t>
      </w:r>
    </w:p>
    <w:p>
      <w:pPr>
        <w:numPr>
          <w:ilvl w:val="0"/>
          <w:numId w:val="9"/>
        </w:numPr>
        <w:spacing w:before="120" w:after="120" w:line="288" w:lineRule="auto"/>
        <w:ind w:left="0"/>
        <w:jc w:val="left"/>
        <w:rPr>
          <w:rFonts w:ascii="Arial" w:hAnsi="Arial" w:eastAsia="等线" w:cs="Arial"/>
          <w:sz w:val="22"/>
        </w:rPr>
      </w:pPr>
      <w:r>
        <w:rPr>
          <w:rFonts w:ascii="Arial" w:hAnsi="Arial" w:eastAsia="等线" w:cs="Arial"/>
          <w:sz w:val="22"/>
        </w:rPr>
        <w:t>应急中期</w:t>
      </w:r>
      <w:r>
        <w:rPr>
          <w:rFonts w:hint="eastAsia" w:ascii="Arial" w:hAnsi="Arial" w:eastAsia="等线" w:cs="Arial"/>
          <w:sz w:val="22"/>
          <w:lang w:eastAsia="zh-CN"/>
        </w:rPr>
        <w:t>：污染源已切断或初步封堵，不再新增污染物进入水体，污染团位置、迁移路径、影响范围基本查明；快速监测 + 实验室定量监测并行；持续跟踪污染带迁移；根据浓度变化动态调整监测点位。</w:t>
      </w:r>
    </w:p>
    <w:p>
      <w:pPr>
        <w:numPr>
          <w:ilvl w:val="0"/>
          <w:numId w:val="9"/>
        </w:numPr>
        <w:spacing w:before="120" w:after="120" w:line="288" w:lineRule="auto"/>
        <w:ind w:left="0"/>
        <w:jc w:val="left"/>
        <w:rPr>
          <w:rFonts w:ascii="Arial" w:hAnsi="Arial" w:eastAsia="等线" w:cs="Arial"/>
          <w:sz w:val="22"/>
        </w:rPr>
      </w:pPr>
      <w:r>
        <w:rPr>
          <w:rFonts w:ascii="Arial" w:hAnsi="Arial" w:eastAsia="等线" w:cs="Arial"/>
          <w:sz w:val="22"/>
        </w:rPr>
        <w:t>应急后期</w:t>
      </w:r>
      <w:r>
        <w:rPr>
          <w:rFonts w:hint="eastAsia" w:ascii="Arial" w:hAnsi="Arial" w:eastAsia="等线" w:cs="Arial"/>
          <w:sz w:val="22"/>
          <w:lang w:eastAsia="zh-CN"/>
        </w:rPr>
        <w:t>：</w:t>
      </w:r>
      <w:r>
        <w:rPr>
          <w:rFonts w:ascii="Arial" w:hAnsi="Arial" w:eastAsia="等线" w:cs="Arial"/>
          <w:sz w:val="22"/>
        </w:rPr>
        <w:t>污染消退阶段</w:t>
      </w:r>
      <w:r>
        <w:rPr>
          <w:rFonts w:hint="eastAsia" w:ascii="Arial" w:hAnsi="Arial" w:eastAsia="等线" w:cs="Arial"/>
          <w:sz w:val="22"/>
          <w:lang w:eastAsia="zh-CN"/>
        </w:rPr>
        <w:t>，污染源彻底切断，无新增污染物汇入，污染主体污染团已经流过水源保护区、取水口断面，水质指标逐步下降，超标项目持续好转。</w:t>
      </w:r>
    </w:p>
    <w:p>
      <w:pPr>
        <w:rPr>
          <w:rFonts w:hint="eastAsia"/>
          <w:color w:val="auto"/>
          <w:sz w:val="28"/>
          <w:szCs w:val="28"/>
          <w:lang w:val="en-US" w:eastAsia="zh-CN"/>
        </w:rPr>
      </w:pPr>
    </w:p>
    <w:p>
      <w:pPr>
        <w:pStyle w:val="41"/>
        <w:rPr>
          <w:rFonts w:hint="default"/>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26" w:charSpace="0"/>
        </w:sectPr>
      </w:pPr>
    </w:p>
    <w:p>
      <w:pPr>
        <w:pStyle w:val="2"/>
        <w:jc w:val="both"/>
        <w:rPr>
          <w:color w:val="auto"/>
          <w:sz w:val="28"/>
          <w:szCs w:val="28"/>
        </w:rPr>
      </w:pPr>
      <w:bookmarkStart w:id="182" w:name="_Toc572"/>
      <w:r>
        <w:rPr>
          <w:color w:val="auto"/>
          <w:sz w:val="28"/>
          <w:szCs w:val="28"/>
        </w:rPr>
        <w:t>附件1</w:t>
      </w:r>
      <w:r>
        <w:rPr>
          <w:rFonts w:hint="eastAsia"/>
          <w:color w:val="auto"/>
          <w:sz w:val="28"/>
          <w:szCs w:val="28"/>
          <w:lang w:val="en-US" w:eastAsia="zh-CN"/>
        </w:rPr>
        <w:t xml:space="preserve">3 </w:t>
      </w:r>
      <w:r>
        <w:rPr>
          <w:rFonts w:hint="eastAsia"/>
          <w:color w:val="auto"/>
          <w:sz w:val="28"/>
          <w:szCs w:val="28"/>
        </w:rPr>
        <w:t>环境应急物资与装备</w:t>
      </w:r>
      <w:bookmarkEnd w:id="182"/>
    </w:p>
    <w:p>
      <w:pPr>
        <w:spacing w:before="120"/>
        <w:ind w:left="0" w:leftChars="0" w:firstLine="0" w:firstLineChars="0"/>
        <w:rPr>
          <w:rFonts w:hint="eastAsia" w:ascii="Times New Roman" w:hAnsi="Times New Roman" w:eastAsia="宋体" w:cs="Times New Roman"/>
          <w:b/>
          <w:bCs/>
          <w:color w:val="auto"/>
          <w:sz w:val="21"/>
          <w:szCs w:val="21"/>
          <w:lang w:val="en-US" w:eastAsia="zh-CN"/>
        </w:rPr>
      </w:pPr>
      <w:r>
        <w:rPr>
          <w:rFonts w:hint="eastAsia"/>
          <w:b/>
          <w:bCs/>
          <w:color w:val="auto"/>
          <w:sz w:val="21"/>
          <w:szCs w:val="21"/>
        </w:rPr>
        <w:t>（1）清远市</w:t>
      </w:r>
      <w:r>
        <w:rPr>
          <w:b/>
          <w:bCs/>
          <w:color w:val="auto"/>
          <w:sz w:val="21"/>
          <w:szCs w:val="21"/>
        </w:rPr>
        <w:t>生态环境局</w:t>
      </w:r>
      <w:r>
        <w:rPr>
          <w:rFonts w:hint="eastAsia"/>
          <w:b/>
          <w:bCs/>
          <w:color w:val="auto"/>
          <w:sz w:val="21"/>
          <w:szCs w:val="21"/>
        </w:rPr>
        <w:t>清新</w:t>
      </w:r>
      <w:r>
        <w:rPr>
          <w:b/>
          <w:bCs/>
          <w:color w:val="auto"/>
          <w:sz w:val="21"/>
          <w:szCs w:val="21"/>
        </w:rPr>
        <w:t>分局</w:t>
      </w:r>
      <w:r>
        <w:rPr>
          <w:rFonts w:hint="eastAsia" w:ascii="Times New Roman" w:hAnsi="Times New Roman" w:eastAsia="宋体" w:cs="Times New Roman"/>
          <w:b/>
          <w:bCs/>
          <w:color w:val="auto"/>
          <w:sz w:val="21"/>
          <w:szCs w:val="21"/>
          <w:lang w:val="en-US" w:eastAsia="zh-CN"/>
        </w:rPr>
        <w:t>（联系</w:t>
      </w:r>
      <w:r>
        <w:rPr>
          <w:rFonts w:hint="eastAsia" w:cs="Times New Roman"/>
          <w:b/>
          <w:bCs/>
          <w:color w:val="auto"/>
          <w:sz w:val="21"/>
          <w:szCs w:val="21"/>
          <w:lang w:val="en-US" w:eastAsia="zh-CN"/>
        </w:rPr>
        <w:t>人及</w:t>
      </w:r>
      <w:r>
        <w:rPr>
          <w:rFonts w:hint="eastAsia" w:ascii="Times New Roman" w:hAnsi="Times New Roman" w:eastAsia="宋体" w:cs="Times New Roman"/>
          <w:b/>
          <w:bCs/>
          <w:color w:val="auto"/>
          <w:sz w:val="21"/>
          <w:szCs w:val="21"/>
          <w:lang w:val="en-US" w:eastAsia="zh-CN"/>
        </w:rPr>
        <w:t>电话：</w:t>
      </w:r>
      <w:r>
        <w:rPr>
          <w:rFonts w:hint="eastAsia" w:cs="Times New Roman"/>
          <w:b/>
          <w:bCs/>
          <w:color w:val="auto"/>
          <w:sz w:val="21"/>
          <w:szCs w:val="21"/>
          <w:lang w:val="en-US" w:eastAsia="zh-CN"/>
        </w:rPr>
        <w:t>姚永杰</w:t>
      </w:r>
      <w:r>
        <w:rPr>
          <w:rFonts w:hint="eastAsia" w:ascii="Times New Roman" w:hAnsi="Times New Roman" w:eastAsia="宋体" w:cs="Times New Roman"/>
          <w:b/>
          <w:bCs/>
          <w:color w:val="auto"/>
          <w:sz w:val="21"/>
          <w:szCs w:val="21"/>
          <w:lang w:val="en-US" w:eastAsia="zh-CN"/>
        </w:rPr>
        <w:t>0763-58</w:t>
      </w:r>
      <w:r>
        <w:rPr>
          <w:rFonts w:hint="eastAsia" w:cs="Times New Roman"/>
          <w:b/>
          <w:bCs/>
          <w:color w:val="auto"/>
          <w:sz w:val="21"/>
          <w:szCs w:val="21"/>
          <w:lang w:val="en-US" w:eastAsia="zh-CN"/>
        </w:rPr>
        <w:t>11104</w:t>
      </w:r>
      <w:r>
        <w:rPr>
          <w:rFonts w:hint="eastAsia" w:ascii="Times New Roman" w:hAnsi="Times New Roman" w:eastAsia="宋体" w:cs="Times New Roman"/>
          <w:b/>
          <w:bCs/>
          <w:color w:val="auto"/>
          <w:sz w:val="21"/>
          <w:szCs w:val="21"/>
          <w:lang w:val="en-US" w:eastAsia="zh-CN"/>
        </w:rPr>
        <w:t>）</w:t>
      </w:r>
    </w:p>
    <w:tbl>
      <w:tblPr>
        <w:tblStyle w:val="4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2"/>
        <w:gridCol w:w="992"/>
        <w:gridCol w:w="3141"/>
        <w:gridCol w:w="1191"/>
        <w:gridCol w:w="1358"/>
        <w:gridCol w:w="8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blHeader/>
        </w:trPr>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类别</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序号</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名称</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清新分局</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清新监测站</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单人基本装备</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4件</w:t>
            </w:r>
            <w:r>
              <w:rPr>
                <w:rFonts w:hint="eastAsia" w:ascii="宋体" w:hAnsi="宋体" w:cs="宋体"/>
                <w:i w:val="0"/>
                <w:iCs w:val="0"/>
                <w:color w:val="auto"/>
                <w:kern w:val="0"/>
                <w:sz w:val="21"/>
                <w:szCs w:val="21"/>
                <w:u w:val="none"/>
                <w:lang w:val="en-US" w:eastAsia="zh-CN" w:bidi="ar"/>
              </w:rPr>
              <w:t>）</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移动执法终端</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现场执法记录仪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个人剂量报警仪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单人防护装备</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单组执法装备</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6件</w:t>
            </w:r>
            <w:r>
              <w:rPr>
                <w:rFonts w:hint="eastAsia" w:ascii="宋体" w:hAnsi="宋体" w:cs="宋体"/>
                <w:i w:val="0"/>
                <w:iCs w:val="0"/>
                <w:color w:val="auto"/>
                <w:kern w:val="0"/>
                <w:sz w:val="21"/>
                <w:szCs w:val="21"/>
                <w:u w:val="none"/>
                <w:lang w:val="en-US" w:eastAsia="zh-CN" w:bidi="ar"/>
              </w:rPr>
              <w:t>）</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水质快检试剂包</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14</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手持式光离子化检测仪</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PID</w:t>
            </w:r>
            <w:r>
              <w:rPr>
                <w:rFonts w:hint="eastAsia" w:ascii="宋体" w:hAnsi="宋体" w:cs="宋体"/>
                <w:i w:val="0"/>
                <w:iCs w:val="0"/>
                <w:color w:val="auto"/>
                <w:kern w:val="0"/>
                <w:sz w:val="21"/>
                <w:szCs w:val="21"/>
                <w:u w:val="none"/>
                <w:lang w:val="en-US" w:eastAsia="zh-CN" w:bidi="ar"/>
              </w:rPr>
              <w:t>）</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手持热电风速仪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测距仪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水样采样设备</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便携式噪声检测仪</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声级计</w:t>
            </w:r>
            <w:r>
              <w:rPr>
                <w:rFonts w:hint="eastAsia" w:ascii="宋体" w:hAnsi="宋体" w:cs="宋体"/>
                <w:i w:val="0"/>
                <w:iCs w:val="0"/>
                <w:color w:val="auto"/>
                <w:kern w:val="0"/>
                <w:sz w:val="21"/>
                <w:szCs w:val="21"/>
                <w:u w:val="none"/>
                <w:lang w:val="en-US" w:eastAsia="zh-CN" w:bidi="ar"/>
              </w:rPr>
              <w:t>）</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现场取证装备</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11件</w:t>
            </w:r>
            <w:r>
              <w:rPr>
                <w:rFonts w:hint="eastAsia" w:ascii="宋体" w:hAnsi="宋体" w:cs="宋体"/>
                <w:i w:val="0"/>
                <w:iCs w:val="0"/>
                <w:color w:val="auto"/>
                <w:kern w:val="0"/>
                <w:sz w:val="21"/>
                <w:szCs w:val="21"/>
                <w:u w:val="none"/>
                <w:lang w:val="en-US" w:eastAsia="zh-CN" w:bidi="ar"/>
              </w:rPr>
              <w:t>）</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录音笔</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对讲机</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可含防爆功能</w:t>
            </w:r>
            <w:r>
              <w:rPr>
                <w:rFonts w:hint="eastAsia" w:ascii="宋体" w:hAnsi="宋体" w:cs="宋体"/>
                <w:i w:val="0"/>
                <w:iCs w:val="0"/>
                <w:color w:val="auto"/>
                <w:kern w:val="0"/>
                <w:sz w:val="21"/>
                <w:szCs w:val="21"/>
                <w:u w:val="none"/>
                <w:lang w:val="en-US" w:eastAsia="zh-CN" w:bidi="ar"/>
              </w:rPr>
              <w:t>）</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热成像仪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14</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轻型或微型无人机</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多参数气体检测仪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便携式氢火焰离子化检测仪</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FID</w:t>
            </w:r>
            <w:r>
              <w:rPr>
                <w:rFonts w:hint="eastAsia" w:ascii="宋体" w:hAnsi="宋体" w:cs="宋体"/>
                <w:i w:val="0"/>
                <w:iCs w:val="0"/>
                <w:color w:val="auto"/>
                <w:kern w:val="0"/>
                <w:sz w:val="21"/>
                <w:szCs w:val="21"/>
                <w:u w:val="none"/>
                <w:lang w:val="en-US" w:eastAsia="zh-CN" w:bidi="ar"/>
              </w:rPr>
              <w:t>）</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17</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红外热成像气体泄漏检测仪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便携式土壤重金属检测仪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19</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便携式X、Y剂量率仪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便携式卫星电话</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21</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移动源执法监测设备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在用车尾气检测仪、车用尿素检定仪、通用车载诊断仪</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OBD</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、工业内窥镜等</w:t>
            </w:r>
            <w:r>
              <w:rPr>
                <w:rFonts w:hint="eastAsia" w:ascii="宋体" w:hAnsi="宋体" w:cs="宋体"/>
                <w:i w:val="0"/>
                <w:iCs w:val="0"/>
                <w:color w:val="auto"/>
                <w:kern w:val="0"/>
                <w:sz w:val="21"/>
                <w:szCs w:val="21"/>
                <w:u w:val="none"/>
                <w:lang w:val="en-US" w:eastAsia="zh-CN" w:bidi="ar"/>
              </w:rPr>
              <w:t>）</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现场文书制作装备</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2件</w:t>
            </w:r>
            <w:r>
              <w:rPr>
                <w:rFonts w:hint="eastAsia" w:ascii="宋体" w:hAnsi="宋体" w:cs="宋体"/>
                <w:i w:val="0"/>
                <w:iCs w:val="0"/>
                <w:color w:val="auto"/>
                <w:kern w:val="0"/>
                <w:sz w:val="21"/>
                <w:szCs w:val="21"/>
                <w:u w:val="none"/>
                <w:lang w:val="en-US" w:eastAsia="zh-CN" w:bidi="ar"/>
              </w:rPr>
              <w:t>）</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22</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笔记本电脑</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23</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便携式打印机</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执法保障装备</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6项</w:t>
            </w:r>
            <w:r>
              <w:rPr>
                <w:rFonts w:hint="eastAsia" w:ascii="宋体" w:hAnsi="宋体" w:cs="宋体"/>
                <w:i w:val="0"/>
                <w:iCs w:val="0"/>
                <w:color w:val="auto"/>
                <w:kern w:val="0"/>
                <w:sz w:val="21"/>
                <w:szCs w:val="21"/>
                <w:u w:val="none"/>
                <w:lang w:val="en-US" w:eastAsia="zh-CN" w:bidi="ar"/>
              </w:rPr>
              <w:t>）</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24</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执法执勤专用车或特种专业技术用车</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25</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执法代步工具</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26</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信息采集站</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工作系统）</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27</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污染源在线监控系统维护</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28</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车载电源转换器</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29</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车载样品保存设备</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日常办公装备</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5件</w:t>
            </w:r>
            <w:r>
              <w:rPr>
                <w:rFonts w:hint="eastAsia" w:ascii="宋体" w:hAnsi="宋体" w:cs="宋体"/>
                <w:i w:val="0"/>
                <w:iCs w:val="0"/>
                <w:color w:val="auto"/>
                <w:kern w:val="0"/>
                <w:sz w:val="21"/>
                <w:szCs w:val="21"/>
                <w:u w:val="none"/>
                <w:lang w:val="en-US" w:eastAsia="zh-CN" w:bidi="ar"/>
              </w:rPr>
              <w:t>）</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30</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固定电话</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31</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打印复印扫描一体机</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32</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台式计算机</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碎纸机</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投影仪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现场取证装备</w:t>
            </w:r>
            <w:r>
              <w:rPr>
                <w:rFonts w:hint="eastAsia" w:ascii="宋体" w:hAnsi="宋体" w:cs="宋体"/>
                <w:i w:val="0"/>
                <w:iCs w:val="0"/>
                <w:color w:val="auto"/>
                <w:kern w:val="0"/>
                <w:sz w:val="21"/>
                <w:szCs w:val="21"/>
                <w:u w:val="none"/>
                <w:lang w:val="en-US" w:eastAsia="zh-CN" w:bidi="ar"/>
              </w:rPr>
              <w:t>（9</w:t>
            </w:r>
            <w:r>
              <w:rPr>
                <w:rFonts w:hint="eastAsia" w:ascii="宋体" w:hAnsi="宋体" w:eastAsia="宋体" w:cs="宋体"/>
                <w:i w:val="0"/>
                <w:iCs w:val="0"/>
                <w:color w:val="auto"/>
                <w:kern w:val="0"/>
                <w:sz w:val="21"/>
                <w:szCs w:val="21"/>
                <w:u w:val="none"/>
                <w:lang w:val="en-US" w:eastAsia="zh-CN" w:bidi="ar"/>
              </w:rPr>
              <w:t>件</w:t>
            </w:r>
            <w:r>
              <w:rPr>
                <w:rFonts w:hint="eastAsia" w:ascii="宋体" w:hAnsi="宋体" w:cs="宋体"/>
                <w:i w:val="0"/>
                <w:iCs w:val="0"/>
                <w:color w:val="auto"/>
                <w:kern w:val="0"/>
                <w:sz w:val="21"/>
                <w:szCs w:val="21"/>
                <w:u w:val="none"/>
                <w:lang w:val="en-US" w:eastAsia="zh-CN" w:bidi="ar"/>
              </w:rPr>
              <w:t>）</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撬棍</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防爆照相机</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37</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流量计</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38</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便携式水质多参数分析仪</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pH、氧化还原电位、溶解氧、电导率等</w:t>
            </w:r>
            <w:r>
              <w:rPr>
                <w:rFonts w:hint="eastAsia" w:ascii="宋体" w:hAnsi="宋体" w:cs="宋体"/>
                <w:i w:val="0"/>
                <w:iCs w:val="0"/>
                <w:color w:val="auto"/>
                <w:kern w:val="0"/>
                <w:sz w:val="21"/>
                <w:szCs w:val="21"/>
                <w:u w:val="none"/>
                <w:lang w:val="en-US" w:eastAsia="zh-CN" w:bidi="ar"/>
              </w:rPr>
              <w:t>）</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39</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便携式水质快速检测仪</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COD、氨氮、总磷、总氮等</w:t>
            </w:r>
            <w:r>
              <w:rPr>
                <w:rFonts w:hint="eastAsia" w:ascii="宋体" w:hAnsi="宋体" w:cs="宋体"/>
                <w:i w:val="0"/>
                <w:iCs w:val="0"/>
                <w:color w:val="auto"/>
                <w:kern w:val="0"/>
                <w:sz w:val="21"/>
                <w:szCs w:val="21"/>
                <w:u w:val="none"/>
                <w:lang w:val="en-US" w:eastAsia="zh-CN" w:bidi="ar"/>
              </w:rPr>
              <w:t>）</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40</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水质重金属快速检测仪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41</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便携式粉尘检测仪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42</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便携式油烟检测仪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1"/>
                <w:szCs w:val="21"/>
                <w:u w:val="none"/>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43</w:t>
            </w:r>
          </w:p>
        </w:tc>
        <w:tc>
          <w:tcPr>
            <w:tcW w:w="1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便携式林格曼黑度检测仪</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bl>
    <w:p>
      <w:pPr>
        <w:spacing w:line="240" w:lineRule="auto"/>
        <w:ind w:firstLine="0" w:firstLineChars="0"/>
        <w:jc w:val="center"/>
        <w:rPr>
          <w:rFonts w:hint="eastAsia"/>
          <w:b/>
          <w:bCs/>
          <w:color w:val="auto"/>
          <w:sz w:val="21"/>
          <w:szCs w:val="21"/>
        </w:rPr>
      </w:pPr>
    </w:p>
    <w:p>
      <w:pPr>
        <w:pStyle w:val="23"/>
        <w:numPr>
          <w:ilvl w:val="0"/>
          <w:numId w:val="7"/>
        </w:numPr>
        <w:spacing w:after="0" w:line="360" w:lineRule="auto"/>
        <w:ind w:left="0" w:leftChars="0" w:right="0" w:rightChars="0" w:firstLine="0" w:firstLineChars="0"/>
        <w:jc w:val="both"/>
        <w:rPr>
          <w:rFonts w:hint="eastAsia" w:ascii="Times New Roman" w:hAnsi="Times New Roman" w:eastAsia="宋体" w:cs="Times New Roman"/>
          <w:b/>
          <w:bCs/>
          <w:color w:val="auto"/>
          <w:sz w:val="21"/>
          <w:szCs w:val="21"/>
          <w:lang w:val="en-US" w:eastAsia="zh-CN"/>
        </w:rPr>
      </w:pPr>
      <w:r>
        <w:rPr>
          <w:rFonts w:hint="eastAsia"/>
          <w:b/>
          <w:bCs/>
          <w:color w:val="auto"/>
          <w:sz w:val="21"/>
          <w:szCs w:val="21"/>
          <w:lang w:val="en-US" w:eastAsia="zh-CN"/>
        </w:rPr>
        <w:t>清远市清新区环境监测站</w:t>
      </w:r>
      <w:r>
        <w:rPr>
          <w:rFonts w:hint="eastAsia" w:ascii="Times New Roman" w:hAnsi="Times New Roman" w:eastAsia="宋体" w:cs="Times New Roman"/>
          <w:b/>
          <w:bCs/>
          <w:color w:val="auto"/>
          <w:sz w:val="21"/>
          <w:szCs w:val="21"/>
          <w:lang w:val="en-US" w:eastAsia="zh-CN"/>
        </w:rPr>
        <w:t>（联系人</w:t>
      </w:r>
      <w:r>
        <w:rPr>
          <w:rFonts w:hint="eastAsia" w:cs="Times New Roman"/>
          <w:b/>
          <w:bCs/>
          <w:color w:val="auto"/>
          <w:sz w:val="21"/>
          <w:szCs w:val="21"/>
          <w:lang w:val="en-US" w:eastAsia="zh-CN"/>
        </w:rPr>
        <w:t>及电话</w:t>
      </w:r>
      <w:r>
        <w:rPr>
          <w:rFonts w:hint="eastAsia" w:ascii="Times New Roman" w:hAnsi="Times New Roman" w:eastAsia="宋体" w:cs="Times New Roman"/>
          <w:b/>
          <w:bCs/>
          <w:color w:val="auto"/>
          <w:sz w:val="21"/>
          <w:szCs w:val="21"/>
          <w:lang w:val="en-US" w:eastAsia="zh-CN"/>
        </w:rPr>
        <w:t>：陈褔高 0763-5811223）</w:t>
      </w:r>
    </w:p>
    <w:p>
      <w:pPr>
        <w:pStyle w:val="23"/>
        <w:numPr>
          <w:ilvl w:val="0"/>
          <w:numId w:val="0"/>
        </w:numPr>
        <w:spacing w:after="0" w:line="360" w:lineRule="auto"/>
        <w:ind w:leftChars="0" w:right="0" w:right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现场快速监测仪器设备</w:t>
      </w: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5"/>
        <w:gridCol w:w="1424"/>
        <w:gridCol w:w="907"/>
        <w:gridCol w:w="3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769"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设备名称</w:t>
            </w:r>
          </w:p>
        </w:tc>
        <w:tc>
          <w:tcPr>
            <w:tcW w:w="835"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仪器型号</w:t>
            </w:r>
          </w:p>
        </w:tc>
        <w:tc>
          <w:tcPr>
            <w:tcW w:w="532"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台数</w:t>
            </w:r>
          </w:p>
        </w:tc>
        <w:tc>
          <w:tcPr>
            <w:tcW w:w="1861"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可监测因子</w:t>
            </w:r>
            <w:r>
              <w:rPr>
                <w:rFonts w:hint="eastAsia" w:ascii="Times New Roman" w:hAnsi="Times New Roman" w:eastAsia="宋体" w:cs="Times New Roman"/>
                <w:b/>
                <w:bCs w:val="0"/>
                <w:color w:val="auto"/>
                <w:kern w:val="0"/>
                <w:sz w:val="21"/>
                <w:szCs w:val="21"/>
                <w:lang w:eastAsia="zh-CN"/>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手持式光离子化检测仪</w:t>
            </w:r>
          </w:p>
        </w:tc>
        <w:tc>
          <w:tcPr>
            <w:tcW w:w="835"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PGM-7320</w:t>
            </w:r>
          </w:p>
        </w:tc>
        <w:tc>
          <w:tcPr>
            <w:tcW w:w="532"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val="en-US" w:eastAsia="zh-CN"/>
              </w:rPr>
              <w:t>2</w:t>
            </w:r>
          </w:p>
        </w:tc>
        <w:tc>
          <w:tcPr>
            <w:tcW w:w="1861"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VOCs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便携式浊度仪</w:t>
            </w:r>
          </w:p>
        </w:tc>
        <w:tc>
          <w:tcPr>
            <w:tcW w:w="835"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2100Q</w:t>
            </w:r>
          </w:p>
        </w:tc>
        <w:tc>
          <w:tcPr>
            <w:tcW w:w="532"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lang w:eastAsia="zh-CN"/>
              </w:rPr>
            </w:pPr>
            <w:r>
              <w:rPr>
                <w:rFonts w:hint="default" w:ascii="Times New Roman" w:hAnsi="Times New Roman" w:eastAsia="宋体" w:cs="Times New Roman"/>
                <w:b w:val="0"/>
                <w:bCs/>
                <w:color w:val="auto"/>
                <w:sz w:val="21"/>
                <w:szCs w:val="21"/>
                <w:lang w:val="en-US" w:eastAsia="zh-CN"/>
              </w:rPr>
              <w:t>2</w:t>
            </w:r>
          </w:p>
        </w:tc>
        <w:tc>
          <w:tcPr>
            <w:tcW w:w="1861"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lang w:eastAsia="zh-CN"/>
              </w:rPr>
            </w:pPr>
            <w:r>
              <w:rPr>
                <w:rFonts w:hint="default" w:ascii="Times New Roman" w:hAnsi="Times New Roman" w:eastAsia="宋体" w:cs="Times New Roman"/>
                <w:b w:val="0"/>
                <w:bCs/>
                <w:color w:val="auto"/>
                <w:sz w:val="21"/>
                <w:szCs w:val="21"/>
                <w:lang w:val="en-US" w:eastAsia="zh-CN"/>
              </w:rPr>
              <w:t>浊度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i w:val="0"/>
                <w:color w:val="auto"/>
                <w:kern w:val="0"/>
                <w:sz w:val="21"/>
                <w:szCs w:val="21"/>
                <w:u w:val="none"/>
                <w:lang w:val="en-US" w:eastAsia="zh-CN"/>
              </w:rPr>
              <w:t>便携式多参数水质分析仪</w:t>
            </w:r>
          </w:p>
        </w:tc>
        <w:tc>
          <w:tcPr>
            <w:tcW w:w="835" w:type="pct"/>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i w:val="0"/>
                <w:color w:val="auto"/>
                <w:kern w:val="0"/>
                <w:sz w:val="21"/>
                <w:szCs w:val="21"/>
                <w:u w:val="none"/>
                <w:lang w:val="en-US" w:eastAsia="zh-CN"/>
              </w:rPr>
              <w:t>HQ 40d</w:t>
            </w:r>
          </w:p>
        </w:tc>
        <w:tc>
          <w:tcPr>
            <w:tcW w:w="532"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w:t>
            </w:r>
          </w:p>
        </w:tc>
        <w:tc>
          <w:tcPr>
            <w:tcW w:w="1861"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lang w:val="en-US"/>
              </w:rPr>
            </w:pPr>
            <w:r>
              <w:rPr>
                <w:rFonts w:hint="default" w:ascii="Times New Roman" w:hAnsi="Times New Roman" w:eastAsia="宋体" w:cs="Times New Roman"/>
                <w:b w:val="0"/>
                <w:bCs/>
                <w:i w:val="0"/>
                <w:color w:val="auto"/>
                <w:kern w:val="0"/>
                <w:sz w:val="21"/>
                <w:szCs w:val="21"/>
                <w:u w:val="none"/>
                <w:lang w:val="en-US" w:eastAsia="zh-CN"/>
              </w:rPr>
              <w:t>pH、溶解氧、电导率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i w:val="0"/>
                <w:color w:val="auto"/>
                <w:kern w:val="0"/>
                <w:sz w:val="21"/>
                <w:szCs w:val="21"/>
                <w:u w:val="none"/>
                <w:lang w:val="en-US" w:eastAsia="zh-CN"/>
              </w:rPr>
              <w:t>便携式pH溶解氧测定仪</w:t>
            </w:r>
          </w:p>
        </w:tc>
        <w:tc>
          <w:tcPr>
            <w:tcW w:w="835" w:type="pct"/>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i w:val="0"/>
                <w:color w:val="auto"/>
                <w:kern w:val="0"/>
                <w:sz w:val="21"/>
                <w:szCs w:val="21"/>
                <w:u w:val="none"/>
                <w:lang w:val="en-US" w:eastAsia="zh-CN"/>
              </w:rPr>
              <w:t>SG68</w:t>
            </w:r>
          </w:p>
        </w:tc>
        <w:tc>
          <w:tcPr>
            <w:tcW w:w="532"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lang w:eastAsia="zh-CN"/>
              </w:rPr>
            </w:pPr>
            <w:r>
              <w:rPr>
                <w:rFonts w:hint="default" w:ascii="Times New Roman" w:hAnsi="Times New Roman" w:eastAsia="宋体" w:cs="Times New Roman"/>
                <w:b w:val="0"/>
                <w:bCs/>
                <w:color w:val="auto"/>
                <w:sz w:val="21"/>
                <w:szCs w:val="21"/>
                <w:lang w:val="en-US" w:eastAsia="zh-CN"/>
              </w:rPr>
              <w:t>1</w:t>
            </w:r>
          </w:p>
        </w:tc>
        <w:tc>
          <w:tcPr>
            <w:tcW w:w="1861"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i w:val="0"/>
                <w:color w:val="auto"/>
                <w:kern w:val="0"/>
                <w:sz w:val="21"/>
                <w:szCs w:val="21"/>
                <w:u w:val="none"/>
                <w:lang w:val="en-US" w:eastAsia="zh-CN"/>
              </w:rPr>
              <w:t>pH、溶解氧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69" w:type="pct"/>
            <w:noWrap w:val="0"/>
            <w:vAlign w:val="center"/>
          </w:tcPr>
          <w:p>
            <w:pPr>
              <w:kinsoku/>
              <w:autoSpaceDE/>
              <w:autoSpaceDN w:val="0"/>
              <w:spacing w:line="360" w:lineRule="auto"/>
              <w:ind w:firstLine="0" w:firstLineChars="0"/>
              <w:jc w:val="center"/>
              <w:textAlignment w:val="center"/>
              <w:rPr>
                <w:rFonts w:hint="default" w:ascii="Times New Roman" w:hAnsi="Times New Roman" w:eastAsia="宋体" w:cs="Times New Roman"/>
                <w:b w:val="0"/>
                <w:bCs/>
                <w:i w:val="0"/>
                <w:color w:val="auto"/>
                <w:kern w:val="0"/>
                <w:sz w:val="21"/>
                <w:szCs w:val="21"/>
                <w:u w:val="none"/>
                <w:lang w:val="en-US" w:eastAsia="zh-CN"/>
              </w:rPr>
            </w:pPr>
            <w:r>
              <w:rPr>
                <w:rFonts w:hint="eastAsia" w:ascii="Times New Roman" w:hAnsi="Times New Roman" w:eastAsia="宋体" w:cs="Times New Roman"/>
                <w:b w:val="0"/>
                <w:bCs/>
                <w:i w:val="0"/>
                <w:color w:val="auto"/>
                <w:kern w:val="0"/>
                <w:sz w:val="21"/>
                <w:szCs w:val="21"/>
                <w:u w:val="none"/>
                <w:lang w:val="en-US" w:eastAsia="zh-CN"/>
              </w:rPr>
              <w:t>水质快速测定包</w:t>
            </w:r>
          </w:p>
        </w:tc>
        <w:tc>
          <w:tcPr>
            <w:tcW w:w="835" w:type="pct"/>
            <w:noWrap w:val="0"/>
            <w:vAlign w:val="center"/>
          </w:tcPr>
          <w:p>
            <w:pPr>
              <w:kinsoku/>
              <w:autoSpaceDE/>
              <w:autoSpaceDN w:val="0"/>
              <w:spacing w:line="360" w:lineRule="auto"/>
              <w:ind w:firstLine="0" w:firstLineChars="0"/>
              <w:jc w:val="center"/>
              <w:textAlignment w:val="center"/>
              <w:rPr>
                <w:rFonts w:hint="default" w:ascii="Times New Roman" w:hAnsi="Times New Roman" w:eastAsia="宋体" w:cs="Times New Roman"/>
                <w:b w:val="0"/>
                <w:bCs/>
                <w:i w:val="0"/>
                <w:color w:val="auto"/>
                <w:kern w:val="0"/>
                <w:sz w:val="21"/>
                <w:szCs w:val="21"/>
                <w:u w:val="none"/>
                <w:lang w:val="en-US" w:eastAsia="zh-CN"/>
              </w:rPr>
            </w:pPr>
            <w:r>
              <w:rPr>
                <w:rFonts w:hint="eastAsia" w:ascii="Times New Roman" w:hAnsi="Times New Roman" w:eastAsia="宋体" w:cs="Times New Roman"/>
                <w:b w:val="0"/>
                <w:bCs/>
                <w:i w:val="0"/>
                <w:color w:val="auto"/>
                <w:kern w:val="0"/>
                <w:sz w:val="21"/>
                <w:szCs w:val="21"/>
                <w:u w:val="none"/>
                <w:lang w:val="en-US" w:eastAsia="zh-CN"/>
              </w:rPr>
              <w:t>/</w:t>
            </w:r>
          </w:p>
        </w:tc>
        <w:tc>
          <w:tcPr>
            <w:tcW w:w="532" w:type="pct"/>
            <w:noWrap w:val="0"/>
            <w:vAlign w:val="center"/>
          </w:tcPr>
          <w:p>
            <w:pPr>
              <w:kinsoku/>
              <w:autoSpaceDE/>
              <w:autoSpaceDN w:val="0"/>
              <w:spacing w:line="360" w:lineRule="auto"/>
              <w:ind w:firstLine="0" w:firstLineChars="0"/>
              <w:jc w:val="center"/>
              <w:textAlignment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各2盒</w:t>
            </w:r>
          </w:p>
        </w:tc>
        <w:tc>
          <w:tcPr>
            <w:tcW w:w="1861"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i w:val="0"/>
                <w:color w:val="auto"/>
                <w:kern w:val="0"/>
                <w:sz w:val="21"/>
                <w:szCs w:val="21"/>
                <w:u w:val="none"/>
                <w:lang w:val="en-US" w:eastAsia="zh-CN"/>
              </w:rPr>
            </w:pPr>
            <w:r>
              <w:rPr>
                <w:rFonts w:hint="eastAsia" w:ascii="仿宋" w:hAnsi="仿宋" w:cs="仿宋"/>
                <w:color w:val="auto"/>
                <w:sz w:val="21"/>
                <w:szCs w:val="21"/>
                <w:lang w:val="en-US" w:eastAsia="zh-CN"/>
              </w:rPr>
              <w:t>COD、氨氮、总磷、氰化物、六价铬、总锌、总镍、总铬、总铜、（总）余氯、总汞、总铅、总砷</w:t>
            </w:r>
          </w:p>
        </w:tc>
      </w:tr>
    </w:tbl>
    <w:p>
      <w:pPr>
        <w:widowControl w:val="0"/>
        <w:spacing w:line="360" w:lineRule="auto"/>
        <w:ind w:left="0" w:leftChars="0" w:right="0" w:rightChars="0" w:firstLine="0" w:firstLineChars="0"/>
        <w:jc w:val="center"/>
        <w:rPr>
          <w:rFonts w:hint="eastAsia"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采样仪器设备</w:t>
      </w: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3"/>
        <w:gridCol w:w="1907"/>
        <w:gridCol w:w="987"/>
        <w:gridCol w:w="2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769"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设备名称</w:t>
            </w:r>
          </w:p>
        </w:tc>
        <w:tc>
          <w:tcPr>
            <w:tcW w:w="1119"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仪器型号</w:t>
            </w:r>
          </w:p>
        </w:tc>
        <w:tc>
          <w:tcPr>
            <w:tcW w:w="579"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台数</w:t>
            </w:r>
          </w:p>
        </w:tc>
        <w:tc>
          <w:tcPr>
            <w:tcW w:w="1531"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可监测因子</w:t>
            </w:r>
            <w:r>
              <w:rPr>
                <w:rFonts w:hint="default" w:ascii="Times New Roman" w:hAnsi="Times New Roman" w:eastAsia="宋体" w:cs="Times New Roman"/>
                <w:b/>
                <w:bCs w:val="0"/>
                <w:color w:val="auto"/>
                <w:kern w:val="0"/>
                <w:sz w:val="21"/>
                <w:szCs w:val="21"/>
                <w:lang w:eastAsia="zh-CN"/>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双路VOCs气体采样器</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崂应2061型</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i w:val="0"/>
                <w:snapToGrid/>
                <w:color w:val="auto"/>
                <w:sz w:val="21"/>
                <w:szCs w:val="21"/>
                <w:u w:val="none"/>
                <w:lang w:eastAsia="zh-CN"/>
              </w:rPr>
              <w:t>6</w:t>
            </w:r>
          </w:p>
        </w:tc>
        <w:tc>
          <w:tcPr>
            <w:tcW w:w="1531"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color w:val="auto"/>
                <w:kern w:val="0"/>
                <w:sz w:val="21"/>
                <w:szCs w:val="21"/>
                <w:u w:val="none"/>
                <w:lang w:val="en-US" w:eastAsia="zh-CN"/>
              </w:rPr>
              <w:t>环境空气和废气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便携式VOC采样器</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国技EM-300</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i w:val="0"/>
                <w:snapToGrid/>
                <w:color w:val="auto"/>
                <w:sz w:val="21"/>
                <w:szCs w:val="21"/>
                <w:u w:val="none"/>
                <w:lang w:eastAsia="zh-CN"/>
              </w:rPr>
              <w:t>8</w:t>
            </w:r>
          </w:p>
        </w:tc>
        <w:tc>
          <w:tcPr>
            <w:tcW w:w="1531"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color w:val="auto"/>
                <w:kern w:val="0"/>
                <w:sz w:val="21"/>
                <w:szCs w:val="21"/>
                <w:u w:val="none"/>
                <w:lang w:val="en-US" w:eastAsia="zh-CN"/>
              </w:rPr>
              <w:t>环境空气和废气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智能吸附法VOCs采样仪</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崂应3038型</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i w:val="0"/>
                <w:snapToGrid/>
                <w:color w:val="auto"/>
                <w:sz w:val="21"/>
                <w:szCs w:val="21"/>
                <w:u w:val="none"/>
                <w:lang w:eastAsia="zh-CN"/>
              </w:rPr>
              <w:t>4</w:t>
            </w:r>
          </w:p>
        </w:tc>
        <w:tc>
          <w:tcPr>
            <w:tcW w:w="1531"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color w:val="auto"/>
                <w:kern w:val="0"/>
                <w:sz w:val="21"/>
                <w:szCs w:val="21"/>
                <w:u w:val="none"/>
                <w:lang w:val="en-US" w:eastAsia="zh-CN"/>
              </w:rPr>
              <w:t>环境空气和废气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深水采样器</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便携式CYQ-200</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color w:val="auto"/>
                <w:sz w:val="21"/>
                <w:szCs w:val="21"/>
                <w:lang w:val="en-US" w:eastAsia="zh-CN"/>
              </w:rPr>
              <w:t>1</w:t>
            </w:r>
          </w:p>
        </w:tc>
        <w:tc>
          <w:tcPr>
            <w:tcW w:w="1531"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color w:val="auto"/>
                <w:kern w:val="0"/>
                <w:sz w:val="21"/>
                <w:szCs w:val="21"/>
                <w:u w:val="none"/>
                <w:lang w:val="en-US" w:eastAsia="zh-CN"/>
              </w:rPr>
              <w:t>水和废水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便携式抽滤器</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北裕仪器 BCL-100</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color w:val="auto"/>
                <w:sz w:val="21"/>
                <w:szCs w:val="21"/>
                <w:lang w:val="en-US" w:eastAsia="zh-CN"/>
              </w:rPr>
              <w:t>2</w:t>
            </w:r>
          </w:p>
        </w:tc>
        <w:tc>
          <w:tcPr>
            <w:tcW w:w="1531" w:type="pct"/>
            <w:noWrap w:val="0"/>
            <w:vAlign w:val="center"/>
          </w:tcPr>
          <w:p>
            <w:pPr>
              <w:spacing w:line="240" w:lineRule="auto"/>
              <w:ind w:left="0" w:leftChars="0" w:right="0" w:rightChars="0" w:firstLine="0" w:firstLineChars="0"/>
              <w:jc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color w:val="auto"/>
                <w:kern w:val="0"/>
                <w:sz w:val="21"/>
                <w:szCs w:val="21"/>
                <w:u w:val="none"/>
                <w:lang w:val="en-US" w:eastAsia="zh-CN"/>
              </w:rPr>
              <w:t>水和废水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color w:val="auto"/>
                <w:kern w:val="0"/>
                <w:sz w:val="21"/>
                <w:szCs w:val="21"/>
                <w:u w:val="none"/>
                <w:lang w:val="en-US" w:eastAsia="zh-CN"/>
              </w:rPr>
              <w:t>面积速度式流量计</w:t>
            </w:r>
          </w:p>
        </w:tc>
        <w:tc>
          <w:tcPr>
            <w:tcW w:w="1119" w:type="pct"/>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color w:val="auto"/>
                <w:kern w:val="0"/>
                <w:sz w:val="21"/>
                <w:szCs w:val="21"/>
                <w:u w:val="none"/>
                <w:lang w:val="en-US" w:eastAsia="zh-CN"/>
              </w:rPr>
              <w:t>多普勒ISCO2150</w:t>
            </w:r>
          </w:p>
        </w:tc>
        <w:tc>
          <w:tcPr>
            <w:tcW w:w="579" w:type="pct"/>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i w:val="0"/>
                <w:color w:val="auto"/>
                <w:kern w:val="0"/>
                <w:sz w:val="21"/>
                <w:szCs w:val="21"/>
                <w:u w:val="none"/>
                <w:lang w:val="en-US" w:eastAsia="zh-CN"/>
              </w:rPr>
              <w:t>1</w:t>
            </w:r>
          </w:p>
        </w:tc>
        <w:tc>
          <w:tcPr>
            <w:tcW w:w="1531" w:type="pct"/>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color w:val="auto"/>
                <w:kern w:val="0"/>
                <w:sz w:val="21"/>
                <w:szCs w:val="21"/>
                <w:u w:val="none"/>
                <w:lang w:val="en-US" w:eastAsia="zh-CN"/>
              </w:rPr>
            </w:pPr>
            <w:r>
              <w:rPr>
                <w:rFonts w:hint="default" w:ascii="Times New Roman" w:hAnsi="Times New Roman" w:eastAsia="宋体" w:cs="Times New Roman"/>
                <w:b w:val="0"/>
                <w:bCs/>
                <w:i w:val="0"/>
                <w:color w:val="auto"/>
                <w:kern w:val="0"/>
                <w:sz w:val="21"/>
                <w:szCs w:val="21"/>
                <w:u w:val="none"/>
                <w:lang w:val="en-US" w:eastAsia="zh-CN"/>
              </w:rPr>
              <w:t>河流流量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val="en-US" w:eastAsia="zh-CN"/>
              </w:rPr>
              <w:t>便携式水文流速流量仪</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val="en-US" w:eastAsia="zh-CN"/>
              </w:rPr>
              <w:t>青岛聚创 JC-HS-2</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1</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河流流量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tcBorders>
              <w:left w:val="nil"/>
              <w:bottom w:val="nil"/>
              <w:right w:val="nil"/>
            </w:tcBorders>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p>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p>
        </w:tc>
      </w:tr>
    </w:tbl>
    <w:p>
      <w:pPr>
        <w:widowControl w:val="0"/>
        <w:spacing w:line="360" w:lineRule="auto"/>
        <w:ind w:left="0" w:leftChars="0" w:right="0" w:rightChars="0" w:firstLine="0" w:firstLineChars="0"/>
        <w:jc w:val="center"/>
        <w:rPr>
          <w:rFonts w:hint="eastAsia" w:ascii="Times New Roman" w:hAnsi="Times New Roman" w:eastAsia="宋体" w:cs="Times New Roman"/>
          <w:b/>
          <w:bCs/>
          <w:color w:val="auto"/>
          <w:kern w:val="0"/>
          <w:sz w:val="21"/>
          <w:szCs w:val="21"/>
          <w:lang w:val="en-US" w:eastAsia="zh-CN" w:bidi="ar-SA"/>
        </w:rPr>
      </w:pPr>
    </w:p>
    <w:p>
      <w:pPr>
        <w:widowControl w:val="0"/>
        <w:spacing w:line="360" w:lineRule="auto"/>
        <w:ind w:left="0" w:leftChars="0" w:right="0" w:rightChars="0" w:firstLine="0" w:firstLineChars="0"/>
        <w:jc w:val="center"/>
        <w:rPr>
          <w:rFonts w:hint="eastAsia"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辅助仪器设备</w:t>
      </w:r>
    </w:p>
    <w:tbl>
      <w:tblPr>
        <w:tblStyle w:val="42"/>
        <w:tblpPr w:leftFromText="180" w:rightFromText="180" w:vertAnchor="text" w:horzAnchor="page" w:tblpX="1832" w:tblpY="5"/>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3"/>
        <w:gridCol w:w="1976"/>
        <w:gridCol w:w="1076"/>
        <w:gridCol w:w="2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703"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设备名称</w:t>
            </w:r>
          </w:p>
        </w:tc>
        <w:tc>
          <w:tcPr>
            <w:tcW w:w="1159"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仪器型号</w:t>
            </w:r>
          </w:p>
        </w:tc>
        <w:tc>
          <w:tcPr>
            <w:tcW w:w="631"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台数</w:t>
            </w:r>
          </w:p>
        </w:tc>
        <w:tc>
          <w:tcPr>
            <w:tcW w:w="1506" w:type="pct"/>
            <w:noWrap w:val="0"/>
            <w:vAlign w:val="center"/>
          </w:tcPr>
          <w:p>
            <w:pPr>
              <w:widowControl/>
              <w:spacing w:line="240" w:lineRule="auto"/>
              <w:ind w:left="0" w:leftChars="0" w:right="0" w:righ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可监测因子</w:t>
            </w:r>
            <w:r>
              <w:rPr>
                <w:rFonts w:hint="default" w:ascii="Times New Roman" w:hAnsi="Times New Roman" w:eastAsia="宋体" w:cs="Times New Roman"/>
                <w:b/>
                <w:bCs w:val="0"/>
                <w:color w:val="auto"/>
                <w:kern w:val="0"/>
                <w:sz w:val="21"/>
                <w:szCs w:val="21"/>
                <w:lang w:eastAsia="zh-CN"/>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03"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大气压力表</w:t>
            </w:r>
          </w:p>
        </w:tc>
        <w:tc>
          <w:tcPr>
            <w:tcW w:w="115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DYM3型</w:t>
            </w:r>
          </w:p>
        </w:tc>
        <w:tc>
          <w:tcPr>
            <w:tcW w:w="6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2</w:t>
            </w:r>
          </w:p>
        </w:tc>
        <w:tc>
          <w:tcPr>
            <w:tcW w:w="1506"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测量大气压力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03"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激光测距测高仪</w:t>
            </w:r>
          </w:p>
        </w:tc>
        <w:tc>
          <w:tcPr>
            <w:tcW w:w="115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图柏斯200</w:t>
            </w:r>
          </w:p>
        </w:tc>
        <w:tc>
          <w:tcPr>
            <w:tcW w:w="6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1</w:t>
            </w:r>
          </w:p>
        </w:tc>
        <w:tc>
          <w:tcPr>
            <w:tcW w:w="1506"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测量高度、距离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03"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激光测距望远镜</w:t>
            </w:r>
          </w:p>
        </w:tc>
        <w:tc>
          <w:tcPr>
            <w:tcW w:w="115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TP320</w:t>
            </w:r>
          </w:p>
        </w:tc>
        <w:tc>
          <w:tcPr>
            <w:tcW w:w="6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1</w:t>
            </w:r>
          </w:p>
        </w:tc>
        <w:tc>
          <w:tcPr>
            <w:tcW w:w="1506"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测量距离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03"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便携式数字综合气象仪</w:t>
            </w:r>
          </w:p>
        </w:tc>
        <w:tc>
          <w:tcPr>
            <w:tcW w:w="115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w:t>
            </w:r>
          </w:p>
        </w:tc>
        <w:tc>
          <w:tcPr>
            <w:tcW w:w="6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2（套）</w:t>
            </w:r>
          </w:p>
        </w:tc>
        <w:tc>
          <w:tcPr>
            <w:tcW w:w="1506"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测量风速风向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03"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执法记录仪</w:t>
            </w:r>
          </w:p>
        </w:tc>
        <w:tc>
          <w:tcPr>
            <w:tcW w:w="115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VTR8210</w:t>
            </w:r>
          </w:p>
        </w:tc>
        <w:tc>
          <w:tcPr>
            <w:tcW w:w="6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4</w:t>
            </w:r>
          </w:p>
        </w:tc>
        <w:tc>
          <w:tcPr>
            <w:tcW w:w="1506"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录音录像、拍照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03"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直流电源箱</w:t>
            </w:r>
          </w:p>
        </w:tc>
        <w:tc>
          <w:tcPr>
            <w:tcW w:w="115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eastAsia" w:ascii="Times New Roman" w:hAnsi="Times New Roman" w:eastAsia="宋体" w:cs="Times New Roman"/>
                <w:b w:val="0"/>
                <w:bCs/>
                <w:i w:val="0"/>
                <w:snapToGrid/>
                <w:color w:val="auto"/>
                <w:sz w:val="21"/>
                <w:szCs w:val="21"/>
                <w:u w:val="none"/>
                <w:lang w:val="en-US" w:eastAsia="zh-CN"/>
              </w:rPr>
              <w:t>/</w:t>
            </w:r>
          </w:p>
        </w:tc>
        <w:tc>
          <w:tcPr>
            <w:tcW w:w="6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eastAsia" w:ascii="Times New Roman" w:hAnsi="Times New Roman" w:eastAsia="宋体" w:cs="Times New Roman"/>
                <w:b w:val="0"/>
                <w:bCs/>
                <w:i w:val="0"/>
                <w:snapToGrid/>
                <w:color w:val="auto"/>
                <w:sz w:val="21"/>
                <w:szCs w:val="21"/>
                <w:u w:val="none"/>
                <w:lang w:val="en-US" w:eastAsia="zh-CN"/>
              </w:rPr>
              <w:t>2</w:t>
            </w:r>
          </w:p>
        </w:tc>
        <w:tc>
          <w:tcPr>
            <w:tcW w:w="1506"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提供220V直流电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03"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无人机</w:t>
            </w:r>
          </w:p>
        </w:tc>
        <w:tc>
          <w:tcPr>
            <w:tcW w:w="115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大疆</w:t>
            </w:r>
          </w:p>
        </w:tc>
        <w:tc>
          <w:tcPr>
            <w:tcW w:w="6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1台</w:t>
            </w:r>
          </w:p>
        </w:tc>
        <w:tc>
          <w:tcPr>
            <w:tcW w:w="1506"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航拍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03" w:type="pct"/>
            <w:noWrap w:val="0"/>
            <w:vAlign w:val="center"/>
          </w:tcPr>
          <w:p>
            <w:pPr>
              <w:kinsoku/>
              <w:autoSpaceDE/>
              <w:autoSpaceDN w:val="0"/>
              <w:spacing w:line="36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车载冰箱</w:t>
            </w:r>
          </w:p>
        </w:tc>
        <w:tc>
          <w:tcPr>
            <w:tcW w:w="1159" w:type="pct"/>
            <w:noWrap w:val="0"/>
            <w:vAlign w:val="center"/>
          </w:tcPr>
          <w:p>
            <w:pPr>
              <w:kinsoku/>
              <w:autoSpaceDE/>
              <w:autoSpaceDN w:val="0"/>
              <w:spacing w:line="36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P15</w:t>
            </w:r>
          </w:p>
        </w:tc>
        <w:tc>
          <w:tcPr>
            <w:tcW w:w="631" w:type="pct"/>
            <w:noWrap w:val="0"/>
            <w:vAlign w:val="center"/>
          </w:tcPr>
          <w:p>
            <w:pPr>
              <w:kinsoku/>
              <w:autoSpaceDE/>
              <w:autoSpaceDN w:val="0"/>
              <w:spacing w:line="36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4</w:t>
            </w:r>
          </w:p>
        </w:tc>
        <w:tc>
          <w:tcPr>
            <w:tcW w:w="1506" w:type="pct"/>
            <w:noWrap w:val="0"/>
            <w:vAlign w:val="center"/>
          </w:tcPr>
          <w:p>
            <w:pPr>
              <w:kinsoku/>
              <w:autoSpaceDE/>
              <w:autoSpaceDN w:val="0"/>
              <w:spacing w:line="36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样品保存</w:t>
            </w:r>
          </w:p>
        </w:tc>
      </w:tr>
    </w:tbl>
    <w:p>
      <w:pPr>
        <w:widowControl w:val="0"/>
        <w:spacing w:line="360" w:lineRule="auto"/>
        <w:ind w:left="0" w:leftChars="0" w:right="0" w:rightChars="0" w:firstLine="0" w:firstLineChars="0"/>
        <w:jc w:val="both"/>
        <w:rPr>
          <w:rFonts w:hint="eastAsia" w:ascii="Times New Roman" w:hAnsi="Times New Roman" w:eastAsia="宋体" w:cs="Times New Roman"/>
          <w:b/>
          <w:bCs/>
          <w:color w:val="auto"/>
          <w:kern w:val="0"/>
          <w:sz w:val="21"/>
          <w:szCs w:val="21"/>
          <w:lang w:val="en-US" w:eastAsia="zh-CN" w:bidi="ar-SA"/>
        </w:rPr>
      </w:pPr>
    </w:p>
    <w:p>
      <w:pPr>
        <w:widowControl w:val="0"/>
        <w:spacing w:line="360" w:lineRule="auto"/>
        <w:ind w:left="0" w:leftChars="0" w:right="0" w:rightChars="0" w:firstLine="0" w:firstLineChars="0"/>
        <w:jc w:val="center"/>
        <w:rPr>
          <w:rFonts w:hint="eastAsia"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安全防护设备</w:t>
      </w: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5"/>
        <w:gridCol w:w="1907"/>
        <w:gridCol w:w="987"/>
        <w:gridCol w:w="2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设备名称</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仪器型号</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台数</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可监测因子（用途）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防护服</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3M</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5</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防护有毒有害污染物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防毒面罩</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val="en-US" w:eastAsia="zh-CN"/>
              </w:rPr>
              <w:t>3M</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10</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防护有毒有害污染物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安全帽</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5</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救援、防护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安全鞋</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5</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救援、防护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eastAsia="zh-CN"/>
              </w:rPr>
              <w:t>安全警示背心</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5</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eastAsia="zh-CN"/>
              </w:rPr>
            </w:pPr>
            <w:r>
              <w:rPr>
                <w:rFonts w:hint="default" w:ascii="Times New Roman" w:hAnsi="Times New Roman" w:eastAsia="宋体" w:cs="Times New Roman"/>
                <w:b w:val="0"/>
                <w:bCs/>
                <w:i w:val="0"/>
                <w:snapToGrid/>
                <w:color w:val="auto"/>
                <w:sz w:val="21"/>
                <w:szCs w:val="21"/>
                <w:u w:val="none"/>
                <w:lang w:val="en-US" w:eastAsia="zh-CN"/>
              </w:rPr>
              <w:t>救援、防护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安全绳</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2</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救援、防护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救生衣</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5</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救援、防护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一次性丁腈手套</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若干</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救援、防护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应急医药箱</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1</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急救、防护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连体全气密性防化服</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Eychen TK660</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2</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防护有毒有害污染物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6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空气呼吸器</w:t>
            </w:r>
          </w:p>
        </w:tc>
        <w:tc>
          <w:tcPr>
            <w:tcW w:w="111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BD 2100</w:t>
            </w:r>
          </w:p>
        </w:tc>
        <w:tc>
          <w:tcPr>
            <w:tcW w:w="579"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val="en-US" w:eastAsia="zh-CN"/>
              </w:rPr>
              <w:t>2</w:t>
            </w:r>
          </w:p>
        </w:tc>
        <w:tc>
          <w:tcPr>
            <w:tcW w:w="1531" w:type="pct"/>
            <w:noWrap w:val="0"/>
            <w:vAlign w:val="center"/>
          </w:tcPr>
          <w:p>
            <w:pPr>
              <w:kinsoku/>
              <w:autoSpaceDE/>
              <w:autoSpaceDN w:val="0"/>
              <w:spacing w:line="240" w:lineRule="auto"/>
              <w:ind w:firstLine="0" w:firstLineChars="0"/>
              <w:jc w:val="center"/>
              <w:textAlignment w:val="center"/>
              <w:rPr>
                <w:rFonts w:hint="default" w:ascii="Times New Roman" w:hAnsi="Times New Roman" w:eastAsia="宋体" w:cs="Times New Roman"/>
                <w:b w:val="0"/>
                <w:bCs/>
                <w:i w:val="0"/>
                <w:snapToGrid/>
                <w:color w:val="auto"/>
                <w:sz w:val="21"/>
                <w:szCs w:val="21"/>
                <w:u w:val="none"/>
                <w:lang w:val="en-US" w:eastAsia="zh-CN"/>
              </w:rPr>
            </w:pPr>
            <w:r>
              <w:rPr>
                <w:rFonts w:hint="default" w:ascii="Times New Roman" w:hAnsi="Times New Roman" w:eastAsia="宋体" w:cs="Times New Roman"/>
                <w:b w:val="0"/>
                <w:bCs/>
                <w:i w:val="0"/>
                <w:snapToGrid/>
                <w:color w:val="auto"/>
                <w:sz w:val="21"/>
                <w:szCs w:val="21"/>
                <w:u w:val="none"/>
                <w:lang w:eastAsia="zh-CN"/>
              </w:rPr>
              <w:t>防护有毒有害污染物</w:t>
            </w:r>
          </w:p>
        </w:tc>
      </w:tr>
    </w:tbl>
    <w:p>
      <w:pPr>
        <w:pStyle w:val="41"/>
        <w:rPr>
          <w:rFonts w:hint="eastAsia"/>
          <w:b/>
          <w:bCs/>
          <w:color w:val="auto"/>
          <w:sz w:val="21"/>
          <w:szCs w:val="21"/>
          <w:lang w:val="en-US" w:eastAsia="zh-CN"/>
        </w:rPr>
      </w:pPr>
    </w:p>
    <w:p>
      <w:pPr>
        <w:pStyle w:val="41"/>
        <w:rPr>
          <w:rFonts w:hint="eastAsia"/>
          <w:b/>
          <w:bCs/>
          <w:color w:val="auto"/>
          <w:sz w:val="21"/>
          <w:szCs w:val="21"/>
          <w:lang w:val="en-US" w:eastAsia="zh-CN"/>
        </w:rPr>
      </w:pPr>
    </w:p>
    <w:p>
      <w:pPr>
        <w:widowControl/>
        <w:spacing w:line="240" w:lineRule="auto"/>
        <w:ind w:firstLine="0" w:firstLineChars="0"/>
        <w:jc w:val="left"/>
        <w:rPr>
          <w:rFonts w:hint="eastAsia"/>
          <w:b/>
          <w:bCs/>
          <w:color w:val="auto"/>
          <w:sz w:val="21"/>
          <w:szCs w:val="21"/>
        </w:rPr>
      </w:pPr>
    </w:p>
    <w:p>
      <w:pPr>
        <w:numPr>
          <w:ilvl w:val="0"/>
          <w:numId w:val="7"/>
        </w:numPr>
        <w:spacing w:line="240" w:lineRule="auto"/>
        <w:ind w:left="0" w:leftChars="0" w:firstLine="0" w:firstLineChars="0"/>
        <w:jc w:val="both"/>
        <w:rPr>
          <w:rFonts w:hint="eastAsia"/>
          <w:b/>
          <w:bCs/>
          <w:color w:val="auto"/>
          <w:sz w:val="21"/>
          <w:szCs w:val="21"/>
        </w:rPr>
      </w:pPr>
      <w:r>
        <w:rPr>
          <w:rFonts w:hint="eastAsia"/>
          <w:b/>
          <w:bCs/>
          <w:color w:val="auto"/>
          <w:sz w:val="21"/>
          <w:szCs w:val="21"/>
        </w:rPr>
        <w:t>清远市清新区</w:t>
      </w:r>
      <w:r>
        <w:rPr>
          <w:rFonts w:hint="eastAsia"/>
          <w:b/>
          <w:bCs/>
          <w:color w:val="auto"/>
          <w:sz w:val="21"/>
          <w:szCs w:val="21"/>
          <w:lang w:val="en-US" w:eastAsia="zh-CN"/>
        </w:rPr>
        <w:t>太和供水</w:t>
      </w:r>
      <w:r>
        <w:rPr>
          <w:rFonts w:hint="eastAsia"/>
          <w:b/>
          <w:bCs/>
          <w:color w:val="auto"/>
          <w:sz w:val="21"/>
          <w:szCs w:val="21"/>
        </w:rPr>
        <w:t>有限公司</w:t>
      </w:r>
    </w:p>
    <w:p>
      <w:pPr>
        <w:numPr>
          <w:ilvl w:val="0"/>
          <w:numId w:val="0"/>
        </w:numPr>
        <w:spacing w:line="240" w:lineRule="auto"/>
        <w:ind w:leftChars="0" w:firstLine="421" w:firstLineChars="200"/>
        <w:jc w:val="both"/>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（联系人</w:t>
      </w:r>
      <w:r>
        <w:rPr>
          <w:rFonts w:hint="eastAsia" w:cs="Times New Roman"/>
          <w:b/>
          <w:bCs/>
          <w:color w:val="auto"/>
          <w:sz w:val="21"/>
          <w:szCs w:val="21"/>
          <w:lang w:val="en-US" w:eastAsia="zh-CN"/>
        </w:rPr>
        <w:t>及电话</w:t>
      </w:r>
      <w:r>
        <w:rPr>
          <w:rFonts w:hint="eastAsia" w:ascii="Times New Roman" w:hAnsi="Times New Roman" w:eastAsia="宋体" w:cs="Times New Roman"/>
          <w:b/>
          <w:bCs/>
          <w:color w:val="auto"/>
          <w:sz w:val="21"/>
          <w:szCs w:val="21"/>
          <w:lang w:val="en-US" w:eastAsia="zh-CN"/>
        </w:rPr>
        <w:t>：</w:t>
      </w:r>
      <w:r>
        <w:rPr>
          <w:rFonts w:hint="eastAsia" w:cs="Times New Roman"/>
          <w:b/>
          <w:bCs/>
          <w:color w:val="auto"/>
          <w:sz w:val="21"/>
          <w:szCs w:val="21"/>
          <w:lang w:val="en-US" w:eastAsia="zh-CN"/>
        </w:rPr>
        <w:t>孟凡宾13922561685</w:t>
      </w:r>
      <w:r>
        <w:rPr>
          <w:rFonts w:hint="eastAsia" w:ascii="Times New Roman" w:hAnsi="Times New Roman" w:eastAsia="宋体" w:cs="Times New Roman"/>
          <w:b/>
          <w:bCs/>
          <w:color w:val="auto"/>
          <w:sz w:val="21"/>
          <w:szCs w:val="21"/>
          <w:lang w:val="en-US" w:eastAsia="zh-CN"/>
        </w:rPr>
        <w:t xml:space="preserve"> </w:t>
      </w:r>
      <w:r>
        <w:rPr>
          <w:rFonts w:hint="eastAsia" w:cs="Times New Roman"/>
          <w:b/>
          <w:bCs/>
          <w:color w:val="auto"/>
          <w:sz w:val="21"/>
          <w:szCs w:val="21"/>
          <w:lang w:val="en-US" w:eastAsia="zh-CN"/>
        </w:rPr>
        <w:t xml:space="preserve"> 李雨宁</w:t>
      </w:r>
      <w:r>
        <w:rPr>
          <w:rFonts w:hint="eastAsia" w:ascii="Times New Roman" w:hAnsi="Times New Roman" w:eastAsia="宋体" w:cs="Times New Roman"/>
          <w:b/>
          <w:bCs/>
          <w:color w:val="auto"/>
          <w:sz w:val="21"/>
          <w:szCs w:val="21"/>
          <w:lang w:val="en-US" w:eastAsia="zh-CN"/>
        </w:rPr>
        <w:t>13</w:t>
      </w:r>
      <w:r>
        <w:rPr>
          <w:rFonts w:hint="eastAsia" w:cs="Times New Roman"/>
          <w:b/>
          <w:bCs/>
          <w:color w:val="auto"/>
          <w:sz w:val="21"/>
          <w:szCs w:val="21"/>
          <w:lang w:val="en-US" w:eastAsia="zh-CN"/>
        </w:rPr>
        <w:t>926665599</w:t>
      </w:r>
      <w:r>
        <w:rPr>
          <w:rFonts w:hint="eastAsia" w:ascii="Times New Roman" w:hAnsi="Times New Roman" w:eastAsia="宋体" w:cs="Times New Roman"/>
          <w:b/>
          <w:bCs/>
          <w:color w:val="auto"/>
          <w:sz w:val="21"/>
          <w:szCs w:val="21"/>
          <w:lang w:val="en-US" w:eastAsia="zh-CN"/>
        </w:rPr>
        <w:t>）</w:t>
      </w: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906"/>
        <w:gridCol w:w="977"/>
        <w:gridCol w:w="1677"/>
        <w:gridCol w:w="3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blHeader/>
          <w:jc w:val="center"/>
        </w:trPr>
        <w:tc>
          <w:tcPr>
            <w:tcW w:w="741" w:type="dxa"/>
            <w:shd w:val="clear" w:color="auto" w:fill="auto"/>
            <w:vAlign w:val="center"/>
          </w:tcPr>
          <w:p>
            <w:pPr>
              <w:spacing w:line="240" w:lineRule="auto"/>
              <w:ind w:firstLine="0" w:firstLineChars="0"/>
              <w:jc w:val="center"/>
              <w:rPr>
                <w:rFonts w:hint="eastAsia"/>
                <w:b/>
                <w:bCs/>
                <w:color w:val="auto"/>
                <w:spacing w:val="3"/>
                <w:sz w:val="21"/>
                <w:szCs w:val="21"/>
                <w:lang w:val="en-US" w:eastAsia="zh-CN"/>
              </w:rPr>
            </w:pPr>
            <w:r>
              <w:rPr>
                <w:rFonts w:hint="eastAsia"/>
                <w:b/>
                <w:color w:val="auto"/>
                <w:sz w:val="21"/>
                <w:szCs w:val="21"/>
                <w:lang w:val="en-US" w:eastAsia="zh-CN"/>
              </w:rPr>
              <w:t>序号</w:t>
            </w:r>
          </w:p>
        </w:tc>
        <w:tc>
          <w:tcPr>
            <w:tcW w:w="1906" w:type="dxa"/>
            <w:shd w:val="clear" w:color="auto" w:fill="auto"/>
            <w:vAlign w:val="center"/>
          </w:tcPr>
          <w:p>
            <w:pPr>
              <w:pStyle w:val="206"/>
              <w:spacing w:before="35" w:line="217" w:lineRule="auto"/>
              <w:ind w:left="0" w:leftChars="0" w:firstLine="0" w:firstLineChars="0"/>
              <w:jc w:val="center"/>
              <w:rPr>
                <w:rFonts w:hint="eastAsia"/>
                <w:b/>
                <w:bCs/>
                <w:color w:val="auto"/>
                <w:spacing w:val="3"/>
                <w:sz w:val="21"/>
                <w:szCs w:val="21"/>
                <w:lang w:val="en-US" w:eastAsia="zh-CN"/>
              </w:rPr>
            </w:pPr>
            <w:r>
              <w:rPr>
                <w:rFonts w:hint="eastAsia"/>
                <w:b/>
                <w:bCs/>
                <w:color w:val="auto"/>
                <w:spacing w:val="3"/>
                <w:sz w:val="21"/>
                <w:szCs w:val="21"/>
                <w:lang w:val="en-US" w:eastAsia="zh-CN"/>
              </w:rPr>
              <w:t>物资、装备名称</w:t>
            </w:r>
          </w:p>
        </w:tc>
        <w:tc>
          <w:tcPr>
            <w:tcW w:w="977" w:type="dxa"/>
            <w:shd w:val="clear" w:color="auto" w:fill="auto"/>
            <w:vAlign w:val="center"/>
          </w:tcPr>
          <w:p>
            <w:pPr>
              <w:pStyle w:val="206"/>
              <w:spacing w:before="35" w:line="217" w:lineRule="auto"/>
              <w:ind w:left="0" w:leftChars="0" w:firstLine="0" w:firstLineChars="0"/>
              <w:jc w:val="center"/>
              <w:rPr>
                <w:rFonts w:hint="eastAsia"/>
                <w:b/>
                <w:bCs/>
                <w:color w:val="auto"/>
                <w:spacing w:val="3"/>
                <w:sz w:val="21"/>
                <w:szCs w:val="21"/>
                <w:lang w:val="en-US" w:eastAsia="zh-CN"/>
              </w:rPr>
            </w:pPr>
            <w:r>
              <w:rPr>
                <w:rFonts w:hint="eastAsia"/>
                <w:b/>
                <w:bCs/>
                <w:color w:val="auto"/>
                <w:spacing w:val="3"/>
                <w:sz w:val="21"/>
                <w:szCs w:val="21"/>
                <w:lang w:val="en-US" w:eastAsia="zh-CN"/>
              </w:rPr>
              <w:t>单位</w:t>
            </w:r>
          </w:p>
        </w:tc>
        <w:tc>
          <w:tcPr>
            <w:tcW w:w="1677" w:type="dxa"/>
            <w:shd w:val="clear" w:color="auto" w:fill="auto"/>
            <w:vAlign w:val="center"/>
          </w:tcPr>
          <w:p>
            <w:pPr>
              <w:pStyle w:val="206"/>
              <w:spacing w:before="35" w:line="217" w:lineRule="auto"/>
              <w:ind w:left="0" w:leftChars="0" w:firstLine="0" w:firstLineChars="0"/>
              <w:jc w:val="center"/>
              <w:rPr>
                <w:rFonts w:hint="eastAsia"/>
                <w:b/>
                <w:bCs/>
                <w:color w:val="auto"/>
                <w:spacing w:val="3"/>
                <w:sz w:val="21"/>
                <w:szCs w:val="21"/>
                <w:lang w:val="en-US" w:eastAsia="zh-CN"/>
              </w:rPr>
            </w:pPr>
            <w:r>
              <w:rPr>
                <w:rFonts w:hint="eastAsia"/>
                <w:b/>
                <w:bCs/>
                <w:color w:val="auto"/>
                <w:spacing w:val="3"/>
                <w:sz w:val="21"/>
                <w:szCs w:val="21"/>
                <w:lang w:val="en-US" w:eastAsia="zh-CN"/>
              </w:rPr>
              <w:t>数量</w:t>
            </w:r>
          </w:p>
        </w:tc>
        <w:tc>
          <w:tcPr>
            <w:tcW w:w="3218" w:type="dxa"/>
            <w:vAlign w:val="center"/>
          </w:tcPr>
          <w:p>
            <w:pPr>
              <w:pStyle w:val="206"/>
              <w:spacing w:before="35" w:line="217" w:lineRule="auto"/>
              <w:ind w:left="0" w:leftChars="0" w:firstLine="0" w:firstLineChars="0"/>
              <w:jc w:val="center"/>
              <w:rPr>
                <w:rFonts w:hint="eastAsia"/>
                <w:b/>
                <w:bCs/>
                <w:color w:val="auto"/>
                <w:spacing w:val="3"/>
                <w:sz w:val="21"/>
                <w:szCs w:val="21"/>
                <w:lang w:val="en-US" w:eastAsia="zh-CN"/>
              </w:rPr>
            </w:pPr>
            <w:r>
              <w:rPr>
                <w:rFonts w:hint="eastAsia"/>
                <w:b/>
                <w:bCs/>
                <w:color w:val="auto"/>
                <w:spacing w:val="3"/>
                <w:sz w:val="21"/>
                <w:szCs w:val="21"/>
                <w:lang w:val="en-US" w:eastAsia="zh-CN"/>
              </w:rPr>
              <w:t>储存位置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41"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en-US"/>
              </w:rPr>
              <w:t>1</w:t>
            </w:r>
          </w:p>
        </w:tc>
        <w:tc>
          <w:tcPr>
            <w:tcW w:w="1906" w:type="dxa"/>
            <w:shd w:val="clear" w:color="auto" w:fill="auto"/>
            <w:vAlign w:val="center"/>
          </w:tcPr>
          <w:p>
            <w:pPr>
              <w:pStyle w:val="206"/>
              <w:spacing w:before="35" w:line="217" w:lineRule="auto"/>
              <w:ind w:left="0" w:leftChars="0" w:firstLine="0" w:firstLineChars="0"/>
              <w:jc w:val="center"/>
              <w:rPr>
                <w:rFonts w:hint="eastAsia" w:ascii="宋体" w:hAnsi="宋体" w:eastAsia="宋体" w:cs="宋体"/>
                <w:color w:val="auto"/>
                <w:spacing w:val="3"/>
                <w:kern w:val="2"/>
                <w:sz w:val="21"/>
                <w:szCs w:val="21"/>
                <w:lang w:val="en-US" w:eastAsia="zh-CN" w:bidi="ar-SA"/>
              </w:rPr>
            </w:pPr>
            <w:r>
              <w:rPr>
                <w:rFonts w:hint="eastAsia"/>
                <w:color w:val="auto"/>
                <w:spacing w:val="3"/>
                <w:sz w:val="21"/>
                <w:szCs w:val="21"/>
                <w:lang w:val="en-US" w:eastAsia="zh-CN"/>
              </w:rPr>
              <w:t>活性炭</w:t>
            </w:r>
          </w:p>
        </w:tc>
        <w:tc>
          <w:tcPr>
            <w:tcW w:w="9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吨</w:t>
            </w:r>
          </w:p>
        </w:tc>
        <w:tc>
          <w:tcPr>
            <w:tcW w:w="16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2</w:t>
            </w:r>
          </w:p>
        </w:tc>
        <w:tc>
          <w:tcPr>
            <w:tcW w:w="3218" w:type="dxa"/>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第一水厂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41" w:type="dxa"/>
            <w:shd w:val="clear" w:color="auto" w:fill="auto"/>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zh-CN"/>
              </w:rPr>
              <w:t>2</w:t>
            </w:r>
          </w:p>
        </w:tc>
        <w:tc>
          <w:tcPr>
            <w:tcW w:w="1906" w:type="dxa"/>
            <w:shd w:val="clear" w:color="auto" w:fill="auto"/>
            <w:vAlign w:val="center"/>
          </w:tcPr>
          <w:p>
            <w:pPr>
              <w:pStyle w:val="206"/>
              <w:spacing w:before="35" w:line="217" w:lineRule="auto"/>
              <w:ind w:left="0" w:leftChars="0" w:firstLine="0" w:firstLineChars="0"/>
              <w:jc w:val="center"/>
              <w:rPr>
                <w:rFonts w:hint="eastAsia" w:ascii="宋体" w:hAnsi="宋体" w:eastAsia="宋体" w:cs="宋体"/>
                <w:color w:val="auto"/>
                <w:spacing w:val="3"/>
                <w:kern w:val="2"/>
                <w:sz w:val="21"/>
                <w:szCs w:val="21"/>
                <w:lang w:val="en-US" w:eastAsia="zh-CN" w:bidi="ar-SA"/>
              </w:rPr>
            </w:pPr>
            <w:r>
              <w:rPr>
                <w:rFonts w:hint="eastAsia"/>
                <w:color w:val="auto"/>
                <w:spacing w:val="3"/>
                <w:sz w:val="21"/>
                <w:szCs w:val="21"/>
                <w:lang w:val="en-US" w:eastAsia="zh-CN"/>
              </w:rPr>
              <w:t>聚合氯化铝</w:t>
            </w:r>
          </w:p>
        </w:tc>
        <w:tc>
          <w:tcPr>
            <w:tcW w:w="9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吨</w:t>
            </w:r>
          </w:p>
        </w:tc>
        <w:tc>
          <w:tcPr>
            <w:tcW w:w="1677"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35</w:t>
            </w:r>
          </w:p>
        </w:tc>
        <w:tc>
          <w:tcPr>
            <w:tcW w:w="3218" w:type="dxa"/>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第一水厂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41" w:type="dxa"/>
            <w:shd w:val="clear" w:color="auto" w:fill="auto"/>
            <w:vAlign w:val="top"/>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3</w:t>
            </w:r>
          </w:p>
        </w:tc>
        <w:tc>
          <w:tcPr>
            <w:tcW w:w="1906"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液碱</w:t>
            </w:r>
          </w:p>
        </w:tc>
        <w:tc>
          <w:tcPr>
            <w:tcW w:w="977"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公斤</w:t>
            </w:r>
          </w:p>
        </w:tc>
        <w:tc>
          <w:tcPr>
            <w:tcW w:w="1677"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3672.9</w:t>
            </w:r>
          </w:p>
        </w:tc>
        <w:tc>
          <w:tcPr>
            <w:tcW w:w="3218" w:type="dxa"/>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第一水厂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41" w:type="dxa"/>
            <w:shd w:val="clear" w:color="auto" w:fill="auto"/>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zh-CN"/>
              </w:rPr>
              <w:t>4</w:t>
            </w:r>
          </w:p>
        </w:tc>
        <w:tc>
          <w:tcPr>
            <w:tcW w:w="1906" w:type="dxa"/>
            <w:shd w:val="clear" w:color="auto" w:fill="auto"/>
            <w:vAlign w:val="center"/>
          </w:tcPr>
          <w:p>
            <w:pPr>
              <w:pStyle w:val="206"/>
              <w:spacing w:before="35" w:line="217" w:lineRule="auto"/>
              <w:ind w:left="0" w:leftChars="0" w:firstLine="0" w:firstLineChars="0"/>
              <w:jc w:val="center"/>
              <w:rPr>
                <w:rFonts w:hint="eastAsia" w:ascii="宋体" w:hAnsi="宋体" w:eastAsia="宋体" w:cs="宋体"/>
                <w:color w:val="auto"/>
                <w:spacing w:val="3"/>
                <w:kern w:val="2"/>
                <w:sz w:val="21"/>
                <w:szCs w:val="21"/>
                <w:lang w:val="en-US" w:eastAsia="zh-CN" w:bidi="ar-SA"/>
              </w:rPr>
            </w:pPr>
            <w:r>
              <w:rPr>
                <w:rFonts w:hint="eastAsia"/>
                <w:color w:val="auto"/>
                <w:spacing w:val="3"/>
                <w:sz w:val="21"/>
                <w:szCs w:val="21"/>
                <w:lang w:val="en-US" w:eastAsia="zh-CN"/>
              </w:rPr>
              <w:t>活性炭</w:t>
            </w:r>
          </w:p>
        </w:tc>
        <w:tc>
          <w:tcPr>
            <w:tcW w:w="9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吨</w:t>
            </w:r>
          </w:p>
        </w:tc>
        <w:tc>
          <w:tcPr>
            <w:tcW w:w="16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1.72</w:t>
            </w:r>
          </w:p>
        </w:tc>
        <w:tc>
          <w:tcPr>
            <w:tcW w:w="3218" w:type="dxa"/>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第二水厂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41" w:type="dxa"/>
            <w:vMerge w:val="restart"/>
            <w:shd w:val="clear" w:color="auto" w:fill="auto"/>
            <w:vAlign w:val="center"/>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zh-CN"/>
              </w:rPr>
              <w:t>5</w:t>
            </w:r>
          </w:p>
        </w:tc>
        <w:tc>
          <w:tcPr>
            <w:tcW w:w="1906" w:type="dxa"/>
            <w:vMerge w:val="restart"/>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吸油毡</w:t>
            </w:r>
          </w:p>
        </w:tc>
        <w:tc>
          <w:tcPr>
            <w:tcW w:w="9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张</w:t>
            </w:r>
          </w:p>
        </w:tc>
        <w:tc>
          <w:tcPr>
            <w:tcW w:w="1677"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75</w:t>
            </w:r>
          </w:p>
        </w:tc>
        <w:tc>
          <w:tcPr>
            <w:tcW w:w="3218" w:type="dxa"/>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第一水厂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41" w:type="dxa"/>
            <w:vMerge w:val="continue"/>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p>
        </w:tc>
        <w:tc>
          <w:tcPr>
            <w:tcW w:w="1906" w:type="dxa"/>
            <w:vMerge w:val="continue"/>
            <w:shd w:val="clear" w:color="auto" w:fill="auto"/>
            <w:vAlign w:val="center"/>
          </w:tcPr>
          <w:p>
            <w:pPr>
              <w:pStyle w:val="206"/>
              <w:spacing w:before="35" w:line="217" w:lineRule="auto"/>
              <w:ind w:left="0" w:leftChars="0" w:firstLine="0" w:firstLineChars="0"/>
              <w:jc w:val="center"/>
              <w:rPr>
                <w:rFonts w:hint="eastAsia" w:ascii="宋体" w:hAnsi="宋体" w:eastAsia="宋体" w:cs="宋体"/>
                <w:color w:val="auto"/>
                <w:spacing w:val="3"/>
                <w:kern w:val="2"/>
                <w:sz w:val="21"/>
                <w:szCs w:val="21"/>
                <w:lang w:val="en-US" w:eastAsia="zh-CN" w:bidi="ar-SA"/>
              </w:rPr>
            </w:pPr>
          </w:p>
        </w:tc>
        <w:tc>
          <w:tcPr>
            <w:tcW w:w="9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张</w:t>
            </w:r>
          </w:p>
        </w:tc>
        <w:tc>
          <w:tcPr>
            <w:tcW w:w="1677"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200</w:t>
            </w:r>
          </w:p>
        </w:tc>
        <w:tc>
          <w:tcPr>
            <w:tcW w:w="3218" w:type="dxa"/>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第二水厂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41" w:type="dxa"/>
            <w:shd w:val="clear" w:color="auto" w:fill="auto"/>
            <w:vAlign w:val="top"/>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en-US"/>
              </w:rPr>
              <w:t>6</w:t>
            </w:r>
          </w:p>
        </w:tc>
        <w:tc>
          <w:tcPr>
            <w:tcW w:w="1906" w:type="dxa"/>
            <w:shd w:val="clear" w:color="auto" w:fill="auto"/>
            <w:vAlign w:val="center"/>
          </w:tcPr>
          <w:p>
            <w:pPr>
              <w:pStyle w:val="206"/>
              <w:spacing w:before="35" w:line="217" w:lineRule="auto"/>
              <w:ind w:left="0" w:leftChars="0" w:firstLine="0" w:firstLineChars="0"/>
              <w:jc w:val="center"/>
              <w:rPr>
                <w:rFonts w:hint="default" w:ascii="宋体" w:hAnsi="宋体" w:eastAsia="宋体" w:cs="宋体"/>
                <w:color w:val="auto"/>
                <w:spacing w:val="3"/>
                <w:kern w:val="2"/>
                <w:sz w:val="21"/>
                <w:szCs w:val="21"/>
                <w:lang w:val="en-US" w:eastAsia="zh-CN" w:bidi="ar-SA"/>
              </w:rPr>
            </w:pPr>
            <w:r>
              <w:rPr>
                <w:rFonts w:hint="eastAsia"/>
                <w:color w:val="auto"/>
                <w:spacing w:val="3"/>
                <w:sz w:val="21"/>
                <w:szCs w:val="21"/>
                <w:lang w:val="en-US" w:eastAsia="zh-CN"/>
              </w:rPr>
              <w:t>防油围栏1</w:t>
            </w:r>
          </w:p>
        </w:tc>
        <w:tc>
          <w:tcPr>
            <w:tcW w:w="9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条</w:t>
            </w:r>
          </w:p>
        </w:tc>
        <w:tc>
          <w:tcPr>
            <w:tcW w:w="1677"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14</w:t>
            </w:r>
          </w:p>
        </w:tc>
        <w:tc>
          <w:tcPr>
            <w:tcW w:w="3218"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第一水厂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41"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en-US"/>
              </w:rPr>
              <w:t>7</w:t>
            </w:r>
          </w:p>
        </w:tc>
        <w:tc>
          <w:tcPr>
            <w:tcW w:w="1906" w:type="dxa"/>
            <w:shd w:val="clear" w:color="auto" w:fill="auto"/>
            <w:vAlign w:val="center"/>
          </w:tcPr>
          <w:p>
            <w:pPr>
              <w:pStyle w:val="206"/>
              <w:spacing w:before="35" w:line="217" w:lineRule="auto"/>
              <w:ind w:left="0" w:leftChars="0" w:firstLine="0" w:firstLineChars="0"/>
              <w:jc w:val="center"/>
              <w:rPr>
                <w:rFonts w:hint="default" w:ascii="宋体" w:hAnsi="宋体" w:eastAsia="宋体" w:cs="宋体"/>
                <w:color w:val="auto"/>
                <w:spacing w:val="3"/>
                <w:kern w:val="2"/>
                <w:sz w:val="21"/>
                <w:szCs w:val="21"/>
                <w:lang w:val="en-US" w:eastAsia="zh-CN" w:bidi="ar-SA"/>
              </w:rPr>
            </w:pPr>
            <w:r>
              <w:rPr>
                <w:rFonts w:hint="eastAsia"/>
                <w:color w:val="auto"/>
                <w:spacing w:val="3"/>
                <w:sz w:val="21"/>
                <w:szCs w:val="21"/>
                <w:lang w:val="en-US" w:eastAsia="zh-CN"/>
              </w:rPr>
              <w:t>防油围栏2</w:t>
            </w:r>
          </w:p>
        </w:tc>
        <w:tc>
          <w:tcPr>
            <w:tcW w:w="9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条</w:t>
            </w:r>
          </w:p>
        </w:tc>
        <w:tc>
          <w:tcPr>
            <w:tcW w:w="1677"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20</w:t>
            </w:r>
          </w:p>
        </w:tc>
        <w:tc>
          <w:tcPr>
            <w:tcW w:w="3218"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第二水厂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41"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8</w:t>
            </w:r>
          </w:p>
        </w:tc>
        <w:tc>
          <w:tcPr>
            <w:tcW w:w="1906" w:type="dxa"/>
            <w:shd w:val="clear" w:color="auto" w:fill="auto"/>
            <w:vAlign w:val="center"/>
          </w:tcPr>
          <w:p>
            <w:pPr>
              <w:pStyle w:val="206"/>
              <w:spacing w:before="35" w:line="217" w:lineRule="auto"/>
              <w:ind w:left="0" w:leftChars="0" w:firstLine="0" w:firstLineChars="0"/>
              <w:jc w:val="center"/>
              <w:rPr>
                <w:rFonts w:hint="eastAsia" w:ascii="宋体" w:hAnsi="宋体" w:eastAsia="宋体" w:cs="宋体"/>
                <w:color w:val="auto"/>
                <w:spacing w:val="3"/>
                <w:kern w:val="2"/>
                <w:sz w:val="21"/>
                <w:szCs w:val="21"/>
                <w:lang w:val="en-US" w:eastAsia="zh-CN" w:bidi="ar-SA"/>
              </w:rPr>
            </w:pPr>
            <w:r>
              <w:rPr>
                <w:rFonts w:hint="eastAsia"/>
                <w:color w:val="auto"/>
                <w:spacing w:val="3"/>
                <w:sz w:val="21"/>
                <w:szCs w:val="21"/>
                <w:lang w:val="en-US" w:eastAsia="zh-CN"/>
              </w:rPr>
              <w:t>高锰酸钾</w:t>
            </w:r>
          </w:p>
        </w:tc>
        <w:tc>
          <w:tcPr>
            <w:tcW w:w="9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公斤</w:t>
            </w:r>
          </w:p>
        </w:tc>
        <w:tc>
          <w:tcPr>
            <w:tcW w:w="1677"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500</w:t>
            </w:r>
          </w:p>
        </w:tc>
        <w:tc>
          <w:tcPr>
            <w:tcW w:w="3218" w:type="dxa"/>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第二水厂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41" w:type="dxa"/>
            <w:shd w:val="clear" w:color="auto" w:fill="auto"/>
            <w:vAlign w:val="center"/>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9</w:t>
            </w:r>
          </w:p>
        </w:tc>
        <w:tc>
          <w:tcPr>
            <w:tcW w:w="1906" w:type="dxa"/>
            <w:shd w:val="clear" w:color="auto" w:fill="auto"/>
            <w:vAlign w:val="center"/>
          </w:tcPr>
          <w:p>
            <w:pPr>
              <w:pStyle w:val="206"/>
              <w:spacing w:before="35" w:line="217" w:lineRule="auto"/>
              <w:ind w:left="0" w:leftChars="0" w:firstLine="0" w:firstLineChars="0"/>
              <w:jc w:val="center"/>
              <w:rPr>
                <w:rFonts w:hint="eastAsia" w:ascii="宋体" w:hAnsi="宋体" w:eastAsia="宋体" w:cs="宋体"/>
                <w:color w:val="auto"/>
                <w:spacing w:val="3"/>
                <w:kern w:val="2"/>
                <w:sz w:val="21"/>
                <w:szCs w:val="21"/>
                <w:lang w:val="en-US" w:eastAsia="zh-CN" w:bidi="ar-SA"/>
              </w:rPr>
            </w:pPr>
            <w:r>
              <w:rPr>
                <w:rFonts w:hint="eastAsia"/>
                <w:color w:val="auto"/>
                <w:spacing w:val="3"/>
                <w:sz w:val="21"/>
                <w:szCs w:val="21"/>
                <w:lang w:val="en-US" w:eastAsia="zh-CN"/>
              </w:rPr>
              <w:t>聚合氯化铝</w:t>
            </w:r>
          </w:p>
        </w:tc>
        <w:tc>
          <w:tcPr>
            <w:tcW w:w="9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吨</w:t>
            </w:r>
          </w:p>
        </w:tc>
        <w:tc>
          <w:tcPr>
            <w:tcW w:w="1677" w:type="dxa"/>
            <w:shd w:val="clear" w:color="auto" w:fill="auto"/>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30</w:t>
            </w:r>
          </w:p>
        </w:tc>
        <w:tc>
          <w:tcPr>
            <w:tcW w:w="3218" w:type="dxa"/>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第二水厂</w:t>
            </w:r>
          </w:p>
        </w:tc>
      </w:tr>
    </w:tbl>
    <w:p>
      <w:pPr>
        <w:bidi w:val="0"/>
      </w:pPr>
      <w:bookmarkStart w:id="183" w:name="_Toc1966"/>
      <w:bookmarkStart w:id="184" w:name="_Toc11460"/>
      <w:bookmarkStart w:id="185" w:name="_Toc22670"/>
    </w:p>
    <w:p>
      <w:pPr>
        <w:spacing w:line="240" w:lineRule="auto"/>
        <w:ind w:firstLine="0" w:firstLineChars="0"/>
        <w:jc w:val="both"/>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w:t>
      </w:r>
      <w:r>
        <w:rPr>
          <w:rFonts w:hint="eastAsia" w:cs="Times New Roman"/>
          <w:b/>
          <w:bCs/>
          <w:color w:val="auto"/>
          <w:sz w:val="21"/>
          <w:szCs w:val="21"/>
          <w:lang w:val="en-US" w:eastAsia="zh-CN"/>
        </w:rPr>
        <w:t>4</w:t>
      </w:r>
      <w:r>
        <w:rPr>
          <w:rFonts w:hint="eastAsia" w:ascii="Times New Roman" w:hAnsi="Times New Roman" w:eastAsia="宋体" w:cs="Times New Roman"/>
          <w:b/>
          <w:bCs/>
          <w:color w:val="auto"/>
          <w:sz w:val="21"/>
          <w:szCs w:val="21"/>
          <w:lang w:val="en-US" w:eastAsia="zh-CN"/>
        </w:rPr>
        <w:t>）</w:t>
      </w:r>
      <w:bookmarkStart w:id="186" w:name="_Toc12965"/>
      <w:bookmarkStart w:id="187" w:name="_Toc13345"/>
      <w:bookmarkStart w:id="188" w:name="_Toc2978"/>
      <w:bookmarkStart w:id="189" w:name="_Toc5258"/>
      <w:bookmarkStart w:id="190" w:name="_Toc21508"/>
      <w:bookmarkStart w:id="191" w:name="_Toc29931"/>
      <w:bookmarkStart w:id="192" w:name="_Toc3630"/>
      <w:bookmarkStart w:id="193" w:name="_Toc31041"/>
      <w:bookmarkStart w:id="194" w:name="_Toc19153"/>
      <w:bookmarkStart w:id="195" w:name="_Toc15279"/>
      <w:bookmarkStart w:id="196" w:name="_Toc16200"/>
      <w:r>
        <w:rPr>
          <w:rFonts w:hint="eastAsia" w:ascii="Times New Roman" w:hAnsi="Times New Roman" w:eastAsia="宋体" w:cs="Times New Roman"/>
          <w:b/>
          <w:bCs/>
          <w:color w:val="auto"/>
          <w:sz w:val="21"/>
          <w:szCs w:val="21"/>
          <w:lang w:val="en-US" w:eastAsia="zh-CN"/>
        </w:rPr>
        <w:t>广东清远经济开发区（禾云片区）</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Fonts w:hint="eastAsia" w:ascii="Times New Roman" w:hAnsi="Times New Roman" w:eastAsia="宋体" w:cs="Times New Roman"/>
          <w:b/>
          <w:bCs/>
          <w:color w:val="auto"/>
          <w:sz w:val="21"/>
          <w:szCs w:val="21"/>
          <w:lang w:val="en-US" w:eastAsia="zh-CN"/>
        </w:rPr>
        <w:t>（联系人</w:t>
      </w:r>
      <w:r>
        <w:rPr>
          <w:rFonts w:hint="eastAsia" w:cs="Times New Roman"/>
          <w:b/>
          <w:bCs/>
          <w:color w:val="auto"/>
          <w:sz w:val="21"/>
          <w:szCs w:val="21"/>
          <w:lang w:val="en-US" w:eastAsia="zh-CN"/>
        </w:rPr>
        <w:t>及电话</w:t>
      </w:r>
      <w:r>
        <w:rPr>
          <w:rFonts w:hint="eastAsia" w:ascii="Times New Roman" w:hAnsi="Times New Roman" w:eastAsia="宋体" w:cs="Times New Roman"/>
          <w:b/>
          <w:bCs/>
          <w:color w:val="auto"/>
          <w:sz w:val="21"/>
          <w:szCs w:val="21"/>
          <w:lang w:val="en-US" w:eastAsia="zh-CN"/>
        </w:rPr>
        <w:t>：江韦龙 13927610051）</w:t>
      </w:r>
    </w:p>
    <w:p>
      <w:pPr>
        <w:spacing w:line="68" w:lineRule="exact"/>
        <w:rPr>
          <w:color w:val="auto"/>
        </w:rPr>
      </w:pPr>
    </w:p>
    <w:tbl>
      <w:tblPr>
        <w:tblStyle w:val="207"/>
        <w:tblW w:w="50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3"/>
        <w:gridCol w:w="1795"/>
        <w:gridCol w:w="1568"/>
        <w:gridCol w:w="3070"/>
        <w:gridCol w:w="1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trPr>
        <w:tc>
          <w:tcPr>
            <w:tcW w:w="463" w:type="dxa"/>
            <w:noWrap w:val="0"/>
            <w:vAlign w:val="center"/>
          </w:tcPr>
          <w:p>
            <w:pPr>
              <w:spacing w:line="240" w:lineRule="auto"/>
              <w:ind w:firstLine="0" w:firstLineChars="0"/>
              <w:jc w:val="center"/>
              <w:rPr>
                <w:b/>
                <w:bCs/>
                <w:color w:val="auto"/>
                <w:spacing w:val="3"/>
                <w:sz w:val="21"/>
                <w:szCs w:val="21"/>
              </w:rPr>
            </w:pPr>
            <w:r>
              <w:rPr>
                <w:rFonts w:hint="eastAsia"/>
                <w:b/>
                <w:color w:val="auto"/>
                <w:sz w:val="21"/>
                <w:szCs w:val="21"/>
                <w:lang w:val="en-US" w:eastAsia="zh-CN"/>
              </w:rPr>
              <w:t>序号</w:t>
            </w:r>
          </w:p>
        </w:tc>
        <w:tc>
          <w:tcPr>
            <w:tcW w:w="1791" w:type="dxa"/>
            <w:noWrap w:val="0"/>
            <w:vAlign w:val="center"/>
          </w:tcPr>
          <w:p>
            <w:pPr>
              <w:pStyle w:val="206"/>
              <w:spacing w:before="35" w:line="217" w:lineRule="auto"/>
              <w:ind w:left="0" w:leftChars="0" w:firstLine="0" w:firstLineChars="0"/>
              <w:jc w:val="center"/>
              <w:rPr>
                <w:b/>
                <w:bCs/>
                <w:color w:val="auto"/>
                <w:spacing w:val="3"/>
                <w:sz w:val="21"/>
                <w:szCs w:val="21"/>
              </w:rPr>
            </w:pPr>
            <w:r>
              <w:rPr>
                <w:b/>
                <w:bCs/>
                <w:color w:val="auto"/>
                <w:spacing w:val="3"/>
                <w:sz w:val="21"/>
                <w:szCs w:val="21"/>
              </w:rPr>
              <w:t>名称</w:t>
            </w:r>
          </w:p>
        </w:tc>
        <w:tc>
          <w:tcPr>
            <w:tcW w:w="942" w:type="pct"/>
            <w:noWrap w:val="0"/>
            <w:vAlign w:val="top"/>
          </w:tcPr>
          <w:p>
            <w:pPr>
              <w:pStyle w:val="206"/>
              <w:spacing w:before="35" w:line="217" w:lineRule="auto"/>
              <w:ind w:left="0" w:leftChars="0" w:firstLine="0" w:firstLineChars="0"/>
              <w:jc w:val="center"/>
              <w:rPr>
                <w:b/>
                <w:bCs/>
                <w:color w:val="auto"/>
                <w:spacing w:val="3"/>
                <w:sz w:val="21"/>
                <w:szCs w:val="21"/>
              </w:rPr>
            </w:pPr>
            <w:r>
              <w:rPr>
                <w:b/>
                <w:bCs/>
                <w:color w:val="auto"/>
                <w:spacing w:val="3"/>
                <w:sz w:val="21"/>
                <w:szCs w:val="21"/>
              </w:rPr>
              <w:t>规格、型号</w:t>
            </w:r>
          </w:p>
        </w:tc>
        <w:tc>
          <w:tcPr>
            <w:tcW w:w="1844" w:type="pct"/>
            <w:noWrap w:val="0"/>
            <w:vAlign w:val="top"/>
          </w:tcPr>
          <w:p>
            <w:pPr>
              <w:pStyle w:val="206"/>
              <w:spacing w:before="35" w:line="217" w:lineRule="auto"/>
              <w:ind w:left="0" w:leftChars="0" w:firstLine="0" w:firstLineChars="0"/>
              <w:jc w:val="center"/>
              <w:rPr>
                <w:b/>
                <w:bCs/>
                <w:color w:val="auto"/>
                <w:spacing w:val="3"/>
                <w:sz w:val="21"/>
                <w:szCs w:val="21"/>
              </w:rPr>
            </w:pPr>
            <w:r>
              <w:rPr>
                <w:b/>
                <w:bCs/>
                <w:color w:val="auto"/>
                <w:spacing w:val="3"/>
                <w:sz w:val="21"/>
                <w:szCs w:val="21"/>
              </w:rPr>
              <w:t>存放位置</w:t>
            </w:r>
          </w:p>
        </w:tc>
        <w:tc>
          <w:tcPr>
            <w:tcW w:w="857" w:type="pct"/>
            <w:noWrap w:val="0"/>
            <w:vAlign w:val="top"/>
          </w:tcPr>
          <w:p>
            <w:pPr>
              <w:pStyle w:val="206"/>
              <w:spacing w:before="35" w:line="217" w:lineRule="auto"/>
              <w:ind w:left="0" w:leftChars="0" w:firstLine="0" w:firstLineChars="0"/>
              <w:jc w:val="center"/>
              <w:rPr>
                <w:b/>
                <w:bCs/>
                <w:color w:val="auto"/>
                <w:spacing w:val="3"/>
                <w:sz w:val="21"/>
                <w:szCs w:val="21"/>
              </w:rPr>
            </w:pPr>
            <w:r>
              <w:rPr>
                <w:b/>
                <w:bCs/>
                <w:color w:val="auto"/>
                <w:spacing w:val="3"/>
                <w:sz w:val="21"/>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trPr>
        <w:tc>
          <w:tcPr>
            <w:tcW w:w="463" w:type="dxa"/>
            <w:noWrap w:val="0"/>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en-US"/>
              </w:rPr>
              <w:t>1</w:t>
            </w:r>
          </w:p>
        </w:tc>
        <w:tc>
          <w:tcPr>
            <w:tcW w:w="1791" w:type="dxa"/>
            <w:noWrap w:val="0"/>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应急池</w:t>
            </w:r>
          </w:p>
        </w:tc>
        <w:tc>
          <w:tcPr>
            <w:tcW w:w="942" w:type="pct"/>
            <w:noWrap w:val="0"/>
            <w:vAlign w:val="top"/>
          </w:tcPr>
          <w:p>
            <w:pPr>
              <w:pStyle w:val="206"/>
              <w:spacing w:before="35" w:line="217" w:lineRule="auto"/>
              <w:ind w:left="0" w:leftChars="0" w:firstLine="0" w:firstLineChars="0"/>
              <w:jc w:val="center"/>
              <w:rPr>
                <w:color w:val="auto"/>
                <w:spacing w:val="3"/>
                <w:sz w:val="21"/>
                <w:szCs w:val="21"/>
              </w:rPr>
            </w:pPr>
            <w:r>
              <w:rPr>
                <w:rFonts w:hint="eastAsia"/>
                <w:color w:val="auto"/>
                <w:spacing w:val="3"/>
                <w:sz w:val="21"/>
                <w:szCs w:val="21"/>
                <w:lang w:eastAsia="zh-CN"/>
              </w:rPr>
              <w:t>4396</w:t>
            </w:r>
            <w:r>
              <w:rPr>
                <w:color w:val="auto"/>
                <w:spacing w:val="3"/>
                <w:sz w:val="21"/>
                <w:szCs w:val="21"/>
              </w:rPr>
              <w:t>m³</w:t>
            </w:r>
          </w:p>
        </w:tc>
        <w:tc>
          <w:tcPr>
            <w:tcW w:w="1844" w:type="pct"/>
            <w:noWrap w:val="0"/>
            <w:vAlign w:val="top"/>
          </w:tcPr>
          <w:p>
            <w:pPr>
              <w:pStyle w:val="206"/>
              <w:spacing w:before="35" w:line="217" w:lineRule="auto"/>
              <w:ind w:left="0" w:leftChars="0" w:firstLine="0" w:firstLineChars="0"/>
              <w:jc w:val="center"/>
              <w:rPr>
                <w:color w:val="auto"/>
                <w:spacing w:val="3"/>
                <w:sz w:val="21"/>
                <w:szCs w:val="21"/>
              </w:rPr>
            </w:pPr>
            <w:r>
              <w:rPr>
                <w:color w:val="auto"/>
                <w:spacing w:val="3"/>
                <w:sz w:val="21"/>
                <w:szCs w:val="21"/>
              </w:rPr>
              <w:t>园区富强路西边出水口处</w:t>
            </w:r>
          </w:p>
        </w:tc>
        <w:tc>
          <w:tcPr>
            <w:tcW w:w="857" w:type="pct"/>
            <w:noWrap w:val="0"/>
            <w:vAlign w:val="top"/>
          </w:tcPr>
          <w:p>
            <w:pPr>
              <w:pStyle w:val="206"/>
              <w:spacing w:before="35" w:line="217" w:lineRule="auto"/>
              <w:ind w:left="0" w:leftChars="0" w:firstLine="0" w:firstLineChars="0"/>
              <w:jc w:val="center"/>
              <w:rPr>
                <w:color w:val="auto"/>
                <w:spacing w:val="3"/>
                <w:sz w:val="21"/>
                <w:szCs w:val="21"/>
              </w:rPr>
            </w:pPr>
            <w:r>
              <w:rPr>
                <w:color w:val="auto"/>
                <w:spacing w:val="3"/>
                <w:sz w:val="21"/>
                <w:szCs w:val="21"/>
              </w:rPr>
              <w:t>1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63" w:type="dxa"/>
            <w:noWrap w:val="0"/>
            <w:vAlign w:val="top"/>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en-US"/>
              </w:rPr>
              <w:t>2</w:t>
            </w:r>
          </w:p>
        </w:tc>
        <w:tc>
          <w:tcPr>
            <w:tcW w:w="1791" w:type="dxa"/>
            <w:noWrap w:val="0"/>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雨水收集池</w:t>
            </w:r>
          </w:p>
        </w:tc>
        <w:tc>
          <w:tcPr>
            <w:tcW w:w="942" w:type="pct"/>
            <w:noWrap w:val="0"/>
            <w:vAlign w:val="top"/>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w:t>
            </w:r>
          </w:p>
        </w:tc>
        <w:tc>
          <w:tcPr>
            <w:tcW w:w="1844" w:type="pct"/>
            <w:noWrap w:val="0"/>
            <w:vAlign w:val="top"/>
          </w:tcPr>
          <w:p>
            <w:pPr>
              <w:pStyle w:val="206"/>
              <w:spacing w:before="35" w:line="217" w:lineRule="auto"/>
              <w:ind w:left="0" w:leftChars="0" w:firstLine="0" w:firstLineChars="0"/>
              <w:jc w:val="center"/>
              <w:rPr>
                <w:rFonts w:hint="default" w:eastAsia="宋体"/>
                <w:color w:val="auto"/>
                <w:spacing w:val="3"/>
                <w:sz w:val="21"/>
                <w:szCs w:val="21"/>
                <w:lang w:val="en-US" w:eastAsia="zh-CN"/>
              </w:rPr>
            </w:pPr>
            <w:r>
              <w:rPr>
                <w:rFonts w:hint="eastAsia"/>
                <w:color w:val="auto"/>
                <w:spacing w:val="3"/>
                <w:sz w:val="21"/>
                <w:szCs w:val="21"/>
                <w:lang w:val="en-US" w:eastAsia="zh-CN"/>
              </w:rPr>
              <w:t>西面2个，东面1个</w:t>
            </w:r>
          </w:p>
        </w:tc>
        <w:tc>
          <w:tcPr>
            <w:tcW w:w="857" w:type="pct"/>
            <w:noWrap w:val="0"/>
            <w:vAlign w:val="top"/>
          </w:tcPr>
          <w:p>
            <w:pPr>
              <w:pStyle w:val="206"/>
              <w:spacing w:before="35" w:line="217" w:lineRule="auto"/>
              <w:ind w:left="0" w:leftChars="0" w:firstLine="0" w:firstLineChars="0"/>
              <w:jc w:val="center"/>
              <w:rPr>
                <w:rFonts w:hint="default" w:eastAsia="宋体"/>
                <w:color w:val="auto"/>
                <w:spacing w:val="3"/>
                <w:sz w:val="21"/>
                <w:szCs w:val="21"/>
                <w:lang w:val="en-US" w:eastAsia="zh-CN"/>
              </w:rPr>
            </w:pPr>
            <w:r>
              <w:rPr>
                <w:rFonts w:hint="eastAsia"/>
                <w:color w:val="auto"/>
                <w:spacing w:val="3"/>
                <w:sz w:val="21"/>
                <w:szCs w:val="21"/>
                <w:lang w:val="en-US" w:eastAsia="zh-CN"/>
              </w:rPr>
              <w:t>3个</w:t>
            </w:r>
          </w:p>
        </w:tc>
      </w:tr>
    </w:tbl>
    <w:p>
      <w:pPr>
        <w:spacing w:line="240" w:lineRule="auto"/>
        <w:ind w:firstLine="0" w:firstLineChars="0"/>
        <w:jc w:val="center"/>
        <w:rPr>
          <w:rFonts w:hint="eastAsia" w:ascii="Times New Roman" w:hAnsi="Times New Roman" w:eastAsia="宋体" w:cs="Times New Roman"/>
          <w:b/>
          <w:bCs/>
          <w:color w:val="auto"/>
          <w:sz w:val="21"/>
          <w:szCs w:val="21"/>
          <w:lang w:val="en-US" w:eastAsia="zh-CN"/>
        </w:rPr>
      </w:pPr>
    </w:p>
    <w:p>
      <w:pPr>
        <w:spacing w:line="240" w:lineRule="auto"/>
        <w:ind w:firstLine="0" w:firstLineChars="0"/>
        <w:jc w:val="both"/>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w:t>
      </w:r>
      <w:r>
        <w:rPr>
          <w:rFonts w:hint="eastAsia" w:cs="Times New Roman"/>
          <w:b/>
          <w:bCs/>
          <w:color w:val="auto"/>
          <w:sz w:val="21"/>
          <w:szCs w:val="21"/>
          <w:lang w:val="en-US" w:eastAsia="zh-CN"/>
        </w:rPr>
        <w:t>5</w:t>
      </w:r>
      <w:r>
        <w:rPr>
          <w:rFonts w:hint="eastAsia" w:ascii="Times New Roman" w:hAnsi="Times New Roman" w:eastAsia="宋体" w:cs="Times New Roman"/>
          <w:b/>
          <w:bCs/>
          <w:color w:val="auto"/>
          <w:sz w:val="21"/>
          <w:szCs w:val="21"/>
          <w:lang w:val="en-US" w:eastAsia="zh-CN"/>
        </w:rPr>
        <w:t>）广东先导稀材股份有限公司云龙厂区（联系人</w:t>
      </w:r>
      <w:r>
        <w:rPr>
          <w:rFonts w:hint="eastAsia" w:cs="Times New Roman"/>
          <w:b/>
          <w:bCs/>
          <w:color w:val="auto"/>
          <w:sz w:val="21"/>
          <w:szCs w:val="21"/>
          <w:lang w:val="en-US" w:eastAsia="zh-CN"/>
        </w:rPr>
        <w:t>及电话</w:t>
      </w:r>
      <w:r>
        <w:rPr>
          <w:rFonts w:hint="eastAsia" w:ascii="Times New Roman" w:hAnsi="Times New Roman" w:eastAsia="宋体" w:cs="Times New Roman"/>
          <w:b/>
          <w:bCs/>
          <w:color w:val="auto"/>
          <w:sz w:val="21"/>
          <w:szCs w:val="21"/>
          <w:lang w:val="en-US" w:eastAsia="zh-CN"/>
        </w:rPr>
        <w:t>：彭永延 18475849880）</w:t>
      </w:r>
    </w:p>
    <w:tbl>
      <w:tblPr>
        <w:tblStyle w:val="207"/>
        <w:tblW w:w="50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07"/>
        <w:gridCol w:w="3628"/>
        <w:gridCol w:w="1350"/>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blHeader/>
        </w:trPr>
        <w:tc>
          <w:tcPr>
            <w:tcW w:w="845" w:type="pct"/>
            <w:vAlign w:val="center"/>
          </w:tcPr>
          <w:p>
            <w:pPr>
              <w:pStyle w:val="206"/>
              <w:spacing w:before="35" w:line="217" w:lineRule="auto"/>
              <w:ind w:left="0" w:leftChars="0" w:firstLine="0" w:firstLineChars="0"/>
              <w:jc w:val="center"/>
              <w:rPr>
                <w:b/>
                <w:bCs/>
                <w:color w:val="auto"/>
                <w:spacing w:val="3"/>
                <w:sz w:val="21"/>
                <w:szCs w:val="21"/>
                <w:lang w:val="en-US" w:eastAsia="en-US"/>
              </w:rPr>
            </w:pPr>
            <w:r>
              <w:rPr>
                <w:b/>
                <w:bCs/>
                <w:color w:val="auto"/>
                <w:spacing w:val="3"/>
                <w:sz w:val="21"/>
                <w:szCs w:val="21"/>
                <w:lang w:val="en-US" w:eastAsia="en-US"/>
              </w:rPr>
              <w:t>序号</w:t>
            </w:r>
          </w:p>
        </w:tc>
        <w:tc>
          <w:tcPr>
            <w:tcW w:w="2179" w:type="pct"/>
            <w:vAlign w:val="top"/>
          </w:tcPr>
          <w:p>
            <w:pPr>
              <w:pStyle w:val="206"/>
              <w:spacing w:before="35" w:line="217" w:lineRule="auto"/>
              <w:ind w:left="0" w:leftChars="0" w:firstLine="0" w:firstLineChars="0"/>
              <w:jc w:val="center"/>
              <w:rPr>
                <w:b/>
                <w:bCs/>
                <w:color w:val="auto"/>
                <w:spacing w:val="3"/>
                <w:sz w:val="21"/>
                <w:szCs w:val="21"/>
                <w:lang w:val="en-US" w:eastAsia="en-US"/>
              </w:rPr>
            </w:pPr>
            <w:r>
              <w:rPr>
                <w:b/>
                <w:bCs/>
                <w:color w:val="auto"/>
                <w:spacing w:val="3"/>
                <w:sz w:val="21"/>
                <w:szCs w:val="21"/>
                <w:lang w:val="en-US" w:eastAsia="en-US"/>
              </w:rPr>
              <w:t>名称</w:t>
            </w:r>
          </w:p>
        </w:tc>
        <w:tc>
          <w:tcPr>
            <w:tcW w:w="811" w:type="pct"/>
            <w:vAlign w:val="top"/>
          </w:tcPr>
          <w:p>
            <w:pPr>
              <w:pStyle w:val="206"/>
              <w:spacing w:before="35" w:line="217" w:lineRule="auto"/>
              <w:ind w:left="0" w:leftChars="0" w:firstLine="0" w:firstLineChars="0"/>
              <w:jc w:val="center"/>
              <w:rPr>
                <w:rFonts w:hint="eastAsia" w:eastAsia="宋体"/>
                <w:b/>
                <w:bCs/>
                <w:color w:val="auto"/>
                <w:spacing w:val="3"/>
                <w:sz w:val="21"/>
                <w:szCs w:val="21"/>
                <w:lang w:val="en-US" w:eastAsia="zh-CN"/>
              </w:rPr>
            </w:pPr>
            <w:r>
              <w:rPr>
                <w:rFonts w:hint="eastAsia"/>
                <w:b/>
                <w:bCs/>
                <w:color w:val="auto"/>
                <w:spacing w:val="3"/>
                <w:sz w:val="21"/>
                <w:szCs w:val="21"/>
                <w:lang w:val="en-US" w:eastAsia="zh-CN"/>
              </w:rPr>
              <w:t>单位</w:t>
            </w:r>
          </w:p>
        </w:tc>
        <w:tc>
          <w:tcPr>
            <w:tcW w:w="1163" w:type="pct"/>
            <w:vAlign w:val="top"/>
          </w:tcPr>
          <w:p>
            <w:pPr>
              <w:pStyle w:val="206"/>
              <w:spacing w:before="35" w:line="217" w:lineRule="auto"/>
              <w:ind w:left="0" w:leftChars="0" w:firstLine="0" w:firstLineChars="0"/>
              <w:jc w:val="center"/>
              <w:rPr>
                <w:b/>
                <w:bCs/>
                <w:color w:val="auto"/>
                <w:spacing w:val="3"/>
                <w:sz w:val="21"/>
                <w:szCs w:val="21"/>
                <w:lang w:val="en-US" w:eastAsia="en-US"/>
              </w:rPr>
            </w:pPr>
            <w:r>
              <w:rPr>
                <w:b/>
                <w:bCs/>
                <w:color w:val="auto"/>
                <w:spacing w:val="3"/>
                <w:sz w:val="21"/>
                <w:szCs w:val="21"/>
                <w:lang w:val="en-US" w:eastAsia="en-US"/>
              </w:rPr>
              <w:t>储备量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845" w:type="pct"/>
            <w:vAlign w:val="center"/>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w:t>
            </w:r>
          </w:p>
        </w:tc>
        <w:tc>
          <w:tcPr>
            <w:tcW w:w="2179" w:type="pct"/>
            <w:vAlign w:val="center"/>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普通电话、带上网的电脑以及无线电话</w:t>
            </w:r>
          </w:p>
        </w:tc>
        <w:tc>
          <w:tcPr>
            <w:tcW w:w="811" w:type="pct"/>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个</w:t>
            </w:r>
          </w:p>
        </w:tc>
        <w:tc>
          <w:tcPr>
            <w:tcW w:w="1163" w:type="pct"/>
            <w:vAlign w:val="center"/>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手提式泵</w:t>
            </w:r>
          </w:p>
        </w:tc>
        <w:tc>
          <w:tcPr>
            <w:tcW w:w="811"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zh-CN"/>
              </w:rPr>
              <w:t>台</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3</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应急沙</w:t>
            </w:r>
          </w:p>
        </w:tc>
        <w:tc>
          <w:tcPr>
            <w:tcW w:w="811"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zh-CN"/>
              </w:rPr>
              <w:t>立方米</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4</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吸附毡</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m</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5</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中和剂</w:t>
            </w:r>
          </w:p>
        </w:tc>
        <w:tc>
          <w:tcPr>
            <w:tcW w:w="811" w:type="pct"/>
            <w:vAlign w:val="top"/>
          </w:tcPr>
          <w:p>
            <w:pPr>
              <w:pStyle w:val="206"/>
              <w:spacing w:before="35" w:line="217" w:lineRule="auto"/>
              <w:ind w:left="0" w:leftChars="0" w:firstLine="0" w:firstLineChars="0"/>
              <w:jc w:val="center"/>
              <w:rPr>
                <w:rFonts w:hint="default" w:eastAsia="宋体"/>
                <w:color w:val="auto"/>
                <w:spacing w:val="3"/>
                <w:sz w:val="21"/>
                <w:szCs w:val="21"/>
                <w:lang w:val="en-US" w:eastAsia="zh-CN"/>
              </w:rPr>
            </w:pPr>
            <w:r>
              <w:rPr>
                <w:rFonts w:hint="eastAsia"/>
                <w:color w:val="auto"/>
                <w:spacing w:val="3"/>
                <w:sz w:val="21"/>
                <w:szCs w:val="21"/>
                <w:lang w:val="en-US" w:eastAsia="zh-CN"/>
              </w:rPr>
              <w:t>包</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6</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移动排风扇</w:t>
            </w:r>
          </w:p>
        </w:tc>
        <w:tc>
          <w:tcPr>
            <w:tcW w:w="811" w:type="pct"/>
            <w:vAlign w:val="center"/>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台</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7</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正压式呼吸器</w:t>
            </w:r>
          </w:p>
        </w:tc>
        <w:tc>
          <w:tcPr>
            <w:tcW w:w="811" w:type="pct"/>
            <w:vAlign w:val="center"/>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台</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8</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金属过滤器（防毒罐）</w:t>
            </w:r>
          </w:p>
        </w:tc>
        <w:tc>
          <w:tcPr>
            <w:tcW w:w="811" w:type="pct"/>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个</w:t>
            </w:r>
          </w:p>
        </w:tc>
        <w:tc>
          <w:tcPr>
            <w:tcW w:w="1163" w:type="pct"/>
            <w:vAlign w:val="center"/>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3"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9</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防毒全面罩（防毒罐）</w:t>
            </w:r>
          </w:p>
        </w:tc>
        <w:tc>
          <w:tcPr>
            <w:tcW w:w="811" w:type="pct"/>
            <w:vAlign w:val="center"/>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个</w:t>
            </w:r>
          </w:p>
        </w:tc>
        <w:tc>
          <w:tcPr>
            <w:tcW w:w="1163" w:type="pct"/>
            <w:vAlign w:val="center"/>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10</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化学防化服</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11</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解氯水（5%）</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瓶</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12</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洗瓶（蒸馏水）</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瓶</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13</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液氯死瓶处理器</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瓶</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14</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液氯碱雾喷淋装置（30%NaOH 溶液）</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w:t>
            </w:r>
            <w:r>
              <w:rPr>
                <w:rFonts w:hint="eastAsia"/>
                <w:color w:val="auto"/>
                <w:spacing w:val="3"/>
                <w:sz w:val="21"/>
                <w:szCs w:val="21"/>
                <w:lang w:val="en-US" w:eastAsia="zh-CN"/>
              </w:rPr>
              <w:t>5</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重型防化服</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1</w:t>
            </w:r>
            <w:r>
              <w:rPr>
                <w:rFonts w:hint="eastAsia"/>
                <w:color w:val="auto"/>
                <w:spacing w:val="3"/>
                <w:sz w:val="21"/>
                <w:szCs w:val="21"/>
                <w:lang w:val="en-US" w:eastAsia="zh-CN"/>
              </w:rPr>
              <w:t>6</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滤毒盒</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9"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1</w:t>
            </w:r>
            <w:r>
              <w:rPr>
                <w:rFonts w:hint="eastAsia"/>
                <w:color w:val="auto"/>
                <w:spacing w:val="3"/>
                <w:sz w:val="21"/>
                <w:szCs w:val="21"/>
                <w:lang w:val="en-US" w:eastAsia="zh-CN"/>
              </w:rPr>
              <w:t>7</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防毒全面罩（滤毒盒）</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1</w:t>
            </w:r>
            <w:r>
              <w:rPr>
                <w:rFonts w:hint="eastAsia"/>
                <w:color w:val="auto"/>
                <w:spacing w:val="3"/>
                <w:sz w:val="21"/>
                <w:szCs w:val="21"/>
                <w:lang w:val="en-US" w:eastAsia="zh-CN"/>
              </w:rPr>
              <w:t>8</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胶手套</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default" w:eastAsia="宋体"/>
                <w:color w:val="auto"/>
                <w:spacing w:val="3"/>
                <w:sz w:val="21"/>
                <w:szCs w:val="21"/>
                <w:lang w:val="en-US" w:eastAsia="zh-CN"/>
              </w:rPr>
            </w:pPr>
            <w:r>
              <w:rPr>
                <w:rFonts w:hint="eastAsia"/>
                <w:color w:val="auto"/>
                <w:spacing w:val="3"/>
                <w:sz w:val="21"/>
                <w:szCs w:val="21"/>
                <w:lang w:val="en-US" w:eastAsia="zh-CN"/>
              </w:rPr>
              <w:t>19</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长胶手套</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2</w:t>
            </w:r>
            <w:r>
              <w:rPr>
                <w:rFonts w:hint="eastAsia"/>
                <w:color w:val="auto"/>
                <w:spacing w:val="3"/>
                <w:sz w:val="21"/>
                <w:szCs w:val="21"/>
                <w:lang w:val="en-US" w:eastAsia="zh-CN"/>
              </w:rPr>
              <w:t>0</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PE 手套</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2</w:t>
            </w:r>
            <w:r>
              <w:rPr>
                <w:rFonts w:hint="eastAsia"/>
                <w:color w:val="auto"/>
                <w:spacing w:val="3"/>
                <w:sz w:val="21"/>
                <w:szCs w:val="21"/>
                <w:lang w:val="en-US" w:eastAsia="zh-CN"/>
              </w:rPr>
              <w:t>1</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活动扳手</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2</w:t>
            </w:r>
            <w:r>
              <w:rPr>
                <w:rFonts w:hint="eastAsia"/>
                <w:color w:val="auto"/>
                <w:spacing w:val="3"/>
                <w:sz w:val="21"/>
                <w:szCs w:val="21"/>
                <w:lang w:val="en-US" w:eastAsia="zh-CN"/>
              </w:rPr>
              <w:t>2</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垫片</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2</w:t>
            </w:r>
            <w:r>
              <w:rPr>
                <w:rFonts w:hint="eastAsia"/>
                <w:color w:val="auto"/>
                <w:spacing w:val="3"/>
                <w:sz w:val="21"/>
                <w:szCs w:val="21"/>
                <w:lang w:val="en-US" w:eastAsia="zh-CN"/>
              </w:rPr>
              <w:t>3</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螺栓+螺母</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2</w:t>
            </w:r>
            <w:r>
              <w:rPr>
                <w:rFonts w:hint="eastAsia"/>
                <w:color w:val="auto"/>
                <w:spacing w:val="3"/>
                <w:sz w:val="21"/>
                <w:szCs w:val="21"/>
                <w:lang w:val="en-US" w:eastAsia="zh-CN"/>
              </w:rPr>
              <w:t>4</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空气呼吸器</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2</w:t>
            </w:r>
            <w:r>
              <w:rPr>
                <w:rFonts w:hint="eastAsia"/>
                <w:color w:val="auto"/>
                <w:spacing w:val="3"/>
                <w:sz w:val="21"/>
                <w:szCs w:val="21"/>
                <w:lang w:val="en-US" w:eastAsia="zh-CN"/>
              </w:rPr>
              <w:t>5</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重型防化服</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2</w:t>
            </w:r>
            <w:r>
              <w:rPr>
                <w:rFonts w:hint="eastAsia"/>
                <w:color w:val="auto"/>
                <w:spacing w:val="3"/>
                <w:sz w:val="21"/>
                <w:szCs w:val="21"/>
                <w:lang w:val="en-US" w:eastAsia="zh-CN"/>
              </w:rPr>
              <w:t>6</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防毒面罩</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2</w:t>
            </w:r>
            <w:r>
              <w:rPr>
                <w:rFonts w:hint="eastAsia"/>
                <w:color w:val="auto"/>
                <w:spacing w:val="3"/>
                <w:sz w:val="21"/>
                <w:szCs w:val="21"/>
                <w:lang w:val="en-US" w:eastAsia="zh-CN"/>
              </w:rPr>
              <w:t>7</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头戴照明灯</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台</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2</w:t>
            </w:r>
            <w:r>
              <w:rPr>
                <w:rFonts w:hint="eastAsia"/>
                <w:color w:val="auto"/>
                <w:spacing w:val="3"/>
                <w:sz w:val="21"/>
                <w:szCs w:val="21"/>
                <w:lang w:val="en-US" w:eastAsia="zh-CN"/>
              </w:rPr>
              <w:t>8</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反光背心</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个</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845" w:type="pct"/>
            <w:vAlign w:val="top"/>
          </w:tcPr>
          <w:p>
            <w:pPr>
              <w:pStyle w:val="206"/>
              <w:spacing w:before="35" w:line="217" w:lineRule="auto"/>
              <w:ind w:left="0" w:leftChars="0" w:firstLine="0" w:firstLineChars="0"/>
              <w:jc w:val="center"/>
              <w:rPr>
                <w:rFonts w:hint="default" w:eastAsia="宋体"/>
                <w:color w:val="auto"/>
                <w:spacing w:val="3"/>
                <w:sz w:val="21"/>
                <w:szCs w:val="21"/>
                <w:lang w:val="en-US" w:eastAsia="zh-CN"/>
              </w:rPr>
            </w:pPr>
            <w:r>
              <w:rPr>
                <w:rFonts w:hint="eastAsia"/>
                <w:color w:val="auto"/>
                <w:spacing w:val="3"/>
                <w:sz w:val="21"/>
                <w:szCs w:val="21"/>
                <w:lang w:val="en-US" w:eastAsia="zh-CN"/>
              </w:rPr>
              <w:t>29</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扩音喇叭</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个</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3</w:t>
            </w:r>
            <w:r>
              <w:rPr>
                <w:rFonts w:hint="eastAsia"/>
                <w:color w:val="auto"/>
                <w:spacing w:val="3"/>
                <w:sz w:val="21"/>
                <w:szCs w:val="21"/>
                <w:lang w:val="en-US" w:eastAsia="zh-CN"/>
              </w:rPr>
              <w:t>0</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工具箱（扳手、剪刀等）</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个</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3</w:t>
            </w:r>
            <w:r>
              <w:rPr>
                <w:rFonts w:hint="eastAsia"/>
                <w:color w:val="auto"/>
                <w:spacing w:val="3"/>
                <w:sz w:val="21"/>
                <w:szCs w:val="21"/>
                <w:lang w:val="en-US" w:eastAsia="zh-CN"/>
              </w:rPr>
              <w:t>1</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担架</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个</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3</w:t>
            </w:r>
            <w:r>
              <w:rPr>
                <w:rFonts w:hint="eastAsia"/>
                <w:color w:val="auto"/>
                <w:spacing w:val="3"/>
                <w:sz w:val="21"/>
                <w:szCs w:val="21"/>
                <w:lang w:val="en-US" w:eastAsia="zh-CN"/>
              </w:rPr>
              <w:t>2</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急救箱</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3</w:t>
            </w:r>
            <w:r>
              <w:rPr>
                <w:rFonts w:hint="eastAsia"/>
                <w:color w:val="auto"/>
                <w:spacing w:val="3"/>
                <w:sz w:val="21"/>
                <w:szCs w:val="21"/>
                <w:lang w:val="en-US" w:eastAsia="zh-CN"/>
              </w:rPr>
              <w:t>3</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紧急洗眼器</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个</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3</w:t>
            </w:r>
            <w:r>
              <w:rPr>
                <w:rFonts w:hint="eastAsia"/>
                <w:color w:val="auto"/>
                <w:spacing w:val="3"/>
                <w:sz w:val="21"/>
                <w:szCs w:val="21"/>
                <w:lang w:val="en-US" w:eastAsia="zh-CN"/>
              </w:rPr>
              <w:t>4</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温湿度计</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zh-CN"/>
              </w:rPr>
              <w:t>个</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3</w:t>
            </w:r>
            <w:r>
              <w:rPr>
                <w:rFonts w:hint="eastAsia"/>
                <w:color w:val="auto"/>
                <w:spacing w:val="3"/>
                <w:sz w:val="21"/>
                <w:szCs w:val="21"/>
                <w:lang w:val="en-US" w:eastAsia="zh-CN"/>
              </w:rPr>
              <w:t>5</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有毒有害气体探测仪</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台</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3</w:t>
            </w:r>
            <w:r>
              <w:rPr>
                <w:rFonts w:hint="eastAsia"/>
                <w:color w:val="auto"/>
                <w:spacing w:val="3"/>
                <w:sz w:val="21"/>
                <w:szCs w:val="21"/>
                <w:lang w:val="en-US" w:eastAsia="zh-CN"/>
              </w:rPr>
              <w:t>6</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警戒带</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个</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3</w:t>
            </w:r>
            <w:r>
              <w:rPr>
                <w:rFonts w:hint="eastAsia"/>
                <w:color w:val="auto"/>
                <w:spacing w:val="3"/>
                <w:sz w:val="21"/>
                <w:szCs w:val="21"/>
                <w:lang w:val="en-US" w:eastAsia="zh-CN"/>
              </w:rPr>
              <w:t>7</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安全带</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个</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3</w:t>
            </w:r>
            <w:r>
              <w:rPr>
                <w:rFonts w:hint="eastAsia"/>
                <w:color w:val="auto"/>
                <w:spacing w:val="3"/>
                <w:sz w:val="21"/>
                <w:szCs w:val="21"/>
                <w:lang w:val="en-US" w:eastAsia="zh-CN"/>
              </w:rPr>
              <w:t>8</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救援绳索</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zh-CN"/>
              </w:rPr>
            </w:pPr>
            <w:r>
              <w:rPr>
                <w:rFonts w:hint="eastAsia"/>
                <w:color w:val="auto"/>
                <w:spacing w:val="3"/>
                <w:sz w:val="21"/>
                <w:szCs w:val="21"/>
                <w:lang w:val="en-US" w:eastAsia="zh-CN"/>
              </w:rPr>
              <w:t>套</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845" w:type="pct"/>
            <w:vAlign w:val="top"/>
          </w:tcPr>
          <w:p>
            <w:pPr>
              <w:pStyle w:val="206"/>
              <w:spacing w:before="35" w:line="217" w:lineRule="auto"/>
              <w:ind w:left="0" w:leftChars="0" w:firstLine="0" w:firstLineChars="0"/>
              <w:jc w:val="center"/>
              <w:rPr>
                <w:rFonts w:hint="default" w:eastAsia="宋体"/>
                <w:color w:val="auto"/>
                <w:spacing w:val="3"/>
                <w:sz w:val="21"/>
                <w:szCs w:val="21"/>
                <w:lang w:val="en-US" w:eastAsia="zh-CN"/>
              </w:rPr>
            </w:pPr>
            <w:r>
              <w:rPr>
                <w:rFonts w:hint="eastAsia"/>
                <w:color w:val="auto"/>
                <w:spacing w:val="3"/>
                <w:sz w:val="21"/>
                <w:szCs w:val="21"/>
                <w:lang w:val="en-US" w:eastAsia="zh-CN"/>
              </w:rPr>
              <w:t>39</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汽车（货、客）</w:t>
            </w:r>
          </w:p>
        </w:tc>
        <w:tc>
          <w:tcPr>
            <w:tcW w:w="811"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辆</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845" w:type="pct"/>
            <w:vAlign w:val="top"/>
          </w:tcPr>
          <w:p>
            <w:pPr>
              <w:pStyle w:val="206"/>
              <w:spacing w:before="35" w:line="217" w:lineRule="auto"/>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en-US"/>
              </w:rPr>
              <w:t>4</w:t>
            </w:r>
            <w:r>
              <w:rPr>
                <w:rFonts w:hint="eastAsia"/>
                <w:color w:val="auto"/>
                <w:spacing w:val="3"/>
                <w:sz w:val="21"/>
                <w:szCs w:val="21"/>
                <w:lang w:val="en-US" w:eastAsia="zh-CN"/>
              </w:rPr>
              <w:t>0</w:t>
            </w:r>
          </w:p>
        </w:tc>
        <w:tc>
          <w:tcPr>
            <w:tcW w:w="2179"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事故应急池</w:t>
            </w:r>
          </w:p>
        </w:tc>
        <w:tc>
          <w:tcPr>
            <w:tcW w:w="811" w:type="pct"/>
            <w:vAlign w:val="top"/>
          </w:tcPr>
          <w:p>
            <w:pPr>
              <w:pStyle w:val="206"/>
              <w:spacing w:before="35" w:line="217" w:lineRule="auto"/>
              <w:ind w:left="0" w:leftChars="0" w:firstLine="0" w:firstLineChars="0"/>
              <w:jc w:val="center"/>
              <w:rPr>
                <w:rFonts w:hint="default"/>
                <w:color w:val="auto"/>
                <w:spacing w:val="3"/>
                <w:sz w:val="21"/>
                <w:szCs w:val="21"/>
                <w:lang w:val="en-US" w:eastAsia="zh-CN"/>
              </w:rPr>
            </w:pPr>
            <w:r>
              <w:rPr>
                <w:rFonts w:hint="eastAsia"/>
                <w:color w:val="auto"/>
                <w:spacing w:val="3"/>
                <w:sz w:val="21"/>
                <w:szCs w:val="21"/>
                <w:lang w:val="en-US" w:eastAsia="zh-CN"/>
              </w:rPr>
              <w:t>立方米</w:t>
            </w:r>
          </w:p>
        </w:tc>
        <w:tc>
          <w:tcPr>
            <w:tcW w:w="1163"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2800</w:t>
            </w:r>
          </w:p>
        </w:tc>
      </w:tr>
    </w:tbl>
    <w:p>
      <w:pPr>
        <w:pStyle w:val="206"/>
        <w:spacing w:before="35" w:line="217" w:lineRule="auto"/>
        <w:ind w:left="0" w:leftChars="0" w:firstLine="0" w:firstLineChars="0"/>
        <w:jc w:val="center"/>
        <w:rPr>
          <w:color w:val="auto"/>
          <w:sz w:val="21"/>
          <w:szCs w:val="24"/>
        </w:rPr>
      </w:pPr>
    </w:p>
    <w:p>
      <w:pPr>
        <w:widowControl/>
        <w:kinsoku w:val="0"/>
        <w:autoSpaceDE w:val="0"/>
        <w:autoSpaceDN w:val="0"/>
        <w:adjustRightInd w:val="0"/>
        <w:snapToGrid w:val="0"/>
        <w:spacing w:line="240" w:lineRule="auto"/>
        <w:ind w:firstLine="0" w:firstLineChars="0"/>
        <w:jc w:val="both"/>
        <w:textAlignment w:val="baseline"/>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w:t>
      </w:r>
      <w:r>
        <w:rPr>
          <w:rFonts w:hint="eastAsia" w:cs="Times New Roman"/>
          <w:b/>
          <w:bCs/>
          <w:color w:val="auto"/>
          <w:sz w:val="21"/>
          <w:szCs w:val="21"/>
          <w:lang w:val="en-US" w:eastAsia="zh-CN"/>
        </w:rPr>
        <w:t>6</w:t>
      </w:r>
      <w:r>
        <w:rPr>
          <w:rFonts w:hint="eastAsia" w:ascii="Times New Roman" w:hAnsi="Times New Roman" w:eastAsia="宋体" w:cs="Times New Roman"/>
          <w:b/>
          <w:bCs/>
          <w:color w:val="auto"/>
          <w:sz w:val="21"/>
          <w:szCs w:val="21"/>
          <w:lang w:val="en-US" w:eastAsia="zh-CN"/>
        </w:rPr>
        <w:t>）</w:t>
      </w:r>
      <w:r>
        <w:rPr>
          <w:rFonts w:hint="eastAsia" w:ascii="Times New Roman" w:hAnsi="Times New Roman" w:eastAsia="宋体" w:cs="Times New Roman"/>
          <w:b/>
          <w:bCs/>
          <w:color w:val="auto"/>
          <w:sz w:val="21"/>
          <w:szCs w:val="21"/>
          <w:lang w:val="en-US" w:eastAsia="en-US"/>
        </w:rPr>
        <w:t>广东清远广英水泥有限公司</w:t>
      </w:r>
      <w:r>
        <w:rPr>
          <w:rFonts w:hint="eastAsia" w:ascii="Times New Roman" w:hAnsi="Times New Roman" w:eastAsia="宋体" w:cs="Times New Roman"/>
          <w:b/>
          <w:bCs/>
          <w:color w:val="auto"/>
          <w:sz w:val="21"/>
          <w:szCs w:val="21"/>
          <w:lang w:val="en-US" w:eastAsia="zh-CN"/>
        </w:rPr>
        <w:t xml:space="preserve"> （联系人</w:t>
      </w:r>
      <w:r>
        <w:rPr>
          <w:rFonts w:hint="eastAsia" w:cs="Times New Roman"/>
          <w:b/>
          <w:bCs/>
          <w:color w:val="auto"/>
          <w:sz w:val="21"/>
          <w:szCs w:val="21"/>
          <w:lang w:val="en-US" w:eastAsia="zh-CN"/>
        </w:rPr>
        <w:t>及电话</w:t>
      </w:r>
      <w:r>
        <w:rPr>
          <w:rFonts w:hint="eastAsia" w:ascii="Times New Roman" w:hAnsi="Times New Roman" w:eastAsia="宋体" w:cs="Times New Roman"/>
          <w:b/>
          <w:bCs/>
          <w:color w:val="auto"/>
          <w:sz w:val="21"/>
          <w:szCs w:val="21"/>
          <w:lang w:val="en-US" w:eastAsia="zh-CN"/>
        </w:rPr>
        <w:t>：</w:t>
      </w:r>
      <w:r>
        <w:rPr>
          <w:rFonts w:hint="eastAsia" w:ascii="Times New Roman" w:hAnsi="Times New Roman" w:eastAsia="宋体" w:cs="Times New Roman"/>
          <w:b/>
          <w:bCs/>
          <w:color w:val="auto"/>
          <w:sz w:val="21"/>
          <w:szCs w:val="21"/>
          <w:lang w:val="en-US" w:eastAsia="en-US"/>
        </w:rPr>
        <w:t>王征然</w:t>
      </w:r>
      <w:r>
        <w:rPr>
          <w:rFonts w:hint="eastAsia" w:ascii="Times New Roman" w:hAnsi="Times New Roman" w:eastAsia="宋体" w:cs="Times New Roman"/>
          <w:b/>
          <w:bCs/>
          <w:color w:val="auto"/>
          <w:sz w:val="21"/>
          <w:szCs w:val="21"/>
          <w:lang w:val="en-US" w:eastAsia="zh-CN"/>
        </w:rPr>
        <w:t xml:space="preserve"> </w:t>
      </w:r>
      <w:r>
        <w:rPr>
          <w:rFonts w:hint="eastAsia" w:ascii="Times New Roman" w:hAnsi="Times New Roman" w:eastAsia="宋体" w:cs="Times New Roman"/>
          <w:b/>
          <w:bCs/>
          <w:color w:val="auto"/>
          <w:sz w:val="21"/>
          <w:szCs w:val="21"/>
          <w:lang w:val="en-US" w:eastAsia="en-US"/>
        </w:rPr>
        <w:t>13927636016</w:t>
      </w:r>
      <w:r>
        <w:rPr>
          <w:rFonts w:hint="eastAsia" w:ascii="Times New Roman" w:hAnsi="Times New Roman" w:eastAsia="宋体" w:cs="Times New Roman"/>
          <w:b/>
          <w:bCs/>
          <w:color w:val="auto"/>
          <w:sz w:val="21"/>
          <w:szCs w:val="21"/>
          <w:lang w:val="en-US" w:eastAsia="zh-CN"/>
        </w:rPr>
        <w:t>）</w:t>
      </w:r>
    </w:p>
    <w:tbl>
      <w:tblPr>
        <w:tblStyle w:val="20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27"/>
        <w:gridCol w:w="3272"/>
        <w:gridCol w:w="1756"/>
        <w:gridCol w:w="1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 w:hRule="atLeast"/>
          <w:tblHeader/>
        </w:trPr>
        <w:tc>
          <w:tcPr>
            <w:tcW w:w="918" w:type="pct"/>
            <w:vAlign w:val="top"/>
          </w:tcPr>
          <w:p>
            <w:pPr>
              <w:pStyle w:val="206"/>
              <w:spacing w:before="35" w:line="217" w:lineRule="auto"/>
              <w:ind w:left="0" w:leftChars="0" w:firstLine="0" w:firstLineChars="0"/>
              <w:jc w:val="center"/>
              <w:rPr>
                <w:rFonts w:hint="eastAsia"/>
                <w:b/>
                <w:bCs/>
                <w:color w:val="auto"/>
                <w:spacing w:val="3"/>
                <w:sz w:val="21"/>
                <w:szCs w:val="21"/>
                <w:lang w:val="en-US" w:eastAsia="en-US"/>
              </w:rPr>
            </w:pPr>
            <w:r>
              <w:rPr>
                <w:rFonts w:hint="eastAsia"/>
                <w:b/>
                <w:bCs/>
                <w:color w:val="auto"/>
                <w:spacing w:val="3"/>
                <w:sz w:val="21"/>
                <w:szCs w:val="21"/>
                <w:lang w:val="en-US" w:eastAsia="en-US"/>
              </w:rPr>
              <w:t>序号</w:t>
            </w:r>
          </w:p>
        </w:tc>
        <w:tc>
          <w:tcPr>
            <w:tcW w:w="1967" w:type="pct"/>
            <w:vAlign w:val="top"/>
          </w:tcPr>
          <w:p>
            <w:pPr>
              <w:pStyle w:val="206"/>
              <w:spacing w:before="35" w:line="217" w:lineRule="auto"/>
              <w:ind w:left="0" w:leftChars="0" w:firstLine="0" w:firstLineChars="0"/>
              <w:jc w:val="center"/>
              <w:rPr>
                <w:rFonts w:hint="eastAsia"/>
                <w:b/>
                <w:bCs/>
                <w:color w:val="auto"/>
                <w:spacing w:val="3"/>
                <w:sz w:val="21"/>
                <w:szCs w:val="21"/>
                <w:lang w:val="en-US" w:eastAsia="en-US"/>
              </w:rPr>
            </w:pPr>
            <w:r>
              <w:rPr>
                <w:rFonts w:hint="eastAsia"/>
                <w:b/>
                <w:bCs/>
                <w:color w:val="auto"/>
                <w:spacing w:val="3"/>
                <w:sz w:val="21"/>
                <w:szCs w:val="21"/>
                <w:lang w:val="en-US" w:eastAsia="en-US"/>
              </w:rPr>
              <w:t>物资装备名称</w:t>
            </w:r>
          </w:p>
        </w:tc>
        <w:tc>
          <w:tcPr>
            <w:tcW w:w="1056" w:type="pct"/>
            <w:vAlign w:val="top"/>
          </w:tcPr>
          <w:p>
            <w:pPr>
              <w:pStyle w:val="206"/>
              <w:spacing w:before="35" w:line="217" w:lineRule="auto"/>
              <w:ind w:left="0" w:leftChars="0" w:firstLine="0" w:firstLineChars="0"/>
              <w:jc w:val="center"/>
              <w:rPr>
                <w:rFonts w:hint="eastAsia" w:eastAsia="宋体"/>
                <w:b/>
                <w:bCs/>
                <w:color w:val="auto"/>
                <w:spacing w:val="3"/>
                <w:sz w:val="21"/>
                <w:szCs w:val="21"/>
                <w:lang w:val="en-US" w:eastAsia="zh-CN"/>
              </w:rPr>
            </w:pPr>
            <w:r>
              <w:rPr>
                <w:rFonts w:hint="eastAsia"/>
                <w:b/>
                <w:bCs/>
                <w:color w:val="auto"/>
                <w:spacing w:val="3"/>
                <w:sz w:val="21"/>
                <w:szCs w:val="21"/>
                <w:lang w:val="en-US" w:eastAsia="zh-CN"/>
              </w:rPr>
              <w:t>单位</w:t>
            </w:r>
          </w:p>
        </w:tc>
        <w:tc>
          <w:tcPr>
            <w:tcW w:w="1057" w:type="pct"/>
            <w:vAlign w:val="top"/>
          </w:tcPr>
          <w:p>
            <w:pPr>
              <w:pStyle w:val="206"/>
              <w:spacing w:before="35" w:line="217" w:lineRule="auto"/>
              <w:ind w:left="0" w:leftChars="0" w:firstLine="0" w:firstLineChars="0"/>
              <w:jc w:val="center"/>
              <w:rPr>
                <w:rFonts w:hint="eastAsia"/>
                <w:b/>
                <w:bCs/>
                <w:color w:val="auto"/>
                <w:spacing w:val="3"/>
                <w:sz w:val="21"/>
                <w:szCs w:val="21"/>
                <w:lang w:val="en-US" w:eastAsia="en-US"/>
              </w:rPr>
            </w:pPr>
            <w:r>
              <w:rPr>
                <w:rFonts w:hint="eastAsia"/>
                <w:b/>
                <w:bCs/>
                <w:color w:val="auto"/>
                <w:spacing w:val="3"/>
                <w:sz w:val="21"/>
                <w:szCs w:val="21"/>
                <w:lang w:val="en-US" w:eastAsia="en-US"/>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沙包</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袋</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消防砂池</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个</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3</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彩条布</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卷</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4</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潜水泵</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个</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5</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吸油毡</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张</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6</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硫酸</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kg</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7</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氢氧化钠</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t</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8</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视频监控</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套</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9</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防毒口罩</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个</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10</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氧气面罩</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个</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11</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防毒面具</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个</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12</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防化靴</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套</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13</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防化服</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套</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14</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防护鞋</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双</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15</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防护眼镜</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只</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16</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自给</w:t>
            </w:r>
            <w:r>
              <w:rPr>
                <w:rFonts w:hint="eastAsia"/>
                <w:color w:val="auto"/>
                <w:spacing w:val="3"/>
                <w:sz w:val="21"/>
                <w:szCs w:val="21"/>
                <w:lang w:val="en-US" w:eastAsia="zh-CN"/>
              </w:rPr>
              <w:t>式</w:t>
            </w:r>
            <w:r>
              <w:rPr>
                <w:rFonts w:hint="eastAsia"/>
                <w:color w:val="auto"/>
                <w:spacing w:val="3"/>
                <w:sz w:val="21"/>
                <w:szCs w:val="21"/>
                <w:lang w:val="en-US" w:eastAsia="en-US"/>
              </w:rPr>
              <w:t>呼吸器</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套</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17</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防高温防护服</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套</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18</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耐酸碱手套</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套</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19</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安全带</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副</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20</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救生绳</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根</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21</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医用药箱</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个</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 xml:space="preserve">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22</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安全帽</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顶</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6" w:hRule="atLeast"/>
        </w:trPr>
        <w:tc>
          <w:tcPr>
            <w:tcW w:w="918"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23</w:t>
            </w:r>
          </w:p>
        </w:tc>
        <w:tc>
          <w:tcPr>
            <w:tcW w:w="1967"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对讲机</w:t>
            </w:r>
          </w:p>
        </w:tc>
        <w:tc>
          <w:tcPr>
            <w:tcW w:w="1056" w:type="pct"/>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个</w:t>
            </w:r>
          </w:p>
        </w:tc>
        <w:tc>
          <w:tcPr>
            <w:tcW w:w="1757" w:type="dxa"/>
            <w:vAlign w:val="top"/>
          </w:tcPr>
          <w:p>
            <w:pPr>
              <w:pStyle w:val="206"/>
              <w:spacing w:before="35" w:line="217" w:lineRule="auto"/>
              <w:ind w:left="0" w:leftChars="0" w:firstLine="0" w:firstLineChars="0"/>
              <w:jc w:val="center"/>
              <w:rPr>
                <w:rFonts w:hint="eastAsia"/>
                <w:color w:val="auto"/>
                <w:spacing w:val="3"/>
                <w:sz w:val="21"/>
                <w:szCs w:val="21"/>
                <w:lang w:val="en-US" w:eastAsia="en-US"/>
              </w:rPr>
            </w:pPr>
            <w:r>
              <w:rPr>
                <w:rFonts w:hint="eastAsia"/>
                <w:color w:val="auto"/>
                <w:spacing w:val="3"/>
                <w:sz w:val="21"/>
                <w:szCs w:val="21"/>
                <w:lang w:val="en-US" w:eastAsia="en-US"/>
              </w:rPr>
              <w:t>10</w:t>
            </w:r>
          </w:p>
        </w:tc>
      </w:tr>
    </w:tbl>
    <w:p>
      <w:pPr>
        <w:widowControl/>
        <w:kinsoku w:val="0"/>
        <w:autoSpaceDE w:val="0"/>
        <w:autoSpaceDN w:val="0"/>
        <w:adjustRightInd w:val="0"/>
        <w:snapToGrid w:val="0"/>
        <w:spacing w:line="240" w:lineRule="auto"/>
        <w:ind w:firstLine="0" w:firstLineChars="0"/>
        <w:jc w:val="left"/>
        <w:textAlignment w:val="baseline"/>
        <w:rPr>
          <w:rFonts w:ascii="Arial" w:hAnsi="Arial" w:eastAsia="Arial" w:cs="Arial"/>
          <w:snapToGrid w:val="0"/>
          <w:color w:val="auto"/>
          <w:kern w:val="0"/>
          <w:sz w:val="21"/>
          <w:szCs w:val="21"/>
          <w:lang w:eastAsia="en-US"/>
        </w:rPr>
      </w:pPr>
    </w:p>
    <w:p>
      <w:pPr>
        <w:rPr>
          <w:rFonts w:ascii="Arial" w:hAnsi="Arial" w:eastAsia="Arial" w:cs="Arial"/>
          <w:color w:val="auto"/>
          <w:sz w:val="21"/>
          <w:szCs w:val="21"/>
        </w:rPr>
      </w:pPr>
    </w:p>
    <w:p>
      <w:pPr>
        <w:widowControl/>
        <w:kinsoku w:val="0"/>
        <w:autoSpaceDE w:val="0"/>
        <w:autoSpaceDN w:val="0"/>
        <w:adjustRightInd w:val="0"/>
        <w:snapToGrid w:val="0"/>
        <w:spacing w:line="240" w:lineRule="auto"/>
        <w:ind w:firstLine="0" w:firstLineChars="0"/>
        <w:jc w:val="both"/>
        <w:textAlignment w:val="baseline"/>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w:t>
      </w:r>
      <w:r>
        <w:rPr>
          <w:rFonts w:hint="eastAsia" w:cs="Times New Roman"/>
          <w:b/>
          <w:bCs/>
          <w:color w:val="auto"/>
          <w:sz w:val="21"/>
          <w:szCs w:val="21"/>
          <w:lang w:val="en-US" w:eastAsia="zh-CN"/>
        </w:rPr>
        <w:t>7</w:t>
      </w:r>
      <w:r>
        <w:rPr>
          <w:rFonts w:hint="eastAsia" w:ascii="Times New Roman" w:hAnsi="Times New Roman" w:eastAsia="宋体" w:cs="Times New Roman"/>
          <w:b/>
          <w:bCs/>
          <w:color w:val="auto"/>
          <w:sz w:val="21"/>
          <w:szCs w:val="21"/>
          <w:lang w:val="en-US" w:eastAsia="zh-CN"/>
        </w:rPr>
        <w:t>）清远市宝仕马陶瓷有限公司 （联系人</w:t>
      </w:r>
      <w:r>
        <w:rPr>
          <w:rFonts w:hint="eastAsia" w:cs="Times New Roman"/>
          <w:b/>
          <w:bCs/>
          <w:color w:val="auto"/>
          <w:sz w:val="21"/>
          <w:szCs w:val="21"/>
          <w:lang w:val="en-US" w:eastAsia="zh-CN"/>
        </w:rPr>
        <w:t>及电话</w:t>
      </w:r>
      <w:r>
        <w:rPr>
          <w:rFonts w:hint="eastAsia" w:ascii="Times New Roman" w:hAnsi="Times New Roman" w:eastAsia="宋体" w:cs="Times New Roman"/>
          <w:b/>
          <w:bCs/>
          <w:color w:val="auto"/>
          <w:sz w:val="21"/>
          <w:szCs w:val="21"/>
          <w:lang w:val="en-US" w:eastAsia="zh-CN"/>
        </w:rPr>
        <w:t>：钱开新 13927637732）</w:t>
      </w:r>
    </w:p>
    <w:tbl>
      <w:tblPr>
        <w:tblStyle w:val="42"/>
        <w:tblW w:w="499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5"/>
        <w:gridCol w:w="2804"/>
        <w:gridCol w:w="1891"/>
        <w:gridCol w:w="1523"/>
        <w:gridCol w:w="152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blHeader/>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名称</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规格、型号</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bCs/>
                <w:color w:val="auto"/>
                <w:sz w:val="21"/>
                <w:szCs w:val="21"/>
                <w:lang w:eastAsia="zh-CN"/>
              </w:rPr>
            </w:pPr>
            <w:r>
              <w:rPr>
                <w:rFonts w:hint="eastAsia" w:ascii="Times New Roman" w:hAnsi="Times New Roman" w:eastAsia="宋体" w:cs="Times New Roman"/>
                <w:b/>
                <w:bCs/>
                <w:color w:val="auto"/>
                <w:sz w:val="21"/>
                <w:szCs w:val="21"/>
                <w:lang w:val="en-US" w:eastAsia="zh-CN"/>
              </w:rPr>
              <w:t>单位</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数量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vMerge w:val="restar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646" w:type="pct"/>
            <w:vMerge w:val="restar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消防清水池</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15</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4</w:t>
            </w:r>
            <w:r>
              <w:rPr>
                <w:rFonts w:hint="default" w:ascii="Times New Roman" w:hAnsi="Times New Roman" w:eastAsia="宋体" w:cs="Times New Roman"/>
                <w:color w:val="auto"/>
                <w:sz w:val="21"/>
                <w:szCs w:val="21"/>
                <w:lang w:val="en-US" w:eastAsia="zh-CN"/>
              </w:rPr>
              <w:t>m</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vMerge w:val="continue"/>
            <w:tcBorders>
              <w:left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646" w:type="pct"/>
            <w:vMerge w:val="continue"/>
            <w:tcBorders>
              <w:left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15</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4</w:t>
            </w:r>
            <w:r>
              <w:rPr>
                <w:rFonts w:hint="default" w:ascii="Times New Roman" w:hAnsi="Times New Roman" w:eastAsia="宋体" w:cs="Times New Roman"/>
                <w:color w:val="auto"/>
                <w:sz w:val="21"/>
                <w:szCs w:val="21"/>
                <w:lang w:val="en-US" w:eastAsia="zh-CN"/>
              </w:rPr>
              <w:t>m</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vMerge w:val="continue"/>
            <w:tcBorders>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646" w:type="pct"/>
            <w:vMerge w:val="continue"/>
            <w:tcBorders>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shd w:val="clear" w:color="auto"/>
              </w:rPr>
              <w:t>25</w:t>
            </w:r>
            <w:r>
              <w:rPr>
                <w:rFonts w:hint="default" w:ascii="Times New Roman" w:hAnsi="Times New Roman" w:eastAsia="宋体" w:cs="Times New Roman"/>
                <w:color w:val="auto"/>
                <w:sz w:val="21"/>
                <w:szCs w:val="21"/>
                <w:shd w:val="clear" w:color="auto"/>
                <w:lang w:val="en-US" w:eastAsia="zh-CN"/>
              </w:rPr>
              <w:t>*</w:t>
            </w:r>
            <w:r>
              <w:rPr>
                <w:rFonts w:hint="default" w:ascii="Times New Roman" w:hAnsi="Times New Roman" w:eastAsia="宋体" w:cs="Times New Roman"/>
                <w:color w:val="auto"/>
                <w:sz w:val="21"/>
                <w:szCs w:val="21"/>
                <w:shd w:val="clear" w:color="auto"/>
              </w:rPr>
              <w:t>12</w:t>
            </w:r>
            <w:r>
              <w:rPr>
                <w:rFonts w:hint="default" w:ascii="Times New Roman" w:hAnsi="Times New Roman" w:eastAsia="宋体" w:cs="Times New Roman"/>
                <w:color w:val="auto"/>
                <w:sz w:val="21"/>
                <w:szCs w:val="21"/>
                <w:shd w:val="clear" w:color="auto"/>
                <w:lang w:val="en-US" w:eastAsia="zh-CN"/>
              </w:rPr>
              <w:t>*</w:t>
            </w:r>
            <w:r>
              <w:rPr>
                <w:rFonts w:hint="default" w:ascii="Times New Roman" w:hAnsi="Times New Roman" w:eastAsia="宋体" w:cs="Times New Roman"/>
                <w:color w:val="auto"/>
                <w:sz w:val="21"/>
                <w:szCs w:val="21"/>
                <w:shd w:val="clear" w:color="auto"/>
              </w:rPr>
              <w:t>4.5</w:t>
            </w:r>
            <w:r>
              <w:rPr>
                <w:rFonts w:hint="default" w:ascii="Times New Roman" w:hAnsi="Times New Roman" w:eastAsia="宋体" w:cs="Times New Roman"/>
                <w:color w:val="auto"/>
                <w:sz w:val="21"/>
                <w:szCs w:val="21"/>
                <w:shd w:val="clear" w:color="auto"/>
                <w:lang w:val="en-US" w:eastAsia="zh-CN"/>
              </w:rPr>
              <w:t>m</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事故应急池</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1个1574</w:t>
            </w:r>
            <w:r>
              <w:rPr>
                <w:rFonts w:hint="default" w:ascii="Times New Roman" w:hAnsi="Times New Roman" w:eastAsia="宋体" w:cs="Times New Roman"/>
                <w:color w:val="auto"/>
                <w:sz w:val="21"/>
                <w:szCs w:val="21"/>
                <w:lang w:val="en-US" w:eastAsia="zh-CN"/>
              </w:rPr>
              <w:t>m³</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3</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消防水泵</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消防栓（水带、喷嘴）</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消防箱</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106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6</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消防水泵接合器</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7</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防护面具</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8</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手提式干粉灭火器</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9</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推车式干粉灭火器</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shd w:val="clear" w:color="auto"/>
                <w:lang w:val="en-US"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shd w:val="clear" w:color="auto"/>
                <w:lang w:val="en-US" w:eastAsia="zh-CN"/>
              </w:rPr>
              <w:t>20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3"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1</w:t>
            </w:r>
            <w:r>
              <w:rPr>
                <w:rFonts w:hint="default" w:ascii="Times New Roman" w:hAnsi="Times New Roman" w:eastAsia="宋体" w:cs="Times New Roman"/>
                <w:color w:val="auto"/>
                <w:sz w:val="21"/>
                <w:szCs w:val="21"/>
                <w:lang w:val="en-US" w:eastAsia="zh-CN"/>
              </w:rPr>
              <w:t>0</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污染源烟气在线监测系统</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套</w:t>
            </w:r>
          </w:p>
        </w:tc>
        <w:tc>
          <w:tcPr>
            <w:tcW w:w="894"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1</w:t>
            </w:r>
            <w:r>
              <w:rPr>
                <w:rFonts w:hint="default" w:ascii="Times New Roman" w:hAnsi="Times New Roman" w:eastAsia="宋体" w:cs="Times New Roman"/>
                <w:color w:val="auto"/>
                <w:sz w:val="21"/>
                <w:szCs w:val="21"/>
                <w:lang w:val="en-US" w:eastAsia="zh-CN"/>
              </w:rPr>
              <w:t>1</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烟尘采样器</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台</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1</w:t>
            </w:r>
            <w:r>
              <w:rPr>
                <w:rFonts w:hint="default" w:ascii="Times New Roman" w:hAnsi="Times New Roman" w:eastAsia="宋体" w:cs="Times New Roman"/>
                <w:color w:val="auto"/>
                <w:sz w:val="21"/>
                <w:szCs w:val="21"/>
                <w:lang w:val="en-US" w:eastAsia="zh-CN"/>
              </w:rPr>
              <w:t>2</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天然气报警装置</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13</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急救药箱</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14</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手电筒</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手提式灭火器</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16</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防护靴</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双</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安全帽</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沙包</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批</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19</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石灰包</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批</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应急</w:t>
            </w:r>
            <w:r>
              <w:rPr>
                <w:rFonts w:hint="default" w:ascii="Times New Roman" w:hAnsi="Times New Roman" w:eastAsia="宋体" w:cs="Times New Roman"/>
                <w:color w:val="auto"/>
                <w:sz w:val="21"/>
                <w:szCs w:val="21"/>
              </w:rPr>
              <w:t>汽车</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辆</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default" w:ascii="Times New Roman" w:hAnsi="Times New Roman" w:eastAsia="宋体" w:cs="Times New Roman"/>
                <w:color w:val="auto"/>
                <w:sz w:val="21"/>
                <w:szCs w:val="21"/>
                <w:lang w:val="en-US" w:eastAsia="zh-CN"/>
              </w:rPr>
              <w:t>1</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警戒带</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卷</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2</w:t>
            </w:r>
            <w:r>
              <w:rPr>
                <w:rFonts w:hint="default" w:ascii="Times New Roman" w:hAnsi="Times New Roman" w:eastAsia="宋体" w:cs="Times New Roman"/>
                <w:color w:val="auto"/>
                <w:sz w:val="21"/>
                <w:szCs w:val="21"/>
                <w:lang w:val="en-US" w:eastAsia="zh-CN"/>
              </w:rPr>
              <w:t>2</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对讲机</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23</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黄泥、湿麻袋</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批</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24</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防毒面具</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25</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便携式氧气袋</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套</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26</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吸附棉</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箱</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27</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备用发电机</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台</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2" w:hRule="atLeast"/>
          <w:jc w:val="center"/>
        </w:trPr>
        <w:tc>
          <w:tcPr>
            <w:tcW w:w="45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28</w:t>
            </w:r>
          </w:p>
        </w:tc>
        <w:tc>
          <w:tcPr>
            <w:tcW w:w="164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shd w:val="clear"/>
                <w:lang w:val="en-US" w:eastAsia="zh-CN"/>
              </w:rPr>
              <w:t>移动水泵</w:t>
            </w:r>
          </w:p>
        </w:tc>
        <w:tc>
          <w:tcPr>
            <w:tcW w:w="111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台</w:t>
            </w:r>
          </w:p>
        </w:tc>
        <w:tc>
          <w:tcPr>
            <w:tcW w:w="89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w:t>
            </w:r>
          </w:p>
        </w:tc>
      </w:tr>
    </w:tbl>
    <w:p>
      <w:pPr>
        <w:rPr>
          <w:rFonts w:ascii="Arial" w:hAnsi="Arial" w:eastAsia="Arial" w:cs="Arial"/>
          <w:color w:val="auto"/>
          <w:sz w:val="21"/>
          <w:szCs w:val="21"/>
        </w:rPr>
      </w:pPr>
    </w:p>
    <w:p>
      <w:pPr>
        <w:widowControl/>
        <w:kinsoku w:val="0"/>
        <w:autoSpaceDE w:val="0"/>
        <w:autoSpaceDN w:val="0"/>
        <w:adjustRightInd w:val="0"/>
        <w:snapToGrid w:val="0"/>
        <w:spacing w:line="240" w:lineRule="auto"/>
        <w:ind w:firstLine="0" w:firstLineChars="0"/>
        <w:jc w:val="both"/>
        <w:textAlignment w:val="baseline"/>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w:t>
      </w:r>
      <w:r>
        <w:rPr>
          <w:rFonts w:hint="eastAsia" w:cs="Times New Roman"/>
          <w:b/>
          <w:bCs/>
          <w:color w:val="auto"/>
          <w:sz w:val="21"/>
          <w:szCs w:val="21"/>
          <w:lang w:val="en-US" w:eastAsia="zh-CN"/>
        </w:rPr>
        <w:t>8</w:t>
      </w:r>
      <w:r>
        <w:rPr>
          <w:rFonts w:hint="eastAsia" w:ascii="Times New Roman" w:hAnsi="Times New Roman" w:eastAsia="宋体" w:cs="Times New Roman"/>
          <w:b/>
          <w:bCs/>
          <w:color w:val="auto"/>
          <w:sz w:val="21"/>
          <w:szCs w:val="21"/>
          <w:lang w:val="en-US" w:eastAsia="zh-CN"/>
        </w:rPr>
        <w:t>）广东英超陶瓷有限公司 （联系人</w:t>
      </w:r>
      <w:r>
        <w:rPr>
          <w:rFonts w:hint="eastAsia" w:cs="Times New Roman"/>
          <w:b/>
          <w:bCs/>
          <w:color w:val="auto"/>
          <w:sz w:val="21"/>
          <w:szCs w:val="21"/>
          <w:lang w:val="en-US" w:eastAsia="zh-CN"/>
        </w:rPr>
        <w:t>及电话</w:t>
      </w:r>
      <w:r>
        <w:rPr>
          <w:rFonts w:hint="eastAsia" w:ascii="Times New Roman" w:hAnsi="Times New Roman" w:eastAsia="宋体" w:cs="Times New Roman"/>
          <w:b/>
          <w:bCs/>
          <w:color w:val="auto"/>
          <w:sz w:val="21"/>
          <w:szCs w:val="21"/>
          <w:lang w:val="en-US" w:eastAsia="zh-CN"/>
        </w:rPr>
        <w:t>：罗志广 13630152039）</w:t>
      </w:r>
    </w:p>
    <w:tbl>
      <w:tblPr>
        <w:tblStyle w:val="207"/>
        <w:tblW w:w="498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49"/>
        <w:gridCol w:w="3364"/>
        <w:gridCol w:w="2035"/>
        <w:gridCol w:w="204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blHeader/>
        </w:trPr>
        <w:tc>
          <w:tcPr>
            <w:tcW w:w="512" w:type="pct"/>
            <w:vAlign w:val="top"/>
          </w:tcPr>
          <w:p>
            <w:pPr>
              <w:kinsoku w:val="0"/>
              <w:autoSpaceDE w:val="0"/>
              <w:autoSpaceDN w:val="0"/>
              <w:adjustRightInd w:val="0"/>
              <w:snapToGrid w:val="0"/>
              <w:spacing w:before="143" w:line="228" w:lineRule="auto"/>
              <w:ind w:left="0" w:leftChars="0" w:firstLine="0" w:firstLineChars="0"/>
              <w:jc w:val="center"/>
              <w:textAlignment w:val="baseline"/>
              <w:rPr>
                <w:rFonts w:hint="default" w:ascii="宋体" w:hAnsi="宋体" w:eastAsia="宋体" w:cs="宋体"/>
                <w:b/>
                <w:bCs/>
                <w:snapToGrid w:val="0"/>
                <w:color w:val="auto"/>
                <w:spacing w:val="6"/>
                <w:kern w:val="0"/>
                <w:sz w:val="21"/>
                <w:szCs w:val="21"/>
                <w:lang w:val="en-US" w:eastAsia="en-US" w:bidi="ar-SA"/>
              </w:rPr>
            </w:pPr>
            <w:r>
              <w:rPr>
                <w:rFonts w:hint="default" w:ascii="宋体" w:hAnsi="宋体" w:eastAsia="宋体" w:cs="宋体"/>
                <w:b/>
                <w:bCs/>
                <w:snapToGrid w:val="0"/>
                <w:color w:val="auto"/>
                <w:spacing w:val="6"/>
                <w:kern w:val="0"/>
                <w:sz w:val="21"/>
                <w:szCs w:val="21"/>
                <w:lang w:val="en-US" w:eastAsia="en-US" w:bidi="ar-SA"/>
              </w:rPr>
              <w:t>序号</w:t>
            </w:r>
          </w:p>
        </w:tc>
        <w:tc>
          <w:tcPr>
            <w:tcW w:w="2028" w:type="pct"/>
            <w:vAlign w:val="top"/>
          </w:tcPr>
          <w:p>
            <w:pPr>
              <w:kinsoku w:val="0"/>
              <w:autoSpaceDE w:val="0"/>
              <w:autoSpaceDN w:val="0"/>
              <w:adjustRightInd w:val="0"/>
              <w:snapToGrid w:val="0"/>
              <w:spacing w:before="143" w:line="228" w:lineRule="auto"/>
              <w:ind w:left="0" w:leftChars="0" w:firstLine="0" w:firstLineChars="0"/>
              <w:jc w:val="center"/>
              <w:textAlignment w:val="baseline"/>
              <w:rPr>
                <w:rFonts w:hint="default" w:ascii="宋体" w:hAnsi="宋体" w:eastAsia="宋体" w:cs="宋体"/>
                <w:b/>
                <w:bCs/>
                <w:snapToGrid w:val="0"/>
                <w:color w:val="auto"/>
                <w:spacing w:val="6"/>
                <w:kern w:val="0"/>
                <w:sz w:val="21"/>
                <w:szCs w:val="21"/>
                <w:lang w:val="en-US" w:eastAsia="en-US" w:bidi="ar-SA"/>
              </w:rPr>
            </w:pPr>
            <w:r>
              <w:rPr>
                <w:rFonts w:hint="default" w:ascii="宋体" w:hAnsi="宋体" w:eastAsia="宋体" w:cs="宋体"/>
                <w:b/>
                <w:bCs/>
                <w:snapToGrid w:val="0"/>
                <w:color w:val="auto"/>
                <w:spacing w:val="6"/>
                <w:kern w:val="0"/>
                <w:sz w:val="21"/>
                <w:szCs w:val="21"/>
                <w:lang w:val="en-US" w:eastAsia="en-US" w:bidi="ar-SA"/>
              </w:rPr>
              <w:t>名称</w:t>
            </w:r>
          </w:p>
        </w:tc>
        <w:tc>
          <w:tcPr>
            <w:tcW w:w="1227" w:type="pct"/>
            <w:vAlign w:val="center"/>
          </w:tcPr>
          <w:p>
            <w:pPr>
              <w:kinsoku w:val="0"/>
              <w:autoSpaceDE w:val="0"/>
              <w:autoSpaceDN w:val="0"/>
              <w:adjustRightInd w:val="0"/>
              <w:snapToGrid w:val="0"/>
              <w:spacing w:before="143" w:line="228" w:lineRule="auto"/>
              <w:ind w:left="0" w:leftChars="0" w:firstLine="0" w:firstLineChars="0"/>
              <w:jc w:val="center"/>
              <w:textAlignment w:val="baseline"/>
              <w:rPr>
                <w:rFonts w:hint="eastAsia" w:ascii="宋体" w:hAnsi="宋体" w:eastAsia="宋体" w:cs="宋体"/>
                <w:b/>
                <w:bCs/>
                <w:snapToGrid w:val="0"/>
                <w:color w:val="auto"/>
                <w:spacing w:val="6"/>
                <w:kern w:val="0"/>
                <w:sz w:val="21"/>
                <w:szCs w:val="21"/>
                <w:lang w:val="en-US" w:eastAsia="zh-CN" w:bidi="ar-SA"/>
              </w:rPr>
            </w:pPr>
            <w:r>
              <w:rPr>
                <w:rFonts w:hint="eastAsia" w:ascii="宋体" w:hAnsi="宋体" w:eastAsia="宋体" w:cs="宋体"/>
                <w:b/>
                <w:bCs/>
                <w:snapToGrid w:val="0"/>
                <w:color w:val="auto"/>
                <w:spacing w:val="6"/>
                <w:kern w:val="0"/>
                <w:sz w:val="21"/>
                <w:szCs w:val="21"/>
                <w:lang w:val="en-US" w:eastAsia="zh-CN" w:bidi="ar-SA"/>
              </w:rPr>
              <w:t>单位</w:t>
            </w:r>
          </w:p>
        </w:tc>
        <w:tc>
          <w:tcPr>
            <w:tcW w:w="1230" w:type="pct"/>
            <w:vAlign w:val="center"/>
          </w:tcPr>
          <w:p>
            <w:pPr>
              <w:kinsoku w:val="0"/>
              <w:autoSpaceDE w:val="0"/>
              <w:autoSpaceDN w:val="0"/>
              <w:adjustRightInd w:val="0"/>
              <w:snapToGrid w:val="0"/>
              <w:spacing w:before="143" w:line="228" w:lineRule="auto"/>
              <w:ind w:left="0" w:leftChars="0" w:firstLine="0" w:firstLineChars="0"/>
              <w:jc w:val="center"/>
              <w:textAlignment w:val="baseline"/>
              <w:rPr>
                <w:rFonts w:ascii="宋体" w:hAnsi="宋体" w:eastAsia="宋体" w:cs="宋体"/>
                <w:b/>
                <w:bCs/>
                <w:snapToGrid w:val="0"/>
                <w:color w:val="auto"/>
                <w:spacing w:val="6"/>
                <w:kern w:val="0"/>
                <w:sz w:val="21"/>
                <w:szCs w:val="21"/>
                <w:lang w:val="en-US" w:eastAsia="en-US" w:bidi="ar-SA"/>
              </w:rPr>
            </w:pPr>
            <w:r>
              <w:rPr>
                <w:rFonts w:ascii="宋体" w:hAnsi="宋体" w:eastAsia="宋体" w:cs="宋体"/>
                <w:b/>
                <w:bCs/>
                <w:snapToGrid w:val="0"/>
                <w:color w:val="auto"/>
                <w:spacing w:val="6"/>
                <w:kern w:val="0"/>
                <w:sz w:val="21"/>
                <w:szCs w:val="21"/>
                <w:lang w:val="en-US" w:eastAsia="en-US" w:bidi="ar-SA"/>
              </w:rPr>
              <w:t>数量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Merge w:val="restart"/>
            <w:tcBorders>
              <w:bottom w:val="nil"/>
            </w:tcBorders>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1</w:t>
            </w:r>
          </w:p>
        </w:tc>
        <w:tc>
          <w:tcPr>
            <w:tcW w:w="2028" w:type="pct"/>
            <w:vMerge w:val="restart"/>
            <w:tcBorders>
              <w:bottom w:val="nil"/>
            </w:tcBorders>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消防水池</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 个（72m</w:t>
            </w:r>
            <w:r>
              <w:rPr>
                <w:rFonts w:hint="default" w:ascii="Times New Roman" w:hAnsi="Times New Roman" w:eastAsia="宋体" w:cs="Times New Roman"/>
                <w:color w:val="auto"/>
                <w:sz w:val="21"/>
                <w:szCs w:val="21"/>
                <w:vertAlign w:val="superscript"/>
                <w:lang w:val="en-US" w:eastAsia="en-US"/>
              </w:rPr>
              <w:t>3</w:t>
            </w:r>
            <w:r>
              <w:rPr>
                <w:rFonts w:hint="default" w:ascii="Times New Roman" w:hAnsi="Times New Roman" w:eastAsia="宋体" w:cs="Times New Roman"/>
                <w:color w:val="auto"/>
                <w:sz w:val="21"/>
                <w:szCs w:val="21"/>
                <w:lang w:val="en-US"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Merge w:val="continue"/>
            <w:tcBorders>
              <w:top w:val="nil"/>
              <w:bottom w:val="nil"/>
            </w:tcBorders>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p>
        </w:tc>
        <w:tc>
          <w:tcPr>
            <w:tcW w:w="2028" w:type="pct"/>
            <w:vMerge w:val="continue"/>
            <w:tcBorders>
              <w:top w:val="nil"/>
              <w:bottom w:val="nil"/>
            </w:tcBorders>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2 个（192m</w:t>
            </w:r>
            <w:r>
              <w:rPr>
                <w:rFonts w:hint="default" w:ascii="Times New Roman" w:hAnsi="Times New Roman" w:eastAsia="宋体" w:cs="Times New Roman"/>
                <w:color w:val="auto"/>
                <w:sz w:val="21"/>
                <w:szCs w:val="21"/>
                <w:vertAlign w:val="superscript"/>
                <w:lang w:val="en-US" w:eastAsia="en-US"/>
              </w:rPr>
              <w:t>3</w:t>
            </w:r>
            <w:r>
              <w:rPr>
                <w:rFonts w:hint="default" w:ascii="Times New Roman" w:hAnsi="Times New Roman" w:eastAsia="宋体" w:cs="Times New Roman"/>
                <w:color w:val="auto"/>
                <w:sz w:val="21"/>
                <w:szCs w:val="21"/>
                <w:lang w:val="en-US"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Merge w:val="continue"/>
            <w:tcBorders>
              <w:top w:val="nil"/>
            </w:tcBorders>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p>
        </w:tc>
        <w:tc>
          <w:tcPr>
            <w:tcW w:w="2028" w:type="pct"/>
            <w:vMerge w:val="continue"/>
            <w:tcBorders>
              <w:top w:val="nil"/>
            </w:tcBorders>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 个（192m</w:t>
            </w:r>
            <w:r>
              <w:rPr>
                <w:rFonts w:hint="default" w:ascii="Times New Roman" w:hAnsi="Times New Roman" w:eastAsia="宋体" w:cs="Times New Roman"/>
                <w:color w:val="auto"/>
                <w:sz w:val="21"/>
                <w:szCs w:val="21"/>
                <w:vertAlign w:val="superscript"/>
                <w:lang w:val="en-US" w:eastAsia="en-US"/>
              </w:rPr>
              <w:t>3</w:t>
            </w:r>
            <w:r>
              <w:rPr>
                <w:rFonts w:hint="default" w:ascii="Times New Roman" w:hAnsi="Times New Roman" w:eastAsia="宋体" w:cs="Times New Roman"/>
                <w:color w:val="auto"/>
                <w:sz w:val="21"/>
                <w:szCs w:val="21"/>
                <w:lang w:val="en-US"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2</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事故应急池</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 个（2150m</w:t>
            </w:r>
            <w:r>
              <w:rPr>
                <w:rFonts w:hint="default" w:ascii="Times New Roman" w:hAnsi="Times New Roman" w:eastAsia="宋体" w:cs="Times New Roman"/>
                <w:color w:val="auto"/>
                <w:sz w:val="21"/>
                <w:szCs w:val="21"/>
                <w:vertAlign w:val="superscript"/>
                <w:lang w:val="en-US" w:eastAsia="en-US"/>
              </w:rPr>
              <w:t>3</w:t>
            </w:r>
            <w:r>
              <w:rPr>
                <w:rFonts w:hint="default" w:ascii="Times New Roman" w:hAnsi="Times New Roman" w:eastAsia="宋体" w:cs="Times New Roman"/>
                <w:color w:val="auto"/>
                <w:sz w:val="21"/>
                <w:szCs w:val="21"/>
                <w:lang w:val="en-US"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3</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消防水泵</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台</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4</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消防栓（水带、喷嘴）</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套</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143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5</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消防箱</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套</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106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6</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手提式灭火器</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套</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200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7</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消防水泵接合器</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套</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8</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高压水炮</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套</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9</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手提式干粉灭火器</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套</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1020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10</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推车式干粉灭火器</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套</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52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11</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污染源烟气在线监测系统</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套</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 xml:space="preserve">2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12</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烟尘采样器</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台</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 xml:space="preserve">1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13</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急救药箱</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14</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手电筒</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28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15</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安全帽</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40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16</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警戒带</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17</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对讲机</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18</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防毒面具</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 xml:space="preserve">30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19</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应急灯</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 xml:space="preserve">88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20</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天然气泄漏报警装置</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21</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防护靴</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22</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防护面具</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个</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35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23</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沙包</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批</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 xml:space="preserve">1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512"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24</w:t>
            </w:r>
          </w:p>
        </w:tc>
        <w:tc>
          <w:tcPr>
            <w:tcW w:w="2028"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石灰包</w:t>
            </w:r>
          </w:p>
        </w:tc>
        <w:tc>
          <w:tcPr>
            <w:tcW w:w="1227"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en-US"/>
              </w:rPr>
            </w:pPr>
            <w:r>
              <w:rPr>
                <w:rFonts w:hint="default" w:ascii="Times New Roman" w:hAnsi="Times New Roman" w:eastAsia="宋体" w:cs="Times New Roman"/>
                <w:color w:val="auto"/>
                <w:sz w:val="21"/>
                <w:szCs w:val="21"/>
                <w:highlight w:val="none"/>
                <w:lang w:val="en-US" w:eastAsia="en-US"/>
              </w:rPr>
              <w:t>批</w:t>
            </w:r>
          </w:p>
        </w:tc>
        <w:tc>
          <w:tcPr>
            <w:tcW w:w="1230"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 xml:space="preserve">1 </w:t>
            </w:r>
          </w:p>
        </w:tc>
      </w:tr>
    </w:tbl>
    <w:p>
      <w:pPr>
        <w:rPr>
          <w:rFonts w:ascii="Arial" w:hAnsi="Arial" w:eastAsia="Arial" w:cs="Arial"/>
          <w:color w:val="auto"/>
          <w:sz w:val="21"/>
          <w:szCs w:val="21"/>
        </w:rPr>
      </w:pPr>
    </w:p>
    <w:p>
      <w:pPr>
        <w:widowControl/>
        <w:numPr>
          <w:ilvl w:val="0"/>
          <w:numId w:val="0"/>
        </w:numPr>
        <w:kinsoku w:val="0"/>
        <w:autoSpaceDE w:val="0"/>
        <w:autoSpaceDN w:val="0"/>
        <w:adjustRightInd w:val="0"/>
        <w:snapToGrid w:val="0"/>
        <w:spacing w:line="240" w:lineRule="auto"/>
        <w:jc w:val="both"/>
        <w:textAlignment w:val="baseline"/>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w:t>
      </w:r>
      <w:r>
        <w:rPr>
          <w:rFonts w:hint="eastAsia" w:cs="Times New Roman"/>
          <w:b/>
          <w:bCs/>
          <w:color w:val="auto"/>
          <w:sz w:val="21"/>
          <w:szCs w:val="21"/>
          <w:lang w:val="en-US" w:eastAsia="zh-CN"/>
        </w:rPr>
        <w:t>9</w:t>
      </w:r>
      <w:r>
        <w:rPr>
          <w:rFonts w:hint="eastAsia" w:ascii="Times New Roman" w:hAnsi="Times New Roman" w:eastAsia="宋体" w:cs="Times New Roman"/>
          <w:b/>
          <w:bCs/>
          <w:color w:val="auto"/>
          <w:sz w:val="21"/>
          <w:szCs w:val="21"/>
          <w:lang w:val="en-US" w:eastAsia="zh-CN"/>
        </w:rPr>
        <w:t>）清远海创环保科技发展有限责任公司 （联系人</w:t>
      </w:r>
      <w:r>
        <w:rPr>
          <w:rFonts w:hint="eastAsia" w:cs="Times New Roman"/>
          <w:b/>
          <w:bCs/>
          <w:color w:val="auto"/>
          <w:sz w:val="21"/>
          <w:szCs w:val="21"/>
          <w:lang w:val="en-US" w:eastAsia="zh-CN"/>
        </w:rPr>
        <w:t>及电话</w:t>
      </w:r>
      <w:r>
        <w:rPr>
          <w:rFonts w:hint="eastAsia"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lang w:val="en-US" w:eastAsia="zh-CN"/>
        </w:rPr>
        <w:t>秦旭文</w:t>
      </w:r>
      <w:r>
        <w:rPr>
          <w:rFonts w:hint="eastAsia"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lang w:val="en-US" w:eastAsia="zh-CN"/>
        </w:rPr>
        <w:t>18777329691</w:t>
      </w:r>
      <w:r>
        <w:rPr>
          <w:rFonts w:hint="eastAsia" w:ascii="Times New Roman" w:hAnsi="Times New Roman" w:eastAsia="宋体" w:cs="Times New Roman"/>
          <w:b/>
          <w:bCs/>
          <w:color w:val="auto"/>
          <w:sz w:val="21"/>
          <w:szCs w:val="21"/>
          <w:lang w:val="en-US" w:eastAsia="zh-CN"/>
        </w:rPr>
        <w:t>）</w:t>
      </w:r>
    </w:p>
    <w:tbl>
      <w:tblPr>
        <w:tblStyle w:val="42"/>
        <w:tblW w:w="495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
        <w:gridCol w:w="3344"/>
        <w:gridCol w:w="2030"/>
        <w:gridCol w:w="21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blHeader/>
          <w:jc w:val="center"/>
        </w:trPr>
        <w:tc>
          <w:tcPr>
            <w:tcW w:w="554" w:type="pct"/>
            <w:noWrap w:val="0"/>
            <w:vAlign w:val="center"/>
          </w:tcPr>
          <w:p>
            <w:pPr>
              <w:keepNext/>
              <w:keepLines/>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1980" w:type="pct"/>
            <w:noWrap w:val="0"/>
            <w:vAlign w:val="center"/>
          </w:tcPr>
          <w:p>
            <w:pPr>
              <w:keepNext/>
              <w:keepLines/>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名称</w:t>
            </w:r>
          </w:p>
        </w:tc>
        <w:tc>
          <w:tcPr>
            <w:tcW w:w="1202" w:type="pct"/>
            <w:noWrap w:val="0"/>
            <w:vAlign w:val="center"/>
          </w:tcPr>
          <w:p>
            <w:pPr>
              <w:kinsoku w:val="0"/>
              <w:autoSpaceDE w:val="0"/>
              <w:autoSpaceDN w:val="0"/>
              <w:adjustRightInd w:val="0"/>
              <w:snapToGrid w:val="0"/>
              <w:spacing w:before="143" w:line="228" w:lineRule="auto"/>
              <w:ind w:firstLine="445" w:firstLineChars="200"/>
              <w:jc w:val="both"/>
              <w:textAlignment w:val="baseline"/>
              <w:rPr>
                <w:rFonts w:hint="default" w:ascii="Times New Roman" w:hAnsi="Times New Roman" w:eastAsia="宋体" w:cs="Times New Roman"/>
                <w:b/>
                <w:color w:val="auto"/>
                <w:sz w:val="21"/>
                <w:szCs w:val="21"/>
                <w:highlight w:val="none"/>
              </w:rPr>
            </w:pPr>
            <w:r>
              <w:rPr>
                <w:rFonts w:hint="eastAsia" w:ascii="宋体" w:hAnsi="宋体" w:eastAsia="宋体" w:cs="宋体"/>
                <w:b/>
                <w:bCs/>
                <w:snapToGrid w:val="0"/>
                <w:color w:val="auto"/>
                <w:spacing w:val="6"/>
                <w:kern w:val="0"/>
                <w:sz w:val="21"/>
                <w:szCs w:val="21"/>
                <w:lang w:val="en-US" w:eastAsia="zh-CN" w:bidi="ar-SA"/>
              </w:rPr>
              <w:t>单位</w:t>
            </w:r>
          </w:p>
        </w:tc>
        <w:tc>
          <w:tcPr>
            <w:tcW w:w="1263" w:type="pct"/>
            <w:noWrap w:val="0"/>
            <w:vAlign w:val="center"/>
          </w:tcPr>
          <w:p>
            <w:pPr>
              <w:kinsoku w:val="0"/>
              <w:autoSpaceDE w:val="0"/>
              <w:autoSpaceDN w:val="0"/>
              <w:adjustRightInd w:val="0"/>
              <w:snapToGrid w:val="0"/>
              <w:spacing w:before="143" w:line="228" w:lineRule="auto"/>
              <w:ind w:left="0" w:leftChars="0" w:firstLine="0" w:firstLineChars="0"/>
              <w:jc w:val="center"/>
              <w:textAlignment w:val="baseline"/>
              <w:rPr>
                <w:rFonts w:hint="default" w:ascii="Times New Roman" w:hAnsi="Times New Roman" w:eastAsia="宋体" w:cs="Times New Roman"/>
                <w:b/>
                <w:color w:val="auto"/>
                <w:sz w:val="21"/>
                <w:szCs w:val="21"/>
                <w:highlight w:val="none"/>
                <w:lang w:val="en-US" w:eastAsia="zh-CN"/>
              </w:rPr>
            </w:pPr>
            <w:r>
              <w:rPr>
                <w:rFonts w:ascii="宋体" w:hAnsi="宋体" w:eastAsia="宋体" w:cs="宋体"/>
                <w:b/>
                <w:bCs/>
                <w:snapToGrid w:val="0"/>
                <w:color w:val="auto"/>
                <w:spacing w:val="6"/>
                <w:kern w:val="0"/>
                <w:sz w:val="21"/>
                <w:szCs w:val="21"/>
                <w:lang w:val="en-US" w:eastAsia="en-US" w:bidi="ar-SA"/>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手提式干粉灭火器</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推车式干粉灭火器</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手提式水基灭火器</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推车式水基灭火器</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二氧化碳灭火器</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消防水带</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消防栓</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消防沙</w:t>
            </w:r>
            <w:r>
              <w:rPr>
                <w:rFonts w:hint="default" w:ascii="Times New Roman" w:hAnsi="Times New Roman" w:eastAsia="宋体" w:cs="Times New Roman"/>
                <w:color w:val="auto"/>
                <w:sz w:val="21"/>
                <w:szCs w:val="21"/>
                <w:highlight w:val="none"/>
                <w:lang w:eastAsia="zh-CN"/>
              </w:rPr>
              <w:t>箱</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铁铲</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担架</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警戒带</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自动消防水炮</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破拆斧</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6"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急救药品（酒精、</w:t>
            </w:r>
            <w:r>
              <w:rPr>
                <w:rFonts w:hint="default" w:ascii="Times New Roman" w:hAnsi="Times New Roman" w:eastAsia="宋体" w:cs="Times New Roman"/>
                <w:color w:val="auto"/>
                <w:sz w:val="21"/>
                <w:szCs w:val="21"/>
                <w:highlight w:val="none"/>
                <w:lang w:eastAsia="zh-CN"/>
              </w:rPr>
              <w:t>脱脂</w:t>
            </w:r>
            <w:r>
              <w:rPr>
                <w:rFonts w:hint="default" w:ascii="Times New Roman" w:hAnsi="Times New Roman" w:eastAsia="宋体" w:cs="Times New Roman"/>
                <w:color w:val="auto"/>
                <w:sz w:val="21"/>
                <w:szCs w:val="21"/>
                <w:highlight w:val="none"/>
              </w:rPr>
              <w:t>纱布、棉签、创可贴、烧烫伤膏等）</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防毒面具</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正压式空气呼吸器</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有毒气体检测器</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w:t>
            </w:r>
            <w:r>
              <w:rPr>
                <w:rFonts w:hint="default" w:ascii="Times New Roman" w:hAnsi="Times New Roman" w:eastAsia="宋体" w:cs="Times New Roman"/>
                <w:color w:val="auto"/>
                <w:sz w:val="21"/>
                <w:szCs w:val="21"/>
                <w:highlight w:val="none"/>
                <w:lang w:eastAsia="zh-CN"/>
              </w:rPr>
              <w:t>护</w:t>
            </w:r>
            <w:r>
              <w:rPr>
                <w:rFonts w:hint="default" w:ascii="Times New Roman" w:hAnsi="Times New Roman" w:eastAsia="宋体" w:cs="Times New Roman"/>
                <w:color w:val="auto"/>
                <w:sz w:val="21"/>
                <w:szCs w:val="21"/>
                <w:highlight w:val="none"/>
              </w:rPr>
              <w:t>服</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消防服</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五点式安全带（双钩）</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en-US"/>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安全绳</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个</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手电筒</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个</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软梯</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个</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隔热服</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洗眼喷淋设施</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过滤式消防自救呼吸器</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套</w:t>
            </w:r>
          </w:p>
        </w:tc>
        <w:tc>
          <w:tcPr>
            <w:tcW w:w="1263" w:type="pct"/>
            <w:noWrap w:val="0"/>
            <w:vAlign w:val="center"/>
          </w:tcPr>
          <w:p>
            <w:pPr>
              <w:keepNext w:val="0"/>
              <w:keepLines w:val="0"/>
              <w:suppressLineNumbers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tabs>
                <w:tab w:val="center" w:pos="1078"/>
                <w:tab w:val="right" w:pos="2037"/>
              </w:tabs>
              <w:spacing w:before="0" w:beforeAutospacing="0" w:after="0" w:afterAutospacing="0" w:line="320" w:lineRule="exact"/>
              <w:ind w:left="0" w:right="0" w:firstLine="0" w:firstLineChars="0"/>
              <w:jc w:val="left"/>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ab/>
            </w:r>
            <w:r>
              <w:rPr>
                <w:rFonts w:hint="default" w:ascii="Times New Roman" w:hAnsi="Times New Roman" w:eastAsia="宋体" w:cs="Times New Roman"/>
                <w:color w:val="auto"/>
                <w:sz w:val="21"/>
                <w:szCs w:val="21"/>
                <w:highlight w:val="none"/>
                <w:lang w:eastAsia="zh-CN"/>
              </w:rPr>
              <w:t>雨水收集池</w:t>
            </w:r>
            <w:r>
              <w:rPr>
                <w:rFonts w:hint="eastAsia" w:ascii="Times New Roman" w:hAnsi="Times New Roman" w:eastAsia="宋体" w:cs="Times New Roman"/>
                <w:color w:val="auto"/>
                <w:sz w:val="21"/>
                <w:szCs w:val="21"/>
                <w:highlight w:val="none"/>
                <w:lang w:eastAsia="zh-CN"/>
              </w:rPr>
              <w:tab/>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座</w:t>
            </w:r>
          </w:p>
        </w:tc>
        <w:tc>
          <w:tcPr>
            <w:tcW w:w="1263"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w:t>
            </w:r>
            <w:r>
              <w:rPr>
                <w:rFonts w:hint="eastAsia" w:ascii="Times New Roman" w:hAnsi="Times New Roman" w:eastAsia="宋体" w:cs="Times New Roman"/>
                <w:color w:val="auto"/>
                <w:sz w:val="21"/>
                <w:szCs w:val="21"/>
                <w:highlight w:val="none"/>
                <w:lang w:val="en-US" w:eastAsia="zh-CN"/>
              </w:rPr>
              <w:t>m</w:t>
            </w:r>
            <w:r>
              <w:rPr>
                <w:rFonts w:hint="eastAsia" w:ascii="Times New Roman" w:hAnsi="Times New Roman" w:eastAsia="宋体" w:cs="Times New Roman"/>
                <w:color w:val="auto"/>
                <w:sz w:val="21"/>
                <w:szCs w:val="21"/>
                <w:highlight w:val="none"/>
                <w:vertAlign w:val="superscript"/>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tabs>
                <w:tab w:val="center" w:pos="1078"/>
                <w:tab w:val="right" w:pos="2037"/>
              </w:tabs>
              <w:spacing w:before="0" w:beforeAutospacing="0" w:after="0" w:afterAutospacing="0" w:line="320" w:lineRule="exact"/>
              <w:ind w:left="0" w:right="0" w:firstLine="0" w:firstLineChars="0"/>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雨水收集池</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座</w:t>
            </w:r>
          </w:p>
        </w:tc>
        <w:tc>
          <w:tcPr>
            <w:tcW w:w="1263"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180m</w:t>
            </w:r>
            <w:r>
              <w:rPr>
                <w:rFonts w:hint="eastAsia" w:ascii="Times New Roman" w:hAnsi="Times New Roman" w:eastAsia="宋体" w:cs="Times New Roman"/>
                <w:color w:val="auto"/>
                <w:sz w:val="21"/>
                <w:szCs w:val="21"/>
                <w:highlight w:val="none"/>
                <w:vertAlign w:val="superscript"/>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tabs>
                <w:tab w:val="center" w:pos="1078"/>
                <w:tab w:val="right" w:pos="2037"/>
              </w:tabs>
              <w:spacing w:before="0" w:beforeAutospacing="0" w:after="0" w:afterAutospacing="0" w:line="320" w:lineRule="exact"/>
              <w:ind w:left="0" w:right="0" w:firstLine="0" w:firstLineChars="0"/>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雨水收集池</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座</w:t>
            </w:r>
          </w:p>
        </w:tc>
        <w:tc>
          <w:tcPr>
            <w:tcW w:w="1263"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90m</w:t>
            </w:r>
            <w:r>
              <w:rPr>
                <w:rFonts w:hint="eastAsia" w:ascii="Times New Roman" w:hAnsi="Times New Roman" w:eastAsia="宋体" w:cs="Times New Roman"/>
                <w:color w:val="auto"/>
                <w:sz w:val="21"/>
                <w:szCs w:val="21"/>
                <w:highlight w:val="none"/>
                <w:vertAlign w:val="superscript"/>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事故应急池</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座</w:t>
            </w:r>
          </w:p>
        </w:tc>
        <w:tc>
          <w:tcPr>
            <w:tcW w:w="1263"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750m</w:t>
            </w:r>
            <w:r>
              <w:rPr>
                <w:rFonts w:hint="eastAsia" w:ascii="Times New Roman" w:hAnsi="Times New Roman" w:eastAsia="宋体" w:cs="Times New Roman"/>
                <w:color w:val="auto"/>
                <w:sz w:val="21"/>
                <w:szCs w:val="21"/>
                <w:highlight w:val="none"/>
                <w:vertAlign w:val="superscript"/>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554" w:type="pct"/>
            <w:noWrap w:val="0"/>
            <w:vAlign w:val="center"/>
          </w:tcPr>
          <w:p>
            <w:pPr>
              <w:keepNext w:val="0"/>
              <w:keepLines w:val="0"/>
              <w:numPr>
                <w:ilvl w:val="0"/>
                <w:numId w:val="10"/>
              </w:numPr>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980"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水泵</w:t>
            </w:r>
          </w:p>
        </w:tc>
        <w:tc>
          <w:tcPr>
            <w:tcW w:w="1202" w:type="pct"/>
            <w:noWrap w:val="0"/>
            <w:vAlign w:val="center"/>
          </w:tcPr>
          <w:p>
            <w:pPr>
              <w:keepNext w:val="0"/>
              <w:keepLines w:val="0"/>
              <w:suppressLineNumbers w:val="0"/>
              <w:spacing w:before="0" w:beforeAutospacing="0" w:after="0" w:afterAutospacing="0" w:line="320" w:lineRule="exact"/>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台</w:t>
            </w:r>
          </w:p>
        </w:tc>
        <w:tc>
          <w:tcPr>
            <w:tcW w:w="1263" w:type="pct"/>
            <w:noWrap w:val="0"/>
            <w:vAlign w:val="center"/>
          </w:tcPr>
          <w:p>
            <w:pPr>
              <w:keepNext w:val="0"/>
              <w:keepLines w:val="0"/>
              <w:suppressLineNumbers w:val="0"/>
              <w:spacing w:before="0" w:beforeAutospacing="0" w:after="0" w:afterAutospacing="0" w:line="320" w:lineRule="exact"/>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r>
    </w:tbl>
    <w:p>
      <w:pPr>
        <w:widowControl/>
        <w:numPr>
          <w:ilvl w:val="0"/>
          <w:numId w:val="0"/>
        </w:numPr>
        <w:kinsoku w:val="0"/>
        <w:autoSpaceDE w:val="0"/>
        <w:autoSpaceDN w:val="0"/>
        <w:adjustRightInd w:val="0"/>
        <w:snapToGrid w:val="0"/>
        <w:spacing w:line="240" w:lineRule="auto"/>
        <w:jc w:val="both"/>
        <w:textAlignment w:val="baseline"/>
        <w:rPr>
          <w:rFonts w:hint="eastAsia" w:ascii="Times New Roman" w:hAnsi="Times New Roman" w:eastAsia="宋体" w:cs="Times New Roman"/>
          <w:b/>
          <w:bCs/>
          <w:color w:val="auto"/>
          <w:sz w:val="21"/>
          <w:szCs w:val="21"/>
          <w:lang w:val="en-US" w:eastAsia="zh-CN"/>
        </w:rPr>
      </w:pPr>
    </w:p>
    <w:p>
      <w:pPr>
        <w:widowControl/>
        <w:numPr>
          <w:ilvl w:val="0"/>
          <w:numId w:val="0"/>
        </w:numPr>
        <w:kinsoku w:val="0"/>
        <w:autoSpaceDE w:val="0"/>
        <w:autoSpaceDN w:val="0"/>
        <w:adjustRightInd w:val="0"/>
        <w:snapToGrid w:val="0"/>
        <w:spacing w:line="240" w:lineRule="auto"/>
        <w:jc w:val="both"/>
        <w:textAlignment w:val="baseline"/>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w:t>
      </w:r>
      <w:r>
        <w:rPr>
          <w:rFonts w:hint="eastAsia" w:cs="Times New Roman"/>
          <w:b/>
          <w:bCs/>
          <w:color w:val="auto"/>
          <w:sz w:val="21"/>
          <w:szCs w:val="21"/>
          <w:lang w:val="en-US" w:eastAsia="zh-CN"/>
        </w:rPr>
        <w:t>10</w:t>
      </w:r>
      <w:r>
        <w:rPr>
          <w:rFonts w:hint="eastAsia" w:ascii="Times New Roman" w:hAnsi="Times New Roman" w:eastAsia="宋体" w:cs="Times New Roman"/>
          <w:b/>
          <w:bCs/>
          <w:color w:val="auto"/>
          <w:sz w:val="21"/>
          <w:szCs w:val="21"/>
          <w:lang w:val="en-US" w:eastAsia="zh-CN"/>
        </w:rPr>
        <w:t>）清远市华澳新材料科技有限公司 （联系人</w:t>
      </w:r>
      <w:r>
        <w:rPr>
          <w:rFonts w:hint="eastAsia" w:cs="Times New Roman"/>
          <w:b/>
          <w:bCs/>
          <w:color w:val="auto"/>
          <w:sz w:val="21"/>
          <w:szCs w:val="21"/>
          <w:lang w:val="en-US" w:eastAsia="zh-CN"/>
        </w:rPr>
        <w:t>及电话</w:t>
      </w:r>
      <w:r>
        <w:rPr>
          <w:rFonts w:hint="eastAsia" w:ascii="Times New Roman" w:hAnsi="Times New Roman" w:eastAsia="宋体" w:cs="Times New Roman"/>
          <w:b/>
          <w:bCs/>
          <w:color w:val="auto"/>
          <w:sz w:val="21"/>
          <w:szCs w:val="21"/>
          <w:lang w:val="en-US" w:eastAsia="zh-CN"/>
        </w:rPr>
        <w:t>：张学民 13922412340）</w:t>
      </w:r>
    </w:p>
    <w:p>
      <w:pPr>
        <w:widowControl/>
        <w:numPr>
          <w:ilvl w:val="0"/>
          <w:numId w:val="0"/>
        </w:numPr>
        <w:kinsoku w:val="0"/>
        <w:autoSpaceDE w:val="0"/>
        <w:autoSpaceDN w:val="0"/>
        <w:adjustRightInd w:val="0"/>
        <w:snapToGrid w:val="0"/>
        <w:spacing w:line="240" w:lineRule="auto"/>
        <w:jc w:val="both"/>
        <w:textAlignment w:val="baseline"/>
        <w:rPr>
          <w:rFonts w:hint="eastAsia" w:ascii="Times New Roman" w:hAnsi="Times New Roman" w:eastAsia="宋体" w:cs="Times New Roman"/>
          <w:b/>
          <w:bCs/>
          <w:color w:val="auto"/>
          <w:sz w:val="21"/>
          <w:szCs w:val="21"/>
          <w:lang w:val="en-US" w:eastAsia="zh-CN"/>
        </w:rPr>
      </w:pPr>
    </w:p>
    <w:tbl>
      <w:tblPr>
        <w:tblStyle w:val="207"/>
        <w:tblW w:w="50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3"/>
        <w:gridCol w:w="3437"/>
        <w:gridCol w:w="2011"/>
        <w:gridCol w:w="2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Header/>
        </w:trPr>
        <w:tc>
          <w:tcPr>
            <w:tcW w:w="529" w:type="pct"/>
            <w:vAlign w:val="center"/>
          </w:tcPr>
          <w:p>
            <w:pPr>
              <w:keepNext/>
              <w:keepLines/>
              <w:suppressLineNumbers w:val="0"/>
              <w:spacing w:before="0" w:beforeAutospacing="0" w:after="0" w:afterAutospacing="0" w:line="320" w:lineRule="exact"/>
              <w:ind w:left="0" w:leftChars="0" w:right="0" w:rightChars="0" w:firstLine="0" w:firstLineChars="0"/>
              <w:jc w:val="center"/>
              <w:rPr>
                <w:rFonts w:ascii="宋体" w:hAnsi="宋体" w:eastAsia="宋体" w:cs="宋体"/>
                <w:snapToGrid w:val="0"/>
                <w:color w:val="auto"/>
                <w:spacing w:val="8"/>
                <w:kern w:val="0"/>
                <w:sz w:val="20"/>
                <w:szCs w:val="20"/>
                <w:lang w:val="en-US" w:eastAsia="en-US" w:bidi="ar-SA"/>
              </w:rPr>
            </w:pPr>
            <w:r>
              <w:rPr>
                <w:rFonts w:hint="default" w:ascii="Times New Roman" w:hAnsi="Times New Roman" w:eastAsia="宋体" w:cs="Times New Roman"/>
                <w:b/>
                <w:color w:val="auto"/>
                <w:sz w:val="21"/>
                <w:szCs w:val="21"/>
                <w:highlight w:val="none"/>
              </w:rPr>
              <w:t>序号</w:t>
            </w:r>
          </w:p>
        </w:tc>
        <w:tc>
          <w:tcPr>
            <w:tcW w:w="2059" w:type="pct"/>
            <w:vAlign w:val="center"/>
          </w:tcPr>
          <w:p>
            <w:pPr>
              <w:keepNext/>
              <w:keepLines/>
              <w:suppressLineNumbers w:val="0"/>
              <w:spacing w:before="0" w:beforeAutospacing="0" w:after="0" w:afterAutospacing="0" w:line="320" w:lineRule="exact"/>
              <w:ind w:left="0" w:leftChars="0" w:right="0" w:rightChars="0" w:firstLine="0" w:firstLineChars="0"/>
              <w:jc w:val="center"/>
              <w:rPr>
                <w:rFonts w:ascii="宋体" w:hAnsi="宋体" w:eastAsia="宋体" w:cs="宋体"/>
                <w:snapToGrid w:val="0"/>
                <w:color w:val="auto"/>
                <w:spacing w:val="8"/>
                <w:kern w:val="0"/>
                <w:sz w:val="20"/>
                <w:szCs w:val="20"/>
                <w:lang w:val="en-US" w:eastAsia="en-US" w:bidi="ar-SA"/>
              </w:rPr>
            </w:pPr>
            <w:r>
              <w:rPr>
                <w:rFonts w:hint="default" w:ascii="Times New Roman" w:hAnsi="Times New Roman" w:eastAsia="宋体" w:cs="Times New Roman"/>
                <w:b/>
                <w:color w:val="auto"/>
                <w:sz w:val="21"/>
                <w:szCs w:val="21"/>
                <w:highlight w:val="none"/>
              </w:rPr>
              <w:t>名称</w:t>
            </w:r>
          </w:p>
        </w:tc>
        <w:tc>
          <w:tcPr>
            <w:tcW w:w="1205" w:type="pct"/>
            <w:vAlign w:val="top"/>
          </w:tcPr>
          <w:p>
            <w:pPr>
              <w:keepNext/>
              <w:keepLines/>
              <w:suppressLineNumbers w:val="0"/>
              <w:spacing w:before="0" w:beforeAutospacing="0" w:after="0" w:afterAutospacing="0" w:line="320" w:lineRule="exact"/>
              <w:ind w:left="0" w:leftChars="0" w:right="0" w:rightChars="0" w:firstLine="0" w:firstLineChars="0"/>
              <w:jc w:val="center"/>
              <w:rPr>
                <w:rFonts w:hint="eastAsia" w:ascii="Times New Roman" w:hAnsi="Times New Roman" w:eastAsia="宋体" w:cs="Times New Roman"/>
                <w:b/>
                <w:color w:val="auto"/>
                <w:sz w:val="21"/>
                <w:szCs w:val="21"/>
                <w:highlight w:val="none"/>
                <w:lang w:eastAsia="zh-CN"/>
              </w:rPr>
            </w:pPr>
            <w:r>
              <w:rPr>
                <w:rFonts w:hint="eastAsia" w:ascii="Times New Roman" w:hAnsi="Times New Roman" w:eastAsia="宋体" w:cs="Times New Roman"/>
                <w:b/>
                <w:color w:val="auto"/>
                <w:sz w:val="21"/>
                <w:szCs w:val="21"/>
                <w:highlight w:val="none"/>
                <w:lang w:val="en-US" w:eastAsia="zh-CN"/>
              </w:rPr>
              <w:t>单位</w:t>
            </w:r>
          </w:p>
        </w:tc>
        <w:tc>
          <w:tcPr>
            <w:tcW w:w="1205" w:type="pct"/>
            <w:shd w:val="clear" w:color="auto" w:fill="auto"/>
            <w:vAlign w:val="top"/>
          </w:tcPr>
          <w:p>
            <w:pPr>
              <w:keepNext/>
              <w:keepLines/>
              <w:suppressLineNumbers w:val="0"/>
              <w:spacing w:before="0" w:beforeAutospacing="0" w:after="0" w:afterAutospacing="0" w:line="320" w:lineRule="exact"/>
              <w:ind w:left="0" w:leftChars="0" w:right="0" w:rightChars="0" w:firstLine="0" w:firstLineChars="0"/>
              <w:jc w:val="center"/>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center"/>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1</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手机</w:t>
            </w:r>
          </w:p>
        </w:tc>
        <w:tc>
          <w:tcPr>
            <w:tcW w:w="1205" w:type="pct"/>
            <w:vAlign w:val="center"/>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台</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2</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传真机</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台</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3</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电脑</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台</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4</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防静电工作服</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套</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5</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带呼吸器的防化服</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套</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6</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安全帽</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 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7</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防毒面具</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8</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防尘口罩</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9</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急救箱</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10</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耐酸手套</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双</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11</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手提式干粉灭火器</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12</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手推式干粉灭火器</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13</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带呼吸器的防火服</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0</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hint="eastAsia" w:ascii="宋体" w:hAnsi="宋体" w:eastAsia="宋体" w:cs="宋体"/>
                <w:snapToGrid w:val="0"/>
                <w:color w:val="auto"/>
                <w:kern w:val="0"/>
                <w:sz w:val="20"/>
                <w:szCs w:val="20"/>
                <w:lang w:val="en-US" w:eastAsia="zh-CN" w:bidi="ar-SA"/>
              </w:rPr>
            </w:pPr>
            <w:r>
              <w:rPr>
                <w:rFonts w:hint="eastAsia" w:ascii="宋体" w:hAnsi="宋体" w:eastAsia="宋体" w:cs="宋体"/>
                <w:snapToGrid w:val="0"/>
                <w:color w:val="auto"/>
                <w:kern w:val="0"/>
                <w:sz w:val="20"/>
                <w:szCs w:val="20"/>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14</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消防栓</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15</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消防沙</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kg</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16</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雨水阀门</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17</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应急灯</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18</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警戒带</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卷</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19</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应急手电筒</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20</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汽车</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辆</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21</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火警报警系统</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套</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22</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应急池</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23</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沙包</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kg</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529" w:type="pct"/>
            <w:vAlign w:val="top"/>
          </w:tcPr>
          <w:p>
            <w:pPr>
              <w:kinsoku w:val="0"/>
              <w:autoSpaceDE w:val="0"/>
              <w:autoSpaceDN w:val="0"/>
              <w:adjustRightInd w:val="0"/>
              <w:snapToGrid w:val="0"/>
              <w:spacing w:before="94" w:line="230" w:lineRule="auto"/>
              <w:ind w:left="0" w:leftChars="0" w:firstLine="0" w:firstLineChars="0"/>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24</w:t>
            </w:r>
          </w:p>
        </w:tc>
        <w:tc>
          <w:tcPr>
            <w:tcW w:w="2059"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收集池</w:t>
            </w:r>
          </w:p>
        </w:tc>
        <w:tc>
          <w:tcPr>
            <w:tcW w:w="1205" w:type="pct"/>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个</w:t>
            </w:r>
          </w:p>
        </w:tc>
        <w:tc>
          <w:tcPr>
            <w:tcW w:w="1205" w:type="pct"/>
            <w:shd w:val="clear" w:color="auto" w:fill="auto"/>
            <w:vAlign w:val="top"/>
          </w:tcPr>
          <w:p>
            <w:pPr>
              <w:kinsoku w:val="0"/>
              <w:autoSpaceDE w:val="0"/>
              <w:autoSpaceDN w:val="0"/>
              <w:adjustRightInd w:val="0"/>
              <w:snapToGrid w:val="0"/>
              <w:spacing w:before="94" w:line="230" w:lineRule="auto"/>
              <w:jc w:val="center"/>
              <w:textAlignment w:val="baseline"/>
              <w:rPr>
                <w:rFonts w:ascii="宋体" w:hAnsi="宋体" w:eastAsia="宋体" w:cs="宋体"/>
                <w:snapToGrid w:val="0"/>
                <w:color w:val="auto"/>
                <w:kern w:val="0"/>
                <w:sz w:val="20"/>
                <w:szCs w:val="20"/>
                <w:lang w:val="en-US" w:eastAsia="en-US" w:bidi="ar-SA"/>
              </w:rPr>
            </w:pPr>
            <w:r>
              <w:rPr>
                <w:rFonts w:ascii="宋体" w:hAnsi="宋体" w:eastAsia="宋体" w:cs="宋体"/>
                <w:snapToGrid w:val="0"/>
                <w:color w:val="auto"/>
                <w:kern w:val="0"/>
                <w:sz w:val="20"/>
                <w:szCs w:val="20"/>
                <w:lang w:val="en-US" w:eastAsia="en-US" w:bidi="ar-SA"/>
              </w:rPr>
              <w:t xml:space="preserve">2 </w:t>
            </w:r>
          </w:p>
        </w:tc>
      </w:tr>
    </w:tbl>
    <w:p>
      <w:pPr>
        <w:rPr>
          <w:color w:val="auto"/>
          <w:sz w:val="21"/>
          <w:szCs w:val="24"/>
        </w:rPr>
      </w:pPr>
      <w:r>
        <w:rPr>
          <w:color w:val="auto"/>
          <w:sz w:val="21"/>
          <w:szCs w:val="24"/>
        </w:rPr>
        <w:br w:type="page"/>
      </w:r>
    </w:p>
    <w:p>
      <w:pPr>
        <w:pStyle w:val="2"/>
        <w:jc w:val="both"/>
        <w:rPr>
          <w:rFonts w:hint="eastAsia"/>
          <w:color w:val="auto"/>
          <w:sz w:val="28"/>
          <w:szCs w:val="28"/>
          <w:lang w:val="en-US" w:eastAsia="zh-CN"/>
        </w:rPr>
      </w:pPr>
      <w:bookmarkStart w:id="197" w:name="_Toc29370"/>
      <w:r>
        <w:rPr>
          <w:color w:val="auto"/>
          <w:sz w:val="28"/>
          <w:szCs w:val="28"/>
        </w:rPr>
        <w:t>附件1</w:t>
      </w:r>
      <w:r>
        <w:rPr>
          <w:rFonts w:hint="eastAsia"/>
          <w:color w:val="auto"/>
          <w:sz w:val="28"/>
          <w:szCs w:val="28"/>
          <w:lang w:val="en-US" w:eastAsia="zh-CN"/>
        </w:rPr>
        <w:t>4  应急物资台账、存放位置和维护更新制度</w:t>
      </w:r>
      <w:bookmarkEnd w:id="197"/>
    </w:p>
    <w:p>
      <w:pPr>
        <w:bidi w:val="0"/>
        <w:jc w:val="center"/>
      </w:pPr>
      <w:r>
        <w:rPr>
          <w:rFonts w:hint="eastAsia"/>
          <w:color w:val="auto"/>
          <w:sz w:val="28"/>
          <w:szCs w:val="28"/>
          <w:lang w:val="en-US" w:eastAsia="zh-CN"/>
        </w:rPr>
        <w:t>应急物资台账、存放位置和维护更新制度</w:t>
      </w:r>
    </w:p>
    <w:p>
      <w:pPr>
        <w:bidi w:val="0"/>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一、</w:t>
      </w:r>
      <w:r>
        <w:rPr>
          <w:rFonts w:hint="eastAsia" w:ascii="宋体" w:hAnsi="宋体" w:eastAsia="宋体" w:cs="宋体"/>
          <w:sz w:val="24"/>
          <w:szCs w:val="24"/>
        </w:rPr>
        <w:t>日常保管机制</w:t>
      </w:r>
    </w:p>
    <w:p>
      <w:pPr>
        <w:bidi w:val="0"/>
        <w:spacing w:line="360" w:lineRule="auto"/>
        <w:rPr>
          <w:rFonts w:hint="eastAsia" w:ascii="宋体" w:hAnsi="宋体" w:eastAsia="宋体" w:cs="宋体"/>
          <w:sz w:val="24"/>
          <w:szCs w:val="24"/>
        </w:rPr>
      </w:pPr>
      <w:r>
        <w:rPr>
          <w:rFonts w:hint="eastAsia" w:ascii="宋体" w:hAnsi="宋体" w:cs="宋体"/>
          <w:sz w:val="24"/>
          <w:szCs w:val="24"/>
          <w:lang w:val="en-US" w:eastAsia="zh-CN"/>
        </w:rPr>
        <w:t>（一）</w:t>
      </w:r>
      <w:r>
        <w:rPr>
          <w:rFonts w:hint="eastAsia" w:ascii="宋体" w:hAnsi="宋体" w:eastAsia="宋体" w:cs="宋体"/>
          <w:sz w:val="24"/>
          <w:szCs w:val="24"/>
          <w:lang w:val="en-US" w:eastAsia="zh-CN"/>
        </w:rPr>
        <w:t>实行“专人管理、专柜存放、一物一账、出入登记”制度，建立电子+纸质双台账，做到账、物、位三者一致。</w:t>
      </w:r>
    </w:p>
    <w:p>
      <w:pPr>
        <w:bidi w:val="0"/>
        <w:spacing w:line="360" w:lineRule="auto"/>
        <w:rPr>
          <w:rFonts w:hint="eastAsia" w:ascii="宋体" w:hAnsi="宋体" w:eastAsia="宋体" w:cs="宋体"/>
          <w:sz w:val="24"/>
          <w:szCs w:val="24"/>
        </w:rPr>
      </w:pPr>
      <w:r>
        <w:rPr>
          <w:rFonts w:hint="eastAsia" w:ascii="宋体" w:hAnsi="宋体" w:cs="宋体"/>
          <w:sz w:val="24"/>
          <w:szCs w:val="24"/>
          <w:lang w:val="en-US" w:eastAsia="zh-CN"/>
        </w:rPr>
        <w:t>（二）</w:t>
      </w:r>
      <w:r>
        <w:rPr>
          <w:rFonts w:hint="eastAsia" w:ascii="宋体" w:hAnsi="宋体" w:eastAsia="宋体" w:cs="宋体"/>
          <w:sz w:val="24"/>
          <w:szCs w:val="24"/>
          <w:lang w:val="en-US" w:eastAsia="zh-CN"/>
        </w:rPr>
        <w:t>物资库房保持干燥、通风、避光、防潮、防火、防盗，精密仪器单独专柜存放，药剂与防护物资分区隔离存放。</w:t>
      </w:r>
    </w:p>
    <w:p>
      <w:pPr>
        <w:bidi w:val="0"/>
        <w:spacing w:line="360" w:lineRule="auto"/>
        <w:rPr>
          <w:rFonts w:hint="eastAsia" w:ascii="宋体" w:hAnsi="宋体" w:eastAsia="宋体" w:cs="宋体"/>
          <w:sz w:val="24"/>
          <w:szCs w:val="24"/>
        </w:rPr>
      </w:pPr>
      <w:r>
        <w:rPr>
          <w:rFonts w:hint="eastAsia" w:ascii="宋体" w:hAnsi="宋体" w:cs="宋体"/>
          <w:sz w:val="24"/>
          <w:szCs w:val="24"/>
          <w:lang w:val="en-US" w:eastAsia="zh-CN"/>
        </w:rPr>
        <w:t>（三）</w:t>
      </w:r>
      <w:r>
        <w:rPr>
          <w:rFonts w:hint="eastAsia" w:ascii="宋体" w:hAnsi="宋体" w:eastAsia="宋体" w:cs="宋体"/>
          <w:sz w:val="24"/>
          <w:szCs w:val="24"/>
          <w:lang w:val="en-US" w:eastAsia="zh-CN"/>
        </w:rPr>
        <w:t>所有物资张贴标识卡，注明物资名称、数量、有效期、责任人、检查日期，确保一目了然、快速取用。</w:t>
      </w:r>
    </w:p>
    <w:p>
      <w:pPr>
        <w:bidi w:val="0"/>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定期检查维护机制</w:t>
      </w:r>
    </w:p>
    <w:p>
      <w:pPr>
        <w:bidi w:val="0"/>
        <w:spacing w:line="360" w:lineRule="auto"/>
        <w:rPr>
          <w:rFonts w:hint="eastAsia" w:ascii="宋体" w:hAnsi="宋体" w:eastAsia="宋体" w:cs="宋体"/>
          <w:sz w:val="24"/>
          <w:szCs w:val="24"/>
        </w:rPr>
      </w:pPr>
      <w:r>
        <w:rPr>
          <w:rFonts w:hint="eastAsia" w:ascii="宋体" w:hAnsi="宋体" w:cs="宋体"/>
          <w:sz w:val="24"/>
          <w:szCs w:val="24"/>
          <w:lang w:val="en-US" w:eastAsia="zh-CN"/>
        </w:rPr>
        <w:t>（一）</w:t>
      </w:r>
      <w:r>
        <w:rPr>
          <w:rFonts w:hint="eastAsia" w:ascii="宋体" w:hAnsi="宋体" w:eastAsia="宋体" w:cs="宋体"/>
          <w:sz w:val="24"/>
          <w:szCs w:val="24"/>
          <w:lang w:val="en-US" w:eastAsia="zh-CN"/>
        </w:rPr>
        <w:t>月度抽查：每月对物资完好性、有效期、存放环境进行抽查，及时整理、归位，发现破损、缺失立即登记。</w:t>
      </w:r>
    </w:p>
    <w:p>
      <w:pPr>
        <w:bidi w:val="0"/>
        <w:spacing w:line="360" w:lineRule="auto"/>
        <w:rPr>
          <w:rFonts w:hint="eastAsia" w:ascii="宋体" w:hAnsi="宋体" w:eastAsia="宋体" w:cs="宋体"/>
          <w:sz w:val="24"/>
          <w:szCs w:val="24"/>
        </w:rPr>
      </w:pPr>
      <w:r>
        <w:rPr>
          <w:rFonts w:hint="eastAsia" w:ascii="宋体" w:hAnsi="宋体" w:cs="宋体"/>
          <w:sz w:val="24"/>
          <w:szCs w:val="24"/>
          <w:lang w:val="en-US" w:eastAsia="zh-CN"/>
        </w:rPr>
        <w:t>（二）</w:t>
      </w:r>
      <w:r>
        <w:rPr>
          <w:rFonts w:hint="eastAsia" w:ascii="宋体" w:hAnsi="宋体" w:eastAsia="宋体" w:cs="宋体"/>
          <w:sz w:val="24"/>
          <w:szCs w:val="24"/>
          <w:lang w:val="en-US" w:eastAsia="zh-CN"/>
        </w:rPr>
        <w:t>季度全面检查：每季度开展全覆盖盘点，对监测设备开机校验、通讯设备充电测试、抢险器材功能检查，形成季度物资检查台账。</w:t>
      </w:r>
    </w:p>
    <w:p>
      <w:pPr>
        <w:bidi w:val="0"/>
        <w:spacing w:line="360" w:lineRule="auto"/>
        <w:rPr>
          <w:rFonts w:hint="eastAsia" w:ascii="宋体" w:hAnsi="宋体" w:eastAsia="宋体" w:cs="宋体"/>
          <w:sz w:val="24"/>
          <w:szCs w:val="24"/>
        </w:rPr>
      </w:pPr>
      <w:r>
        <w:rPr>
          <w:rFonts w:hint="eastAsia" w:ascii="宋体" w:hAnsi="宋体" w:cs="宋体"/>
          <w:sz w:val="24"/>
          <w:szCs w:val="24"/>
          <w:lang w:val="en-US" w:eastAsia="zh-CN"/>
        </w:rPr>
        <w:t>（三）</w:t>
      </w:r>
      <w:r>
        <w:rPr>
          <w:rFonts w:hint="eastAsia" w:ascii="宋体" w:hAnsi="宋体" w:eastAsia="宋体" w:cs="宋体"/>
          <w:sz w:val="24"/>
          <w:szCs w:val="24"/>
          <w:lang w:val="en-US" w:eastAsia="zh-CN"/>
        </w:rPr>
        <w:t>年度核验：每年年底开展年度大盘点，结合演练消耗、自然损耗、过期失效情况统一更新补充。</w:t>
      </w:r>
    </w:p>
    <w:p>
      <w:pPr>
        <w:bidi w:val="0"/>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rPr>
        <w:t>更新补充与报废机制</w:t>
      </w:r>
    </w:p>
    <w:p>
      <w:pPr>
        <w:bidi w:val="0"/>
        <w:spacing w:line="360" w:lineRule="auto"/>
        <w:rPr>
          <w:rFonts w:hint="eastAsia" w:ascii="宋体" w:hAnsi="宋体" w:eastAsia="宋体" w:cs="宋体"/>
          <w:sz w:val="24"/>
          <w:szCs w:val="24"/>
        </w:rPr>
      </w:pPr>
      <w:r>
        <w:rPr>
          <w:rFonts w:hint="eastAsia" w:ascii="宋体" w:hAnsi="宋体" w:cs="宋体"/>
          <w:sz w:val="24"/>
          <w:szCs w:val="24"/>
          <w:lang w:val="en-US" w:eastAsia="zh-CN"/>
        </w:rPr>
        <w:t>（一）</w:t>
      </w:r>
      <w:r>
        <w:rPr>
          <w:rFonts w:hint="eastAsia" w:ascii="宋体" w:hAnsi="宋体" w:eastAsia="宋体" w:cs="宋体"/>
          <w:sz w:val="24"/>
          <w:szCs w:val="24"/>
          <w:lang w:val="en-US" w:eastAsia="zh-CN"/>
        </w:rPr>
        <w:t>耗材类、防护用品、检测试纸等临近有效期3个月前提前采购更新，杜绝过期储备。</w:t>
      </w:r>
    </w:p>
    <w:p>
      <w:pPr>
        <w:bidi w:val="0"/>
        <w:spacing w:line="360" w:lineRule="auto"/>
        <w:rPr>
          <w:rFonts w:hint="eastAsia" w:ascii="宋体" w:hAnsi="宋体" w:eastAsia="宋体" w:cs="宋体"/>
          <w:sz w:val="24"/>
          <w:szCs w:val="24"/>
        </w:rPr>
      </w:pPr>
      <w:r>
        <w:rPr>
          <w:rFonts w:hint="eastAsia" w:ascii="宋体" w:hAnsi="宋体" w:cs="宋体"/>
          <w:sz w:val="24"/>
          <w:szCs w:val="24"/>
          <w:lang w:val="en-US" w:eastAsia="zh-CN"/>
        </w:rPr>
        <w:t>（二）</w:t>
      </w:r>
      <w:r>
        <w:rPr>
          <w:rFonts w:hint="eastAsia" w:ascii="宋体" w:hAnsi="宋体" w:eastAsia="宋体" w:cs="宋体"/>
          <w:sz w:val="24"/>
          <w:szCs w:val="24"/>
          <w:lang w:val="en-US" w:eastAsia="zh-CN"/>
        </w:rPr>
        <w:t>设备类出现故障、精度不足、无法正常使用的，立即停机停用、送检维修，无法维修的年度统一报废更新。</w:t>
      </w:r>
    </w:p>
    <w:p>
      <w:pPr>
        <w:bidi w:val="0"/>
        <w:spacing w:line="360" w:lineRule="auto"/>
        <w:rPr>
          <w:rFonts w:hint="eastAsia" w:ascii="宋体" w:hAnsi="宋体" w:eastAsia="宋体" w:cs="宋体"/>
          <w:sz w:val="24"/>
          <w:szCs w:val="24"/>
        </w:rPr>
      </w:pPr>
      <w:r>
        <w:rPr>
          <w:rFonts w:hint="eastAsia" w:ascii="宋体" w:hAnsi="宋体" w:cs="宋体"/>
          <w:sz w:val="24"/>
          <w:szCs w:val="24"/>
          <w:lang w:val="en-US" w:eastAsia="zh-CN"/>
        </w:rPr>
        <w:t>（三）</w:t>
      </w:r>
      <w:r>
        <w:rPr>
          <w:rFonts w:hint="eastAsia" w:ascii="宋体" w:hAnsi="宋体" w:eastAsia="宋体" w:cs="宋体"/>
          <w:sz w:val="24"/>
          <w:szCs w:val="24"/>
          <w:lang w:val="en-US" w:eastAsia="zh-CN"/>
        </w:rPr>
        <w:t>应急处置、演练消耗物资，3个工作日内完成补齐复位，确保常备满配状态。</w:t>
      </w:r>
    </w:p>
    <w:p>
      <w:pPr>
        <w:bidi w:val="0"/>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四、</w:t>
      </w:r>
      <w:r>
        <w:rPr>
          <w:rFonts w:hint="eastAsia" w:ascii="宋体" w:hAnsi="宋体" w:eastAsia="宋体" w:cs="宋体"/>
          <w:sz w:val="24"/>
          <w:szCs w:val="24"/>
        </w:rPr>
        <w:t>调用归还机制</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应急物资实行“先登记、后调用，用完核验、及时归还”，应急结束、演练结束后统一清点、清洗、维护、复位，确保随时可二次投入使用。</w:t>
      </w:r>
    </w:p>
    <w:p>
      <w:pPr>
        <w:spacing w:before="120"/>
        <w:ind w:firstLine="4410" w:firstLineChars="2100"/>
        <w:rPr>
          <w:color w:val="auto"/>
          <w:sz w:val="21"/>
          <w:szCs w:val="24"/>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2"/>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Tahoma">
    <w:altName w:val="DejaVu Sans"/>
    <w:panose1 w:val="020B0604030504040204"/>
    <w:charset w:val="00"/>
    <w:family w:val="auto"/>
    <w:pitch w:val="default"/>
    <w:sig w:usb0="00000000" w:usb1="00000000" w:usb2="00000029" w:usb3="00000000" w:csb0="200101FF" w:csb1="20280000"/>
  </w:font>
  <w:font w:name="等线">
    <w:altName w:val="汉仪中宋简"/>
    <w:panose1 w:val="02010600030101010101"/>
    <w:charset w:val="86"/>
    <w:family w:val="auto"/>
    <w:pitch w:val="default"/>
    <w:sig w:usb0="00000000" w:usb1="00000000" w:usb2="00000016" w:usb3="00000000" w:csb0="0004000F" w:csb1="00000000"/>
  </w:font>
  <w:font w:name="楷体">
    <w:altName w:val="方正楷体_GBK"/>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NanumGothic">
    <w:panose1 w:val="020D0604000000000000"/>
    <w:charset w:val="81"/>
    <w:family w:val="auto"/>
    <w:pitch w:val="default"/>
    <w:sig w:usb0="900002A7" w:usb1="29D7FCFB" w:usb2="00000010" w:usb3="00000000" w:csb0="00080001" w:csb1="00000000"/>
  </w:font>
  <w:font w:name="汉仪中宋简">
    <w:panose1 w:val="02010600000101010101"/>
    <w:charset w:val="86"/>
    <w:family w:val="auto"/>
    <w:pitch w:val="default"/>
    <w:sig w:usb0="00000001" w:usb1="080E0800" w:usb2="00000002"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tabs>
        <w:tab w:val="left" w:pos="7005"/>
        <w:tab w:val="center" w:pos="7159"/>
      </w:tabs>
      <w:ind w:firstLine="0" w:firstLineChars="0"/>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II</w:t>
    </w:r>
    <w:r>
      <w:rPr>
        <w:sz w:val="24"/>
        <w:szCs w:val="24"/>
        <w:lang w:val="zh-C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tabs>
        <w:tab w:val="left" w:pos="7005"/>
        <w:tab w:val="center" w:pos="7159"/>
      </w:tabs>
      <w:ind w:firstLine="0" w:firstLineChars="0"/>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74</w:t>
    </w:r>
    <w:r>
      <w:rPr>
        <w:sz w:val="24"/>
        <w:szCs w:val="24"/>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firstLine="0" w:firstLineChars="0"/>
      <w:jc w:val="center"/>
    </w:pPr>
    <w:r>
      <w:t>清远市滨江河三坑滩饮用水水源保护区突发生态环境事件应急预案（2026年修订版）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22B7D"/>
    <w:multiLevelType w:val="singleLevel"/>
    <w:tmpl w:val="91722B7D"/>
    <w:lvl w:ilvl="0" w:tentative="0">
      <w:start w:val="1"/>
      <w:numFmt w:val="decimal"/>
      <w:suff w:val="nothing"/>
      <w:lvlText w:val="（%1）"/>
      <w:lvlJc w:val="left"/>
    </w:lvl>
  </w:abstractNum>
  <w:abstractNum w:abstractNumId="1">
    <w:nsid w:val="A72A68E6"/>
    <w:multiLevelType w:val="singleLevel"/>
    <w:tmpl w:val="A72A68E6"/>
    <w:lvl w:ilvl="0" w:tentative="0">
      <w:start w:val="1"/>
      <w:numFmt w:val="decimal"/>
      <w:suff w:val="nothing"/>
      <w:lvlText w:val="（%1）"/>
      <w:lvlJc w:val="left"/>
    </w:lvl>
  </w:abstractNum>
  <w:abstractNum w:abstractNumId="2">
    <w:nsid w:val="AAF248F6"/>
    <w:multiLevelType w:val="singleLevel"/>
    <w:tmpl w:val="AAF248F6"/>
    <w:lvl w:ilvl="0" w:tentative="0">
      <w:start w:val="2"/>
      <w:numFmt w:val="decimal"/>
      <w:suff w:val="space"/>
      <w:lvlText w:val="%1."/>
      <w:lvlJc w:val="left"/>
    </w:lvl>
  </w:abstractNum>
  <w:abstractNum w:abstractNumId="3">
    <w:nsid w:val="CFAE5C1D"/>
    <w:multiLevelType w:val="singleLevel"/>
    <w:tmpl w:val="CFAE5C1D"/>
    <w:lvl w:ilvl="0" w:tentative="0">
      <w:start w:val="2"/>
      <w:numFmt w:val="decimal"/>
      <w:suff w:val="nothing"/>
      <w:lvlText w:val="（%1）"/>
      <w:lvlJc w:val="left"/>
    </w:lvl>
  </w:abstractNum>
  <w:abstractNum w:abstractNumId="4">
    <w:nsid w:val="00000013"/>
    <w:multiLevelType w:val="singleLevel"/>
    <w:tmpl w:val="00000013"/>
    <w:lvl w:ilvl="0" w:tentative="0">
      <w:start w:val="1"/>
      <w:numFmt w:val="decimal"/>
      <w:suff w:val="nothing"/>
      <w:lvlText w:val="（%1）"/>
      <w:lvlJc w:val="left"/>
    </w:lvl>
  </w:abstractNum>
  <w:abstractNum w:abstractNumId="5">
    <w:nsid w:val="209A0F3D"/>
    <w:multiLevelType w:val="singleLevel"/>
    <w:tmpl w:val="209A0F3D"/>
    <w:lvl w:ilvl="0" w:tentative="0">
      <w:start w:val="1"/>
      <w:numFmt w:val="decimal"/>
      <w:suff w:val="nothing"/>
      <w:lvlText w:val="（%1）"/>
      <w:lvlJc w:val="left"/>
    </w:lvl>
  </w:abstractNum>
  <w:abstractNum w:abstractNumId="6">
    <w:nsid w:val="38E0C62C"/>
    <w:multiLevelType w:val="singleLevel"/>
    <w:tmpl w:val="38E0C62C"/>
    <w:lvl w:ilvl="0" w:tentative="0">
      <w:start w:val="1"/>
      <w:numFmt w:val="decimal"/>
      <w:suff w:val="nothing"/>
      <w:lvlText w:val="（%1）"/>
      <w:lvlJc w:val="left"/>
    </w:lvl>
  </w:abstractNum>
  <w:abstractNum w:abstractNumId="7">
    <w:nsid w:val="3A713F22"/>
    <w:multiLevelType w:val="multilevel"/>
    <w:tmpl w:val="3A713F22"/>
    <w:lvl w:ilvl="0" w:tentative="0">
      <w:start w:val="1"/>
      <w:numFmt w:val="decimal"/>
      <w:pStyle w:val="139"/>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8">
    <w:nsid w:val="481648A4"/>
    <w:multiLevelType w:val="multilevel"/>
    <w:tmpl w:val="481648A4"/>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38B967D"/>
    <w:multiLevelType w:val="singleLevel"/>
    <w:tmpl w:val="638B967D"/>
    <w:lvl w:ilvl="0" w:tentative="0">
      <w:start w:val="1"/>
      <w:numFmt w:val="decimal"/>
      <w:suff w:val="nothing"/>
      <w:lvlText w:val="（%1）"/>
      <w:lvlJc w:val="left"/>
    </w:lvl>
  </w:abstractNum>
  <w:num w:numId="1">
    <w:abstractNumId w:val="7"/>
  </w:num>
  <w:num w:numId="2">
    <w:abstractNumId w:val="6"/>
  </w:num>
  <w:num w:numId="3">
    <w:abstractNumId w:val="3"/>
  </w:num>
  <w:num w:numId="4">
    <w:abstractNumId w:val="4"/>
  </w:num>
  <w:num w:numId="5">
    <w:abstractNumId w:val="5"/>
  </w:num>
  <w:num w:numId="6">
    <w:abstractNumId w:val="9"/>
  </w:num>
  <w:num w:numId="7">
    <w:abstractNumId w:val="1"/>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B1C"/>
    <w:rsid w:val="0000038C"/>
    <w:rsid w:val="000003BD"/>
    <w:rsid w:val="0000059E"/>
    <w:rsid w:val="00000999"/>
    <w:rsid w:val="00001115"/>
    <w:rsid w:val="00002A98"/>
    <w:rsid w:val="0000304A"/>
    <w:rsid w:val="00003535"/>
    <w:rsid w:val="00003FE3"/>
    <w:rsid w:val="000043F4"/>
    <w:rsid w:val="00005D0F"/>
    <w:rsid w:val="000061C1"/>
    <w:rsid w:val="0000687A"/>
    <w:rsid w:val="00006A85"/>
    <w:rsid w:val="00006CB0"/>
    <w:rsid w:val="00007DE3"/>
    <w:rsid w:val="00010E12"/>
    <w:rsid w:val="000115F6"/>
    <w:rsid w:val="00012076"/>
    <w:rsid w:val="00013ABA"/>
    <w:rsid w:val="00013D6C"/>
    <w:rsid w:val="00014B17"/>
    <w:rsid w:val="000154D4"/>
    <w:rsid w:val="0001642A"/>
    <w:rsid w:val="000164A0"/>
    <w:rsid w:val="00016BB3"/>
    <w:rsid w:val="000170D6"/>
    <w:rsid w:val="00017343"/>
    <w:rsid w:val="00021CA6"/>
    <w:rsid w:val="00022202"/>
    <w:rsid w:val="00022511"/>
    <w:rsid w:val="000227D1"/>
    <w:rsid w:val="00024149"/>
    <w:rsid w:val="000251D8"/>
    <w:rsid w:val="000258D3"/>
    <w:rsid w:val="00025965"/>
    <w:rsid w:val="000259AC"/>
    <w:rsid w:val="00025AD5"/>
    <w:rsid w:val="0002639A"/>
    <w:rsid w:val="00027604"/>
    <w:rsid w:val="000301A1"/>
    <w:rsid w:val="00030E94"/>
    <w:rsid w:val="00032B74"/>
    <w:rsid w:val="000342B2"/>
    <w:rsid w:val="00034AB7"/>
    <w:rsid w:val="00034D89"/>
    <w:rsid w:val="00035423"/>
    <w:rsid w:val="00035613"/>
    <w:rsid w:val="00035618"/>
    <w:rsid w:val="00035BE1"/>
    <w:rsid w:val="00035D36"/>
    <w:rsid w:val="000372A3"/>
    <w:rsid w:val="00037C14"/>
    <w:rsid w:val="00037C83"/>
    <w:rsid w:val="00037F9A"/>
    <w:rsid w:val="00040F7F"/>
    <w:rsid w:val="00041C34"/>
    <w:rsid w:val="00042994"/>
    <w:rsid w:val="0004346A"/>
    <w:rsid w:val="00043617"/>
    <w:rsid w:val="000440A2"/>
    <w:rsid w:val="00044D19"/>
    <w:rsid w:val="000454EF"/>
    <w:rsid w:val="00045508"/>
    <w:rsid w:val="00045E8C"/>
    <w:rsid w:val="0004637F"/>
    <w:rsid w:val="000479F9"/>
    <w:rsid w:val="00050B9A"/>
    <w:rsid w:val="00050BD9"/>
    <w:rsid w:val="00051E6D"/>
    <w:rsid w:val="00051FD9"/>
    <w:rsid w:val="00052A51"/>
    <w:rsid w:val="00052B35"/>
    <w:rsid w:val="000534F4"/>
    <w:rsid w:val="00053D7D"/>
    <w:rsid w:val="00053DFD"/>
    <w:rsid w:val="00053EF4"/>
    <w:rsid w:val="000544F0"/>
    <w:rsid w:val="0005648F"/>
    <w:rsid w:val="000566B8"/>
    <w:rsid w:val="000568FD"/>
    <w:rsid w:val="00056EFA"/>
    <w:rsid w:val="00057416"/>
    <w:rsid w:val="00057DDA"/>
    <w:rsid w:val="00061BC1"/>
    <w:rsid w:val="0006257B"/>
    <w:rsid w:val="00063AAD"/>
    <w:rsid w:val="000652C2"/>
    <w:rsid w:val="0006620E"/>
    <w:rsid w:val="00066E2D"/>
    <w:rsid w:val="00066F5D"/>
    <w:rsid w:val="000679B6"/>
    <w:rsid w:val="00070091"/>
    <w:rsid w:val="00070C15"/>
    <w:rsid w:val="00071BF5"/>
    <w:rsid w:val="00074A52"/>
    <w:rsid w:val="00075710"/>
    <w:rsid w:val="00075D44"/>
    <w:rsid w:val="00075F00"/>
    <w:rsid w:val="0007620E"/>
    <w:rsid w:val="00076781"/>
    <w:rsid w:val="00076AFC"/>
    <w:rsid w:val="00077FED"/>
    <w:rsid w:val="00080F80"/>
    <w:rsid w:val="00081A26"/>
    <w:rsid w:val="00081B21"/>
    <w:rsid w:val="0008244A"/>
    <w:rsid w:val="00083B36"/>
    <w:rsid w:val="00084235"/>
    <w:rsid w:val="000849AF"/>
    <w:rsid w:val="00084CF6"/>
    <w:rsid w:val="00085EF5"/>
    <w:rsid w:val="0008633A"/>
    <w:rsid w:val="000868B4"/>
    <w:rsid w:val="0008713B"/>
    <w:rsid w:val="00087ACC"/>
    <w:rsid w:val="00090241"/>
    <w:rsid w:val="00090728"/>
    <w:rsid w:val="000911E4"/>
    <w:rsid w:val="000915A4"/>
    <w:rsid w:val="000918B2"/>
    <w:rsid w:val="000925FA"/>
    <w:rsid w:val="00092997"/>
    <w:rsid w:val="00092F9D"/>
    <w:rsid w:val="00094120"/>
    <w:rsid w:val="00094B35"/>
    <w:rsid w:val="00094CEE"/>
    <w:rsid w:val="0009508A"/>
    <w:rsid w:val="000953BA"/>
    <w:rsid w:val="000954C7"/>
    <w:rsid w:val="00096224"/>
    <w:rsid w:val="0009668D"/>
    <w:rsid w:val="000A0B49"/>
    <w:rsid w:val="000A1CD2"/>
    <w:rsid w:val="000A2027"/>
    <w:rsid w:val="000A231B"/>
    <w:rsid w:val="000A264F"/>
    <w:rsid w:val="000A3145"/>
    <w:rsid w:val="000A323F"/>
    <w:rsid w:val="000A48CB"/>
    <w:rsid w:val="000A4D38"/>
    <w:rsid w:val="000A4F32"/>
    <w:rsid w:val="000A577D"/>
    <w:rsid w:val="000A58A2"/>
    <w:rsid w:val="000A66FC"/>
    <w:rsid w:val="000A736B"/>
    <w:rsid w:val="000A7CBB"/>
    <w:rsid w:val="000B0740"/>
    <w:rsid w:val="000B0B1C"/>
    <w:rsid w:val="000B1242"/>
    <w:rsid w:val="000B1334"/>
    <w:rsid w:val="000B167F"/>
    <w:rsid w:val="000B189C"/>
    <w:rsid w:val="000B1E39"/>
    <w:rsid w:val="000B24F3"/>
    <w:rsid w:val="000B28C5"/>
    <w:rsid w:val="000B2A64"/>
    <w:rsid w:val="000B2BD5"/>
    <w:rsid w:val="000B4312"/>
    <w:rsid w:val="000B45F3"/>
    <w:rsid w:val="000B4725"/>
    <w:rsid w:val="000B477C"/>
    <w:rsid w:val="000B63E1"/>
    <w:rsid w:val="000B778F"/>
    <w:rsid w:val="000B7BFB"/>
    <w:rsid w:val="000C0254"/>
    <w:rsid w:val="000C04C3"/>
    <w:rsid w:val="000C1DB6"/>
    <w:rsid w:val="000C2208"/>
    <w:rsid w:val="000C3075"/>
    <w:rsid w:val="000C43E4"/>
    <w:rsid w:val="000C5580"/>
    <w:rsid w:val="000C63F2"/>
    <w:rsid w:val="000C6E46"/>
    <w:rsid w:val="000C766D"/>
    <w:rsid w:val="000C7778"/>
    <w:rsid w:val="000D1003"/>
    <w:rsid w:val="000D4622"/>
    <w:rsid w:val="000D4D3B"/>
    <w:rsid w:val="000D4E78"/>
    <w:rsid w:val="000D54FC"/>
    <w:rsid w:val="000D7D79"/>
    <w:rsid w:val="000E05EF"/>
    <w:rsid w:val="000E0657"/>
    <w:rsid w:val="000E0A16"/>
    <w:rsid w:val="000E12E8"/>
    <w:rsid w:val="000E1F50"/>
    <w:rsid w:val="000E2FDB"/>
    <w:rsid w:val="000E4196"/>
    <w:rsid w:val="000E4B44"/>
    <w:rsid w:val="000E5512"/>
    <w:rsid w:val="000F2120"/>
    <w:rsid w:val="000F21B2"/>
    <w:rsid w:val="000F2ACD"/>
    <w:rsid w:val="000F30B7"/>
    <w:rsid w:val="000F313C"/>
    <w:rsid w:val="000F5612"/>
    <w:rsid w:val="000F606A"/>
    <w:rsid w:val="000F60B1"/>
    <w:rsid w:val="000F6B2B"/>
    <w:rsid w:val="00100588"/>
    <w:rsid w:val="00100BA2"/>
    <w:rsid w:val="00101218"/>
    <w:rsid w:val="0010155E"/>
    <w:rsid w:val="001028A1"/>
    <w:rsid w:val="00102912"/>
    <w:rsid w:val="00102AE5"/>
    <w:rsid w:val="00103939"/>
    <w:rsid w:val="00105A5E"/>
    <w:rsid w:val="00105C13"/>
    <w:rsid w:val="00105C77"/>
    <w:rsid w:val="001068A1"/>
    <w:rsid w:val="00106DCE"/>
    <w:rsid w:val="00106E03"/>
    <w:rsid w:val="0011013C"/>
    <w:rsid w:val="00110188"/>
    <w:rsid w:val="00111641"/>
    <w:rsid w:val="001118D0"/>
    <w:rsid w:val="00111D4E"/>
    <w:rsid w:val="00112B5F"/>
    <w:rsid w:val="00112DC3"/>
    <w:rsid w:val="00113F4A"/>
    <w:rsid w:val="00114866"/>
    <w:rsid w:val="00116723"/>
    <w:rsid w:val="00116DB5"/>
    <w:rsid w:val="0012170C"/>
    <w:rsid w:val="00123B65"/>
    <w:rsid w:val="00123CED"/>
    <w:rsid w:val="00124BDA"/>
    <w:rsid w:val="001259FE"/>
    <w:rsid w:val="00125AC2"/>
    <w:rsid w:val="00125D4A"/>
    <w:rsid w:val="001267F7"/>
    <w:rsid w:val="00127066"/>
    <w:rsid w:val="00130632"/>
    <w:rsid w:val="00130A64"/>
    <w:rsid w:val="00130CA7"/>
    <w:rsid w:val="0013184A"/>
    <w:rsid w:val="00131D0F"/>
    <w:rsid w:val="00132039"/>
    <w:rsid w:val="00132538"/>
    <w:rsid w:val="0013327B"/>
    <w:rsid w:val="001335C6"/>
    <w:rsid w:val="00134D2D"/>
    <w:rsid w:val="0013589A"/>
    <w:rsid w:val="00135C6E"/>
    <w:rsid w:val="001369F4"/>
    <w:rsid w:val="00136BBB"/>
    <w:rsid w:val="001372FC"/>
    <w:rsid w:val="001404A1"/>
    <w:rsid w:val="00140BB8"/>
    <w:rsid w:val="0014154E"/>
    <w:rsid w:val="00142FD8"/>
    <w:rsid w:val="001450A7"/>
    <w:rsid w:val="001451B7"/>
    <w:rsid w:val="00145578"/>
    <w:rsid w:val="00145960"/>
    <w:rsid w:val="0014617F"/>
    <w:rsid w:val="0014688B"/>
    <w:rsid w:val="00147651"/>
    <w:rsid w:val="00147790"/>
    <w:rsid w:val="0015099E"/>
    <w:rsid w:val="00150A02"/>
    <w:rsid w:val="00150EDA"/>
    <w:rsid w:val="00151166"/>
    <w:rsid w:val="00151393"/>
    <w:rsid w:val="00151E1E"/>
    <w:rsid w:val="00153293"/>
    <w:rsid w:val="001548EB"/>
    <w:rsid w:val="00155003"/>
    <w:rsid w:val="00155C34"/>
    <w:rsid w:val="00156164"/>
    <w:rsid w:val="001562DE"/>
    <w:rsid w:val="00163C84"/>
    <w:rsid w:val="00165674"/>
    <w:rsid w:val="00170000"/>
    <w:rsid w:val="00170DA6"/>
    <w:rsid w:val="001716DC"/>
    <w:rsid w:val="00171AD8"/>
    <w:rsid w:val="00171C33"/>
    <w:rsid w:val="00171F2A"/>
    <w:rsid w:val="00172395"/>
    <w:rsid w:val="001728A3"/>
    <w:rsid w:val="001759B1"/>
    <w:rsid w:val="00175EC2"/>
    <w:rsid w:val="0017672E"/>
    <w:rsid w:val="001823CA"/>
    <w:rsid w:val="00182B18"/>
    <w:rsid w:val="001834A2"/>
    <w:rsid w:val="001835DD"/>
    <w:rsid w:val="001838D8"/>
    <w:rsid w:val="00183BA5"/>
    <w:rsid w:val="001841C2"/>
    <w:rsid w:val="0018438D"/>
    <w:rsid w:val="001852F9"/>
    <w:rsid w:val="001856C1"/>
    <w:rsid w:val="00185B0B"/>
    <w:rsid w:val="00185ED0"/>
    <w:rsid w:val="00186BF3"/>
    <w:rsid w:val="00187347"/>
    <w:rsid w:val="00187B73"/>
    <w:rsid w:val="00187BFA"/>
    <w:rsid w:val="00190021"/>
    <w:rsid w:val="001906E4"/>
    <w:rsid w:val="001908EA"/>
    <w:rsid w:val="00191506"/>
    <w:rsid w:val="00191CA9"/>
    <w:rsid w:val="00192248"/>
    <w:rsid w:val="001928D9"/>
    <w:rsid w:val="001929A3"/>
    <w:rsid w:val="00192A2C"/>
    <w:rsid w:val="0019348A"/>
    <w:rsid w:val="00193807"/>
    <w:rsid w:val="00196220"/>
    <w:rsid w:val="001962BA"/>
    <w:rsid w:val="0019676B"/>
    <w:rsid w:val="001A0428"/>
    <w:rsid w:val="001A075E"/>
    <w:rsid w:val="001A0AE1"/>
    <w:rsid w:val="001A1F3A"/>
    <w:rsid w:val="001A224E"/>
    <w:rsid w:val="001A24DE"/>
    <w:rsid w:val="001A2AFA"/>
    <w:rsid w:val="001A2C27"/>
    <w:rsid w:val="001A391F"/>
    <w:rsid w:val="001A3CA9"/>
    <w:rsid w:val="001A3E8D"/>
    <w:rsid w:val="001A4038"/>
    <w:rsid w:val="001A4170"/>
    <w:rsid w:val="001A4424"/>
    <w:rsid w:val="001B03BA"/>
    <w:rsid w:val="001B0677"/>
    <w:rsid w:val="001B09E7"/>
    <w:rsid w:val="001B0EDC"/>
    <w:rsid w:val="001B2C78"/>
    <w:rsid w:val="001B470D"/>
    <w:rsid w:val="001B4C2A"/>
    <w:rsid w:val="001B4C78"/>
    <w:rsid w:val="001B5DD5"/>
    <w:rsid w:val="001B683B"/>
    <w:rsid w:val="001B7037"/>
    <w:rsid w:val="001B7585"/>
    <w:rsid w:val="001B766A"/>
    <w:rsid w:val="001C125F"/>
    <w:rsid w:val="001C1467"/>
    <w:rsid w:val="001C14EE"/>
    <w:rsid w:val="001C1782"/>
    <w:rsid w:val="001C2D99"/>
    <w:rsid w:val="001C2DDA"/>
    <w:rsid w:val="001C2F6B"/>
    <w:rsid w:val="001C352D"/>
    <w:rsid w:val="001C3E88"/>
    <w:rsid w:val="001C3FF5"/>
    <w:rsid w:val="001C4773"/>
    <w:rsid w:val="001C56A0"/>
    <w:rsid w:val="001C5C92"/>
    <w:rsid w:val="001C5CF9"/>
    <w:rsid w:val="001C67E9"/>
    <w:rsid w:val="001C7175"/>
    <w:rsid w:val="001C7249"/>
    <w:rsid w:val="001C7EB9"/>
    <w:rsid w:val="001D03C7"/>
    <w:rsid w:val="001D049A"/>
    <w:rsid w:val="001D14F8"/>
    <w:rsid w:val="001D1556"/>
    <w:rsid w:val="001D1EC0"/>
    <w:rsid w:val="001D216B"/>
    <w:rsid w:val="001D3104"/>
    <w:rsid w:val="001D38EB"/>
    <w:rsid w:val="001D3C67"/>
    <w:rsid w:val="001D4EA1"/>
    <w:rsid w:val="001D521D"/>
    <w:rsid w:val="001D7C74"/>
    <w:rsid w:val="001E0532"/>
    <w:rsid w:val="001E068B"/>
    <w:rsid w:val="001E0DEA"/>
    <w:rsid w:val="001E1435"/>
    <w:rsid w:val="001E2890"/>
    <w:rsid w:val="001E4021"/>
    <w:rsid w:val="001E4147"/>
    <w:rsid w:val="001E4348"/>
    <w:rsid w:val="001E44C1"/>
    <w:rsid w:val="001E53E0"/>
    <w:rsid w:val="001E55CC"/>
    <w:rsid w:val="001E5E97"/>
    <w:rsid w:val="001E5FE2"/>
    <w:rsid w:val="001E64C1"/>
    <w:rsid w:val="001E662B"/>
    <w:rsid w:val="001E697F"/>
    <w:rsid w:val="001E7754"/>
    <w:rsid w:val="001E79AA"/>
    <w:rsid w:val="001E7E34"/>
    <w:rsid w:val="001F1682"/>
    <w:rsid w:val="001F22F1"/>
    <w:rsid w:val="001F3E73"/>
    <w:rsid w:val="001F4207"/>
    <w:rsid w:val="001F5809"/>
    <w:rsid w:val="001F58DE"/>
    <w:rsid w:val="001F608C"/>
    <w:rsid w:val="001F62C6"/>
    <w:rsid w:val="001F630A"/>
    <w:rsid w:val="001F6566"/>
    <w:rsid w:val="001F6B68"/>
    <w:rsid w:val="001F75F1"/>
    <w:rsid w:val="001F794B"/>
    <w:rsid w:val="001F7E69"/>
    <w:rsid w:val="00201D6E"/>
    <w:rsid w:val="00203996"/>
    <w:rsid w:val="0020401D"/>
    <w:rsid w:val="002040E2"/>
    <w:rsid w:val="002047EB"/>
    <w:rsid w:val="00204E96"/>
    <w:rsid w:val="00205541"/>
    <w:rsid w:val="00205960"/>
    <w:rsid w:val="002065C4"/>
    <w:rsid w:val="00206D91"/>
    <w:rsid w:val="00207A31"/>
    <w:rsid w:val="00210760"/>
    <w:rsid w:val="002113BA"/>
    <w:rsid w:val="00211716"/>
    <w:rsid w:val="002119D7"/>
    <w:rsid w:val="0021251C"/>
    <w:rsid w:val="00212A27"/>
    <w:rsid w:val="00213042"/>
    <w:rsid w:val="00214A16"/>
    <w:rsid w:val="00214EB8"/>
    <w:rsid w:val="00215C14"/>
    <w:rsid w:val="00215E9F"/>
    <w:rsid w:val="0021661B"/>
    <w:rsid w:val="00216BD3"/>
    <w:rsid w:val="00217013"/>
    <w:rsid w:val="00217043"/>
    <w:rsid w:val="00217640"/>
    <w:rsid w:val="00217696"/>
    <w:rsid w:val="002218F8"/>
    <w:rsid w:val="00222D17"/>
    <w:rsid w:val="0022361A"/>
    <w:rsid w:val="00223A48"/>
    <w:rsid w:val="002243EA"/>
    <w:rsid w:val="0022443E"/>
    <w:rsid w:val="00224D46"/>
    <w:rsid w:val="0022516D"/>
    <w:rsid w:val="0022550C"/>
    <w:rsid w:val="00226D79"/>
    <w:rsid w:val="00227396"/>
    <w:rsid w:val="002307E5"/>
    <w:rsid w:val="00230889"/>
    <w:rsid w:val="00232286"/>
    <w:rsid w:val="002322C3"/>
    <w:rsid w:val="00232DC7"/>
    <w:rsid w:val="0023329E"/>
    <w:rsid w:val="002335B5"/>
    <w:rsid w:val="0023455B"/>
    <w:rsid w:val="00236C82"/>
    <w:rsid w:val="00237777"/>
    <w:rsid w:val="0024059B"/>
    <w:rsid w:val="00240A08"/>
    <w:rsid w:val="00240E32"/>
    <w:rsid w:val="0024229B"/>
    <w:rsid w:val="00242E78"/>
    <w:rsid w:val="00243399"/>
    <w:rsid w:val="00246398"/>
    <w:rsid w:val="00246F84"/>
    <w:rsid w:val="00247D76"/>
    <w:rsid w:val="00250C10"/>
    <w:rsid w:val="0025149D"/>
    <w:rsid w:val="00251644"/>
    <w:rsid w:val="0025173C"/>
    <w:rsid w:val="00252208"/>
    <w:rsid w:val="002529BD"/>
    <w:rsid w:val="00252CB8"/>
    <w:rsid w:val="00254991"/>
    <w:rsid w:val="00254CDB"/>
    <w:rsid w:val="00254F84"/>
    <w:rsid w:val="00255CEE"/>
    <w:rsid w:val="00255D44"/>
    <w:rsid w:val="0025626D"/>
    <w:rsid w:val="002575B2"/>
    <w:rsid w:val="00257A5F"/>
    <w:rsid w:val="00257BB8"/>
    <w:rsid w:val="00257C07"/>
    <w:rsid w:val="00260C95"/>
    <w:rsid w:val="00261617"/>
    <w:rsid w:val="002619D1"/>
    <w:rsid w:val="0026300E"/>
    <w:rsid w:val="0026499D"/>
    <w:rsid w:val="0026572F"/>
    <w:rsid w:val="00266EC7"/>
    <w:rsid w:val="00267438"/>
    <w:rsid w:val="00267B55"/>
    <w:rsid w:val="00270443"/>
    <w:rsid w:val="002710E3"/>
    <w:rsid w:val="00271373"/>
    <w:rsid w:val="00271832"/>
    <w:rsid w:val="00272CA2"/>
    <w:rsid w:val="00272F1F"/>
    <w:rsid w:val="002735EB"/>
    <w:rsid w:val="0027420D"/>
    <w:rsid w:val="002749F8"/>
    <w:rsid w:val="00274A8F"/>
    <w:rsid w:val="00275870"/>
    <w:rsid w:val="00276D2A"/>
    <w:rsid w:val="00277309"/>
    <w:rsid w:val="002808DB"/>
    <w:rsid w:val="00282504"/>
    <w:rsid w:val="00282FEA"/>
    <w:rsid w:val="00284B0F"/>
    <w:rsid w:val="00285219"/>
    <w:rsid w:val="002866AE"/>
    <w:rsid w:val="002867EB"/>
    <w:rsid w:val="00286B17"/>
    <w:rsid w:val="00287010"/>
    <w:rsid w:val="00287FA9"/>
    <w:rsid w:val="0029014E"/>
    <w:rsid w:val="002905A2"/>
    <w:rsid w:val="002910A4"/>
    <w:rsid w:val="00291C19"/>
    <w:rsid w:val="00291C44"/>
    <w:rsid w:val="002926A5"/>
    <w:rsid w:val="002929C5"/>
    <w:rsid w:val="00292CD7"/>
    <w:rsid w:val="002933A0"/>
    <w:rsid w:val="00293799"/>
    <w:rsid w:val="00295854"/>
    <w:rsid w:val="0029638C"/>
    <w:rsid w:val="002978F8"/>
    <w:rsid w:val="00297C82"/>
    <w:rsid w:val="002A085E"/>
    <w:rsid w:val="002A18A9"/>
    <w:rsid w:val="002A1C07"/>
    <w:rsid w:val="002A38B6"/>
    <w:rsid w:val="002A42E8"/>
    <w:rsid w:val="002A43E0"/>
    <w:rsid w:val="002A503E"/>
    <w:rsid w:val="002A5433"/>
    <w:rsid w:val="002A56D0"/>
    <w:rsid w:val="002A5782"/>
    <w:rsid w:val="002A67DD"/>
    <w:rsid w:val="002A7290"/>
    <w:rsid w:val="002A7A00"/>
    <w:rsid w:val="002A7B0F"/>
    <w:rsid w:val="002A7C4F"/>
    <w:rsid w:val="002B28C5"/>
    <w:rsid w:val="002B2C86"/>
    <w:rsid w:val="002B35B5"/>
    <w:rsid w:val="002B409C"/>
    <w:rsid w:val="002B4577"/>
    <w:rsid w:val="002B5960"/>
    <w:rsid w:val="002B5ADB"/>
    <w:rsid w:val="002B5C3B"/>
    <w:rsid w:val="002B6242"/>
    <w:rsid w:val="002C1016"/>
    <w:rsid w:val="002C2B33"/>
    <w:rsid w:val="002C31C3"/>
    <w:rsid w:val="002C343F"/>
    <w:rsid w:val="002C3C07"/>
    <w:rsid w:val="002C4080"/>
    <w:rsid w:val="002C48E0"/>
    <w:rsid w:val="002C491A"/>
    <w:rsid w:val="002C5C0A"/>
    <w:rsid w:val="002C6CAB"/>
    <w:rsid w:val="002D0981"/>
    <w:rsid w:val="002D1075"/>
    <w:rsid w:val="002D1576"/>
    <w:rsid w:val="002D1BCA"/>
    <w:rsid w:val="002D2898"/>
    <w:rsid w:val="002D3011"/>
    <w:rsid w:val="002D36DE"/>
    <w:rsid w:val="002D3A4A"/>
    <w:rsid w:val="002D4070"/>
    <w:rsid w:val="002D50FB"/>
    <w:rsid w:val="002D6325"/>
    <w:rsid w:val="002D64CC"/>
    <w:rsid w:val="002D7668"/>
    <w:rsid w:val="002E0346"/>
    <w:rsid w:val="002E07C8"/>
    <w:rsid w:val="002E1E3C"/>
    <w:rsid w:val="002E1F68"/>
    <w:rsid w:val="002E25E9"/>
    <w:rsid w:val="002E3C2E"/>
    <w:rsid w:val="002E407D"/>
    <w:rsid w:val="002E4489"/>
    <w:rsid w:val="002E453C"/>
    <w:rsid w:val="002E457C"/>
    <w:rsid w:val="002E47A0"/>
    <w:rsid w:val="002E4A50"/>
    <w:rsid w:val="002E4BD6"/>
    <w:rsid w:val="002E4EFE"/>
    <w:rsid w:val="002E5F50"/>
    <w:rsid w:val="002E5FDA"/>
    <w:rsid w:val="002E620A"/>
    <w:rsid w:val="002E6713"/>
    <w:rsid w:val="002E67AB"/>
    <w:rsid w:val="002E6BD8"/>
    <w:rsid w:val="002E713D"/>
    <w:rsid w:val="002E77DE"/>
    <w:rsid w:val="002F0AF5"/>
    <w:rsid w:val="002F17E8"/>
    <w:rsid w:val="002F1F00"/>
    <w:rsid w:val="002F1FD7"/>
    <w:rsid w:val="002F4CC4"/>
    <w:rsid w:val="002F514B"/>
    <w:rsid w:val="002F530E"/>
    <w:rsid w:val="002F554F"/>
    <w:rsid w:val="002F5590"/>
    <w:rsid w:val="002F5A44"/>
    <w:rsid w:val="002F5E5D"/>
    <w:rsid w:val="002F6C68"/>
    <w:rsid w:val="002F7034"/>
    <w:rsid w:val="002F709A"/>
    <w:rsid w:val="002F79F1"/>
    <w:rsid w:val="002F7A2D"/>
    <w:rsid w:val="00300B1E"/>
    <w:rsid w:val="00300BBE"/>
    <w:rsid w:val="00301776"/>
    <w:rsid w:val="003017E2"/>
    <w:rsid w:val="00301992"/>
    <w:rsid w:val="0030213B"/>
    <w:rsid w:val="003023FF"/>
    <w:rsid w:val="0030276B"/>
    <w:rsid w:val="00303568"/>
    <w:rsid w:val="00304703"/>
    <w:rsid w:val="0031062A"/>
    <w:rsid w:val="0031076E"/>
    <w:rsid w:val="00311B04"/>
    <w:rsid w:val="0031225B"/>
    <w:rsid w:val="0031270C"/>
    <w:rsid w:val="00312E13"/>
    <w:rsid w:val="003154C2"/>
    <w:rsid w:val="003170E0"/>
    <w:rsid w:val="00321636"/>
    <w:rsid w:val="003225C7"/>
    <w:rsid w:val="003237DE"/>
    <w:rsid w:val="00325192"/>
    <w:rsid w:val="0032527A"/>
    <w:rsid w:val="003265D9"/>
    <w:rsid w:val="0032710D"/>
    <w:rsid w:val="003278E0"/>
    <w:rsid w:val="00330C59"/>
    <w:rsid w:val="00332166"/>
    <w:rsid w:val="00332A3D"/>
    <w:rsid w:val="00332B67"/>
    <w:rsid w:val="0033306B"/>
    <w:rsid w:val="0033529B"/>
    <w:rsid w:val="003356B1"/>
    <w:rsid w:val="00335F20"/>
    <w:rsid w:val="00336094"/>
    <w:rsid w:val="00336411"/>
    <w:rsid w:val="003371F7"/>
    <w:rsid w:val="00340E03"/>
    <w:rsid w:val="00342298"/>
    <w:rsid w:val="003430C9"/>
    <w:rsid w:val="00343390"/>
    <w:rsid w:val="00343B9C"/>
    <w:rsid w:val="00345D4C"/>
    <w:rsid w:val="003471C5"/>
    <w:rsid w:val="00347C57"/>
    <w:rsid w:val="003507BF"/>
    <w:rsid w:val="00351346"/>
    <w:rsid w:val="00351A59"/>
    <w:rsid w:val="00351C5A"/>
    <w:rsid w:val="0035207A"/>
    <w:rsid w:val="003523C7"/>
    <w:rsid w:val="00352C2D"/>
    <w:rsid w:val="00353F8E"/>
    <w:rsid w:val="00354259"/>
    <w:rsid w:val="003546CF"/>
    <w:rsid w:val="00354A6F"/>
    <w:rsid w:val="00354C60"/>
    <w:rsid w:val="00354D90"/>
    <w:rsid w:val="00356140"/>
    <w:rsid w:val="003566FB"/>
    <w:rsid w:val="00356CA0"/>
    <w:rsid w:val="00356F7A"/>
    <w:rsid w:val="003575AD"/>
    <w:rsid w:val="0036026C"/>
    <w:rsid w:val="00360573"/>
    <w:rsid w:val="00361110"/>
    <w:rsid w:val="00362765"/>
    <w:rsid w:val="00362DBD"/>
    <w:rsid w:val="00363402"/>
    <w:rsid w:val="003638CA"/>
    <w:rsid w:val="003643DC"/>
    <w:rsid w:val="00364A1D"/>
    <w:rsid w:val="003652F4"/>
    <w:rsid w:val="00365A3D"/>
    <w:rsid w:val="003666A1"/>
    <w:rsid w:val="0037043E"/>
    <w:rsid w:val="00371F42"/>
    <w:rsid w:val="00373169"/>
    <w:rsid w:val="003737DE"/>
    <w:rsid w:val="00375291"/>
    <w:rsid w:val="0037566C"/>
    <w:rsid w:val="00375B56"/>
    <w:rsid w:val="00376066"/>
    <w:rsid w:val="0037626D"/>
    <w:rsid w:val="003763D4"/>
    <w:rsid w:val="003805E3"/>
    <w:rsid w:val="00380846"/>
    <w:rsid w:val="00380D8A"/>
    <w:rsid w:val="00380E52"/>
    <w:rsid w:val="00381AF3"/>
    <w:rsid w:val="003821AE"/>
    <w:rsid w:val="00382B28"/>
    <w:rsid w:val="003850E7"/>
    <w:rsid w:val="00385224"/>
    <w:rsid w:val="00385438"/>
    <w:rsid w:val="003870BB"/>
    <w:rsid w:val="003874B9"/>
    <w:rsid w:val="00387719"/>
    <w:rsid w:val="00387956"/>
    <w:rsid w:val="003902BC"/>
    <w:rsid w:val="00392B0C"/>
    <w:rsid w:val="00392E08"/>
    <w:rsid w:val="0039367A"/>
    <w:rsid w:val="003936D1"/>
    <w:rsid w:val="00394402"/>
    <w:rsid w:val="0039472A"/>
    <w:rsid w:val="00394AA9"/>
    <w:rsid w:val="00394B96"/>
    <w:rsid w:val="00395EF4"/>
    <w:rsid w:val="003965F9"/>
    <w:rsid w:val="003968D6"/>
    <w:rsid w:val="00396E74"/>
    <w:rsid w:val="00396FDA"/>
    <w:rsid w:val="00397157"/>
    <w:rsid w:val="003976C1"/>
    <w:rsid w:val="0039799D"/>
    <w:rsid w:val="00397E52"/>
    <w:rsid w:val="003A0BC4"/>
    <w:rsid w:val="003A0E95"/>
    <w:rsid w:val="003A1169"/>
    <w:rsid w:val="003A26AD"/>
    <w:rsid w:val="003A2F42"/>
    <w:rsid w:val="003A3667"/>
    <w:rsid w:val="003A37A1"/>
    <w:rsid w:val="003A4850"/>
    <w:rsid w:val="003A5752"/>
    <w:rsid w:val="003A6145"/>
    <w:rsid w:val="003A6A3C"/>
    <w:rsid w:val="003A6E57"/>
    <w:rsid w:val="003A70D4"/>
    <w:rsid w:val="003A7752"/>
    <w:rsid w:val="003A7FDA"/>
    <w:rsid w:val="003B2583"/>
    <w:rsid w:val="003B3625"/>
    <w:rsid w:val="003B388E"/>
    <w:rsid w:val="003B4096"/>
    <w:rsid w:val="003B4C16"/>
    <w:rsid w:val="003B525E"/>
    <w:rsid w:val="003B56A8"/>
    <w:rsid w:val="003B5B1B"/>
    <w:rsid w:val="003B5F76"/>
    <w:rsid w:val="003B6192"/>
    <w:rsid w:val="003B6692"/>
    <w:rsid w:val="003B6748"/>
    <w:rsid w:val="003C1A65"/>
    <w:rsid w:val="003C3200"/>
    <w:rsid w:val="003C4187"/>
    <w:rsid w:val="003C689E"/>
    <w:rsid w:val="003C716E"/>
    <w:rsid w:val="003C7C1D"/>
    <w:rsid w:val="003C7DDE"/>
    <w:rsid w:val="003D09AE"/>
    <w:rsid w:val="003D0B20"/>
    <w:rsid w:val="003D16C0"/>
    <w:rsid w:val="003D1B60"/>
    <w:rsid w:val="003D4762"/>
    <w:rsid w:val="003D590F"/>
    <w:rsid w:val="003D7026"/>
    <w:rsid w:val="003D7868"/>
    <w:rsid w:val="003D7A7B"/>
    <w:rsid w:val="003E10E8"/>
    <w:rsid w:val="003E2167"/>
    <w:rsid w:val="003E25D4"/>
    <w:rsid w:val="003E2C2C"/>
    <w:rsid w:val="003E47AB"/>
    <w:rsid w:val="003E652D"/>
    <w:rsid w:val="003E694E"/>
    <w:rsid w:val="003F021D"/>
    <w:rsid w:val="003F14CB"/>
    <w:rsid w:val="003F2980"/>
    <w:rsid w:val="003F324E"/>
    <w:rsid w:val="003F35E9"/>
    <w:rsid w:val="003F3A4D"/>
    <w:rsid w:val="003F5CEF"/>
    <w:rsid w:val="003F5D3C"/>
    <w:rsid w:val="003F5E28"/>
    <w:rsid w:val="003F6161"/>
    <w:rsid w:val="003F64AF"/>
    <w:rsid w:val="003F6F89"/>
    <w:rsid w:val="00400A1D"/>
    <w:rsid w:val="00400DDF"/>
    <w:rsid w:val="00400EF4"/>
    <w:rsid w:val="0040155D"/>
    <w:rsid w:val="0040177B"/>
    <w:rsid w:val="004018E5"/>
    <w:rsid w:val="0040347B"/>
    <w:rsid w:val="0040353D"/>
    <w:rsid w:val="0040498B"/>
    <w:rsid w:val="004077BE"/>
    <w:rsid w:val="00407A57"/>
    <w:rsid w:val="00407BF1"/>
    <w:rsid w:val="00410BC0"/>
    <w:rsid w:val="00411423"/>
    <w:rsid w:val="004119B8"/>
    <w:rsid w:val="0041287B"/>
    <w:rsid w:val="004139D6"/>
    <w:rsid w:val="00415686"/>
    <w:rsid w:val="004156B9"/>
    <w:rsid w:val="00416229"/>
    <w:rsid w:val="00416717"/>
    <w:rsid w:val="00416D4A"/>
    <w:rsid w:val="004175F8"/>
    <w:rsid w:val="00417CDE"/>
    <w:rsid w:val="0042034D"/>
    <w:rsid w:val="004226EE"/>
    <w:rsid w:val="00423C78"/>
    <w:rsid w:val="00424626"/>
    <w:rsid w:val="0042506E"/>
    <w:rsid w:val="00425072"/>
    <w:rsid w:val="004255B4"/>
    <w:rsid w:val="00426BD6"/>
    <w:rsid w:val="00427360"/>
    <w:rsid w:val="004277B1"/>
    <w:rsid w:val="00427D38"/>
    <w:rsid w:val="00427FD6"/>
    <w:rsid w:val="004310F7"/>
    <w:rsid w:val="00431C38"/>
    <w:rsid w:val="004345EB"/>
    <w:rsid w:val="0043571A"/>
    <w:rsid w:val="0043663B"/>
    <w:rsid w:val="00442544"/>
    <w:rsid w:val="004426A9"/>
    <w:rsid w:val="00442E55"/>
    <w:rsid w:val="004445E5"/>
    <w:rsid w:val="00445C84"/>
    <w:rsid w:val="00446061"/>
    <w:rsid w:val="00446B8D"/>
    <w:rsid w:val="004509A0"/>
    <w:rsid w:val="00451F3F"/>
    <w:rsid w:val="00452251"/>
    <w:rsid w:val="00452AE5"/>
    <w:rsid w:val="004532FF"/>
    <w:rsid w:val="00454501"/>
    <w:rsid w:val="00455D20"/>
    <w:rsid w:val="00456E30"/>
    <w:rsid w:val="00461007"/>
    <w:rsid w:val="0046185C"/>
    <w:rsid w:val="004618C5"/>
    <w:rsid w:val="00461F0E"/>
    <w:rsid w:val="00461F8F"/>
    <w:rsid w:val="00462126"/>
    <w:rsid w:val="00462BF7"/>
    <w:rsid w:val="00463342"/>
    <w:rsid w:val="00463675"/>
    <w:rsid w:val="0046381A"/>
    <w:rsid w:val="004638A8"/>
    <w:rsid w:val="00463CBE"/>
    <w:rsid w:val="00463D8B"/>
    <w:rsid w:val="004642EA"/>
    <w:rsid w:val="004644B5"/>
    <w:rsid w:val="00464947"/>
    <w:rsid w:val="00464AF6"/>
    <w:rsid w:val="004652D1"/>
    <w:rsid w:val="00467E5B"/>
    <w:rsid w:val="00467F37"/>
    <w:rsid w:val="00470668"/>
    <w:rsid w:val="00470A95"/>
    <w:rsid w:val="00470D05"/>
    <w:rsid w:val="00472E36"/>
    <w:rsid w:val="00473AB8"/>
    <w:rsid w:val="004749A4"/>
    <w:rsid w:val="00475607"/>
    <w:rsid w:val="004765C7"/>
    <w:rsid w:val="00476D47"/>
    <w:rsid w:val="00477A15"/>
    <w:rsid w:val="00477B11"/>
    <w:rsid w:val="00480133"/>
    <w:rsid w:val="004803BB"/>
    <w:rsid w:val="00481B9A"/>
    <w:rsid w:val="00482333"/>
    <w:rsid w:val="00482856"/>
    <w:rsid w:val="00482C32"/>
    <w:rsid w:val="00485020"/>
    <w:rsid w:val="00485A6D"/>
    <w:rsid w:val="0048626C"/>
    <w:rsid w:val="00486727"/>
    <w:rsid w:val="00486BD9"/>
    <w:rsid w:val="004873B7"/>
    <w:rsid w:val="0049000E"/>
    <w:rsid w:val="00490BB3"/>
    <w:rsid w:val="00490D64"/>
    <w:rsid w:val="00490EED"/>
    <w:rsid w:val="0049155A"/>
    <w:rsid w:val="0049168E"/>
    <w:rsid w:val="00493067"/>
    <w:rsid w:val="004937D8"/>
    <w:rsid w:val="00493F0B"/>
    <w:rsid w:val="004947CE"/>
    <w:rsid w:val="004954B1"/>
    <w:rsid w:val="004954D8"/>
    <w:rsid w:val="0049675A"/>
    <w:rsid w:val="00497420"/>
    <w:rsid w:val="00497CED"/>
    <w:rsid w:val="004A020D"/>
    <w:rsid w:val="004A0900"/>
    <w:rsid w:val="004A424C"/>
    <w:rsid w:val="004A5FB5"/>
    <w:rsid w:val="004A64CB"/>
    <w:rsid w:val="004A67C2"/>
    <w:rsid w:val="004A6D7A"/>
    <w:rsid w:val="004A713A"/>
    <w:rsid w:val="004A74DC"/>
    <w:rsid w:val="004A795E"/>
    <w:rsid w:val="004B0ED6"/>
    <w:rsid w:val="004B149C"/>
    <w:rsid w:val="004B1E3C"/>
    <w:rsid w:val="004B2232"/>
    <w:rsid w:val="004B2CA9"/>
    <w:rsid w:val="004B38EB"/>
    <w:rsid w:val="004B44EB"/>
    <w:rsid w:val="004B506C"/>
    <w:rsid w:val="004B5CF4"/>
    <w:rsid w:val="004B5DFD"/>
    <w:rsid w:val="004B6C43"/>
    <w:rsid w:val="004C11A8"/>
    <w:rsid w:val="004C1532"/>
    <w:rsid w:val="004C25EB"/>
    <w:rsid w:val="004C2D85"/>
    <w:rsid w:val="004C3575"/>
    <w:rsid w:val="004C3BAC"/>
    <w:rsid w:val="004C3C4D"/>
    <w:rsid w:val="004C41B5"/>
    <w:rsid w:val="004C6460"/>
    <w:rsid w:val="004C64B1"/>
    <w:rsid w:val="004C656D"/>
    <w:rsid w:val="004C68AC"/>
    <w:rsid w:val="004C7AB3"/>
    <w:rsid w:val="004D01D8"/>
    <w:rsid w:val="004D0224"/>
    <w:rsid w:val="004D0920"/>
    <w:rsid w:val="004D2DF3"/>
    <w:rsid w:val="004D2F1B"/>
    <w:rsid w:val="004D3657"/>
    <w:rsid w:val="004D4296"/>
    <w:rsid w:val="004D4CEF"/>
    <w:rsid w:val="004D56CF"/>
    <w:rsid w:val="004D6F76"/>
    <w:rsid w:val="004D70F2"/>
    <w:rsid w:val="004D7849"/>
    <w:rsid w:val="004E00F8"/>
    <w:rsid w:val="004E0842"/>
    <w:rsid w:val="004E155F"/>
    <w:rsid w:val="004E1641"/>
    <w:rsid w:val="004E231C"/>
    <w:rsid w:val="004E233F"/>
    <w:rsid w:val="004E283F"/>
    <w:rsid w:val="004E3186"/>
    <w:rsid w:val="004E31A6"/>
    <w:rsid w:val="004E381C"/>
    <w:rsid w:val="004E3F4A"/>
    <w:rsid w:val="004E48B4"/>
    <w:rsid w:val="004E498A"/>
    <w:rsid w:val="004E4E74"/>
    <w:rsid w:val="004E50E2"/>
    <w:rsid w:val="004E6371"/>
    <w:rsid w:val="004E796B"/>
    <w:rsid w:val="004F17BA"/>
    <w:rsid w:val="004F1D30"/>
    <w:rsid w:val="004F1D40"/>
    <w:rsid w:val="004F241C"/>
    <w:rsid w:val="004F2908"/>
    <w:rsid w:val="004F48E2"/>
    <w:rsid w:val="004F4F30"/>
    <w:rsid w:val="004F6A81"/>
    <w:rsid w:val="004F7BC1"/>
    <w:rsid w:val="005012D3"/>
    <w:rsid w:val="00501650"/>
    <w:rsid w:val="00501E32"/>
    <w:rsid w:val="00501EC7"/>
    <w:rsid w:val="0050244C"/>
    <w:rsid w:val="005027A4"/>
    <w:rsid w:val="0050313C"/>
    <w:rsid w:val="00505AB6"/>
    <w:rsid w:val="0050663B"/>
    <w:rsid w:val="005066AF"/>
    <w:rsid w:val="005072CE"/>
    <w:rsid w:val="00507955"/>
    <w:rsid w:val="005106BD"/>
    <w:rsid w:val="00510C66"/>
    <w:rsid w:val="0051110B"/>
    <w:rsid w:val="005126BF"/>
    <w:rsid w:val="00513308"/>
    <w:rsid w:val="005138A3"/>
    <w:rsid w:val="00514519"/>
    <w:rsid w:val="005157BA"/>
    <w:rsid w:val="00515ADE"/>
    <w:rsid w:val="00515F75"/>
    <w:rsid w:val="0051609E"/>
    <w:rsid w:val="005162A3"/>
    <w:rsid w:val="00516D5D"/>
    <w:rsid w:val="0051708E"/>
    <w:rsid w:val="005178D1"/>
    <w:rsid w:val="00517E40"/>
    <w:rsid w:val="0052065E"/>
    <w:rsid w:val="005206A6"/>
    <w:rsid w:val="00521870"/>
    <w:rsid w:val="00521B11"/>
    <w:rsid w:val="0052342B"/>
    <w:rsid w:val="005239A8"/>
    <w:rsid w:val="005248F1"/>
    <w:rsid w:val="00525E4F"/>
    <w:rsid w:val="0052673C"/>
    <w:rsid w:val="005305EA"/>
    <w:rsid w:val="00530CC4"/>
    <w:rsid w:val="0053161D"/>
    <w:rsid w:val="00531FBD"/>
    <w:rsid w:val="00532F87"/>
    <w:rsid w:val="00533CD1"/>
    <w:rsid w:val="00533D1B"/>
    <w:rsid w:val="0053401A"/>
    <w:rsid w:val="00534907"/>
    <w:rsid w:val="00535E9C"/>
    <w:rsid w:val="00536041"/>
    <w:rsid w:val="00537065"/>
    <w:rsid w:val="005407DA"/>
    <w:rsid w:val="00540E5B"/>
    <w:rsid w:val="005410EC"/>
    <w:rsid w:val="0054210A"/>
    <w:rsid w:val="00544018"/>
    <w:rsid w:val="0054543C"/>
    <w:rsid w:val="00545970"/>
    <w:rsid w:val="00545EA1"/>
    <w:rsid w:val="0054662F"/>
    <w:rsid w:val="00547976"/>
    <w:rsid w:val="00550CAE"/>
    <w:rsid w:val="00551522"/>
    <w:rsid w:val="005519B2"/>
    <w:rsid w:val="00553902"/>
    <w:rsid w:val="00554A88"/>
    <w:rsid w:val="00556538"/>
    <w:rsid w:val="00556DF8"/>
    <w:rsid w:val="00557918"/>
    <w:rsid w:val="00557D34"/>
    <w:rsid w:val="005632F1"/>
    <w:rsid w:val="00563453"/>
    <w:rsid w:val="00564882"/>
    <w:rsid w:val="00565C82"/>
    <w:rsid w:val="00565E0C"/>
    <w:rsid w:val="005663A6"/>
    <w:rsid w:val="005712C4"/>
    <w:rsid w:val="00571635"/>
    <w:rsid w:val="00571B1A"/>
    <w:rsid w:val="00571E1F"/>
    <w:rsid w:val="00571E80"/>
    <w:rsid w:val="0057202D"/>
    <w:rsid w:val="0057248F"/>
    <w:rsid w:val="0057279B"/>
    <w:rsid w:val="00573090"/>
    <w:rsid w:val="005734D6"/>
    <w:rsid w:val="00573EA5"/>
    <w:rsid w:val="00574848"/>
    <w:rsid w:val="00574E71"/>
    <w:rsid w:val="005754EC"/>
    <w:rsid w:val="00575F37"/>
    <w:rsid w:val="00580053"/>
    <w:rsid w:val="0058007F"/>
    <w:rsid w:val="005811BD"/>
    <w:rsid w:val="00581F9D"/>
    <w:rsid w:val="005829EA"/>
    <w:rsid w:val="005850BC"/>
    <w:rsid w:val="0058798F"/>
    <w:rsid w:val="0059037C"/>
    <w:rsid w:val="00590E1C"/>
    <w:rsid w:val="00592249"/>
    <w:rsid w:val="005925CB"/>
    <w:rsid w:val="0059341E"/>
    <w:rsid w:val="00593619"/>
    <w:rsid w:val="005948E8"/>
    <w:rsid w:val="00594C9A"/>
    <w:rsid w:val="00594F39"/>
    <w:rsid w:val="0059513A"/>
    <w:rsid w:val="00595434"/>
    <w:rsid w:val="005956EF"/>
    <w:rsid w:val="00595E80"/>
    <w:rsid w:val="00597247"/>
    <w:rsid w:val="005973DB"/>
    <w:rsid w:val="00597DAE"/>
    <w:rsid w:val="005A019C"/>
    <w:rsid w:val="005A17DE"/>
    <w:rsid w:val="005A2355"/>
    <w:rsid w:val="005A2611"/>
    <w:rsid w:val="005A263F"/>
    <w:rsid w:val="005A2E21"/>
    <w:rsid w:val="005A3AD9"/>
    <w:rsid w:val="005A490F"/>
    <w:rsid w:val="005A547C"/>
    <w:rsid w:val="005A5909"/>
    <w:rsid w:val="005A60F0"/>
    <w:rsid w:val="005A639F"/>
    <w:rsid w:val="005A6B02"/>
    <w:rsid w:val="005A7A27"/>
    <w:rsid w:val="005B051A"/>
    <w:rsid w:val="005B2D5B"/>
    <w:rsid w:val="005B2E1D"/>
    <w:rsid w:val="005B3185"/>
    <w:rsid w:val="005B3242"/>
    <w:rsid w:val="005B3546"/>
    <w:rsid w:val="005B5AC9"/>
    <w:rsid w:val="005B606B"/>
    <w:rsid w:val="005B619A"/>
    <w:rsid w:val="005B6843"/>
    <w:rsid w:val="005B7B82"/>
    <w:rsid w:val="005C27EF"/>
    <w:rsid w:val="005C2FEA"/>
    <w:rsid w:val="005C3EF7"/>
    <w:rsid w:val="005C53D2"/>
    <w:rsid w:val="005C56A8"/>
    <w:rsid w:val="005C599B"/>
    <w:rsid w:val="005C5B9C"/>
    <w:rsid w:val="005C6CA2"/>
    <w:rsid w:val="005C739B"/>
    <w:rsid w:val="005C7C94"/>
    <w:rsid w:val="005D0015"/>
    <w:rsid w:val="005D1F31"/>
    <w:rsid w:val="005D2854"/>
    <w:rsid w:val="005D2B9A"/>
    <w:rsid w:val="005D3876"/>
    <w:rsid w:val="005D40AA"/>
    <w:rsid w:val="005D5168"/>
    <w:rsid w:val="005D5847"/>
    <w:rsid w:val="005D66D4"/>
    <w:rsid w:val="005D6906"/>
    <w:rsid w:val="005D7158"/>
    <w:rsid w:val="005D753E"/>
    <w:rsid w:val="005D7DB2"/>
    <w:rsid w:val="005E0D7D"/>
    <w:rsid w:val="005E13D5"/>
    <w:rsid w:val="005E6495"/>
    <w:rsid w:val="005F080A"/>
    <w:rsid w:val="005F0B62"/>
    <w:rsid w:val="005F16EA"/>
    <w:rsid w:val="005F1AAC"/>
    <w:rsid w:val="005F1EB3"/>
    <w:rsid w:val="005F26A7"/>
    <w:rsid w:val="005F27B0"/>
    <w:rsid w:val="005F2CDD"/>
    <w:rsid w:val="005F33F5"/>
    <w:rsid w:val="005F3AE1"/>
    <w:rsid w:val="005F3F8C"/>
    <w:rsid w:val="005F51AE"/>
    <w:rsid w:val="005F6776"/>
    <w:rsid w:val="005F7798"/>
    <w:rsid w:val="00601F16"/>
    <w:rsid w:val="00605952"/>
    <w:rsid w:val="00605B86"/>
    <w:rsid w:val="006070E5"/>
    <w:rsid w:val="00610CE1"/>
    <w:rsid w:val="006136F3"/>
    <w:rsid w:val="006143FD"/>
    <w:rsid w:val="00614E33"/>
    <w:rsid w:val="006172FC"/>
    <w:rsid w:val="00617330"/>
    <w:rsid w:val="006201C2"/>
    <w:rsid w:val="00621441"/>
    <w:rsid w:val="00621E27"/>
    <w:rsid w:val="00622543"/>
    <w:rsid w:val="0062297A"/>
    <w:rsid w:val="00623A7B"/>
    <w:rsid w:val="006253C7"/>
    <w:rsid w:val="006256D2"/>
    <w:rsid w:val="00625789"/>
    <w:rsid w:val="00626301"/>
    <w:rsid w:val="006264C4"/>
    <w:rsid w:val="00626C7E"/>
    <w:rsid w:val="00631E31"/>
    <w:rsid w:val="0063230B"/>
    <w:rsid w:val="006327A8"/>
    <w:rsid w:val="00633577"/>
    <w:rsid w:val="006341E9"/>
    <w:rsid w:val="006344B5"/>
    <w:rsid w:val="00634538"/>
    <w:rsid w:val="00634C85"/>
    <w:rsid w:val="00635E1A"/>
    <w:rsid w:val="00635F28"/>
    <w:rsid w:val="006360D2"/>
    <w:rsid w:val="00636D9F"/>
    <w:rsid w:val="00637882"/>
    <w:rsid w:val="00637A99"/>
    <w:rsid w:val="006417C6"/>
    <w:rsid w:val="006446E3"/>
    <w:rsid w:val="00644B16"/>
    <w:rsid w:val="00645514"/>
    <w:rsid w:val="0064569A"/>
    <w:rsid w:val="00645BDC"/>
    <w:rsid w:val="00645D4B"/>
    <w:rsid w:val="00646BED"/>
    <w:rsid w:val="00654314"/>
    <w:rsid w:val="006545D7"/>
    <w:rsid w:val="0065559E"/>
    <w:rsid w:val="00656D27"/>
    <w:rsid w:val="00657D39"/>
    <w:rsid w:val="0066098E"/>
    <w:rsid w:val="0066142A"/>
    <w:rsid w:val="00662827"/>
    <w:rsid w:val="00662BCE"/>
    <w:rsid w:val="00663383"/>
    <w:rsid w:val="006637A0"/>
    <w:rsid w:val="006637FA"/>
    <w:rsid w:val="00665055"/>
    <w:rsid w:val="00665251"/>
    <w:rsid w:val="006652CD"/>
    <w:rsid w:val="006653AA"/>
    <w:rsid w:val="00665480"/>
    <w:rsid w:val="00665E91"/>
    <w:rsid w:val="0066612F"/>
    <w:rsid w:val="00666E9B"/>
    <w:rsid w:val="00667506"/>
    <w:rsid w:val="006701F3"/>
    <w:rsid w:val="00671710"/>
    <w:rsid w:val="0067297E"/>
    <w:rsid w:val="00672A68"/>
    <w:rsid w:val="00672C4E"/>
    <w:rsid w:val="00672D31"/>
    <w:rsid w:val="00673A0E"/>
    <w:rsid w:val="00673EB2"/>
    <w:rsid w:val="0067455D"/>
    <w:rsid w:val="00674676"/>
    <w:rsid w:val="00676C21"/>
    <w:rsid w:val="0067755F"/>
    <w:rsid w:val="006775C1"/>
    <w:rsid w:val="00677D1A"/>
    <w:rsid w:val="0068000A"/>
    <w:rsid w:val="00680225"/>
    <w:rsid w:val="0068081E"/>
    <w:rsid w:val="006808C6"/>
    <w:rsid w:val="00680C79"/>
    <w:rsid w:val="00680DC8"/>
    <w:rsid w:val="00680F40"/>
    <w:rsid w:val="006813BA"/>
    <w:rsid w:val="00681966"/>
    <w:rsid w:val="00681FB2"/>
    <w:rsid w:val="00682565"/>
    <w:rsid w:val="00683BD1"/>
    <w:rsid w:val="00684AA1"/>
    <w:rsid w:val="00684B15"/>
    <w:rsid w:val="00685D56"/>
    <w:rsid w:val="00685E8E"/>
    <w:rsid w:val="00686198"/>
    <w:rsid w:val="00686BDE"/>
    <w:rsid w:val="00687815"/>
    <w:rsid w:val="00690684"/>
    <w:rsid w:val="00690AE1"/>
    <w:rsid w:val="00691216"/>
    <w:rsid w:val="0069192C"/>
    <w:rsid w:val="006926A4"/>
    <w:rsid w:val="00693A10"/>
    <w:rsid w:val="00693F37"/>
    <w:rsid w:val="00696532"/>
    <w:rsid w:val="00696EC5"/>
    <w:rsid w:val="00697136"/>
    <w:rsid w:val="006975BD"/>
    <w:rsid w:val="0069761B"/>
    <w:rsid w:val="00697FEA"/>
    <w:rsid w:val="006A01C3"/>
    <w:rsid w:val="006A0EC4"/>
    <w:rsid w:val="006A1B52"/>
    <w:rsid w:val="006A5575"/>
    <w:rsid w:val="006A5913"/>
    <w:rsid w:val="006A7BF8"/>
    <w:rsid w:val="006A7CB7"/>
    <w:rsid w:val="006B0E1E"/>
    <w:rsid w:val="006B0F8E"/>
    <w:rsid w:val="006B13B0"/>
    <w:rsid w:val="006B3AFA"/>
    <w:rsid w:val="006B3F85"/>
    <w:rsid w:val="006B5C83"/>
    <w:rsid w:val="006B6175"/>
    <w:rsid w:val="006B6C19"/>
    <w:rsid w:val="006B6D78"/>
    <w:rsid w:val="006B6E47"/>
    <w:rsid w:val="006B708D"/>
    <w:rsid w:val="006B74AC"/>
    <w:rsid w:val="006B7A68"/>
    <w:rsid w:val="006B7D9F"/>
    <w:rsid w:val="006C0650"/>
    <w:rsid w:val="006C076B"/>
    <w:rsid w:val="006C2816"/>
    <w:rsid w:val="006C32A2"/>
    <w:rsid w:val="006C3BB0"/>
    <w:rsid w:val="006C43DD"/>
    <w:rsid w:val="006C4407"/>
    <w:rsid w:val="006C5F37"/>
    <w:rsid w:val="006C61CD"/>
    <w:rsid w:val="006C62B6"/>
    <w:rsid w:val="006C6D24"/>
    <w:rsid w:val="006C755A"/>
    <w:rsid w:val="006C7C10"/>
    <w:rsid w:val="006C7D31"/>
    <w:rsid w:val="006D063B"/>
    <w:rsid w:val="006D09DD"/>
    <w:rsid w:val="006D151B"/>
    <w:rsid w:val="006D21F1"/>
    <w:rsid w:val="006D3482"/>
    <w:rsid w:val="006D3A9F"/>
    <w:rsid w:val="006D3D0F"/>
    <w:rsid w:val="006D510B"/>
    <w:rsid w:val="006D56CA"/>
    <w:rsid w:val="006D5AE8"/>
    <w:rsid w:val="006D5C04"/>
    <w:rsid w:val="006D64C3"/>
    <w:rsid w:val="006D76E5"/>
    <w:rsid w:val="006E043A"/>
    <w:rsid w:val="006E19F9"/>
    <w:rsid w:val="006E3CC7"/>
    <w:rsid w:val="006E4053"/>
    <w:rsid w:val="006E42AA"/>
    <w:rsid w:val="006E4344"/>
    <w:rsid w:val="006E457B"/>
    <w:rsid w:val="006F1174"/>
    <w:rsid w:val="006F1F80"/>
    <w:rsid w:val="006F2912"/>
    <w:rsid w:val="006F2EA5"/>
    <w:rsid w:val="006F39F1"/>
    <w:rsid w:val="006F502E"/>
    <w:rsid w:val="006F664D"/>
    <w:rsid w:val="006F67A8"/>
    <w:rsid w:val="006F6DA0"/>
    <w:rsid w:val="006F7065"/>
    <w:rsid w:val="006F718B"/>
    <w:rsid w:val="006F71F8"/>
    <w:rsid w:val="00700641"/>
    <w:rsid w:val="00701002"/>
    <w:rsid w:val="007014C5"/>
    <w:rsid w:val="0070183B"/>
    <w:rsid w:val="00701DD5"/>
    <w:rsid w:val="007022E5"/>
    <w:rsid w:val="00702553"/>
    <w:rsid w:val="007027A3"/>
    <w:rsid w:val="00702A52"/>
    <w:rsid w:val="00702FAB"/>
    <w:rsid w:val="00703664"/>
    <w:rsid w:val="00703A19"/>
    <w:rsid w:val="00703FC4"/>
    <w:rsid w:val="00704308"/>
    <w:rsid w:val="0070699F"/>
    <w:rsid w:val="00707742"/>
    <w:rsid w:val="007110D8"/>
    <w:rsid w:val="00713139"/>
    <w:rsid w:val="0071369A"/>
    <w:rsid w:val="00714706"/>
    <w:rsid w:val="00715870"/>
    <w:rsid w:val="007159F5"/>
    <w:rsid w:val="00715C1A"/>
    <w:rsid w:val="00715E44"/>
    <w:rsid w:val="00716035"/>
    <w:rsid w:val="007162FE"/>
    <w:rsid w:val="007163E3"/>
    <w:rsid w:val="00716478"/>
    <w:rsid w:val="00716856"/>
    <w:rsid w:val="007168A3"/>
    <w:rsid w:val="00717CC3"/>
    <w:rsid w:val="007202CD"/>
    <w:rsid w:val="0072046E"/>
    <w:rsid w:val="007204ED"/>
    <w:rsid w:val="00720B14"/>
    <w:rsid w:val="0072197E"/>
    <w:rsid w:val="00721A07"/>
    <w:rsid w:val="00722D67"/>
    <w:rsid w:val="00723550"/>
    <w:rsid w:val="007240E7"/>
    <w:rsid w:val="00724C4B"/>
    <w:rsid w:val="00725426"/>
    <w:rsid w:val="00725649"/>
    <w:rsid w:val="007264C5"/>
    <w:rsid w:val="007274E9"/>
    <w:rsid w:val="0072779D"/>
    <w:rsid w:val="00727926"/>
    <w:rsid w:val="00730A23"/>
    <w:rsid w:val="007313F2"/>
    <w:rsid w:val="00731428"/>
    <w:rsid w:val="0073185D"/>
    <w:rsid w:val="00731DA6"/>
    <w:rsid w:val="0073334F"/>
    <w:rsid w:val="0073491E"/>
    <w:rsid w:val="00735F47"/>
    <w:rsid w:val="00736C7B"/>
    <w:rsid w:val="00737321"/>
    <w:rsid w:val="00742109"/>
    <w:rsid w:val="00742620"/>
    <w:rsid w:val="00742AE9"/>
    <w:rsid w:val="00743645"/>
    <w:rsid w:val="007436E5"/>
    <w:rsid w:val="00744215"/>
    <w:rsid w:val="00744388"/>
    <w:rsid w:val="0074444E"/>
    <w:rsid w:val="00744E4F"/>
    <w:rsid w:val="0074707C"/>
    <w:rsid w:val="00747BE2"/>
    <w:rsid w:val="0075035C"/>
    <w:rsid w:val="00750886"/>
    <w:rsid w:val="007528E5"/>
    <w:rsid w:val="007530D9"/>
    <w:rsid w:val="00753237"/>
    <w:rsid w:val="0075417B"/>
    <w:rsid w:val="0075492F"/>
    <w:rsid w:val="00756077"/>
    <w:rsid w:val="007560B2"/>
    <w:rsid w:val="00756FDE"/>
    <w:rsid w:val="00757153"/>
    <w:rsid w:val="00757CEE"/>
    <w:rsid w:val="00757E10"/>
    <w:rsid w:val="00760067"/>
    <w:rsid w:val="00760951"/>
    <w:rsid w:val="00761548"/>
    <w:rsid w:val="007616B1"/>
    <w:rsid w:val="00761C6B"/>
    <w:rsid w:val="00761F5B"/>
    <w:rsid w:val="007621A3"/>
    <w:rsid w:val="00762C67"/>
    <w:rsid w:val="00763232"/>
    <w:rsid w:val="0076418D"/>
    <w:rsid w:val="0076482F"/>
    <w:rsid w:val="007650AD"/>
    <w:rsid w:val="00765E64"/>
    <w:rsid w:val="00766422"/>
    <w:rsid w:val="00766A30"/>
    <w:rsid w:val="0076701D"/>
    <w:rsid w:val="007708E5"/>
    <w:rsid w:val="00770F2A"/>
    <w:rsid w:val="00771495"/>
    <w:rsid w:val="00771A28"/>
    <w:rsid w:val="007727B1"/>
    <w:rsid w:val="007727F4"/>
    <w:rsid w:val="007731E2"/>
    <w:rsid w:val="007733A7"/>
    <w:rsid w:val="00773998"/>
    <w:rsid w:val="0077781E"/>
    <w:rsid w:val="00777914"/>
    <w:rsid w:val="007801CB"/>
    <w:rsid w:val="007802A8"/>
    <w:rsid w:val="00780828"/>
    <w:rsid w:val="007808AC"/>
    <w:rsid w:val="0078203E"/>
    <w:rsid w:val="00786116"/>
    <w:rsid w:val="00786DA7"/>
    <w:rsid w:val="00790B35"/>
    <w:rsid w:val="007910D6"/>
    <w:rsid w:val="00791439"/>
    <w:rsid w:val="007914A6"/>
    <w:rsid w:val="00791559"/>
    <w:rsid w:val="00792A55"/>
    <w:rsid w:val="00794D6F"/>
    <w:rsid w:val="007952D3"/>
    <w:rsid w:val="00795DC8"/>
    <w:rsid w:val="007968F5"/>
    <w:rsid w:val="00796A87"/>
    <w:rsid w:val="00796E31"/>
    <w:rsid w:val="0079749A"/>
    <w:rsid w:val="007A063F"/>
    <w:rsid w:val="007A1141"/>
    <w:rsid w:val="007A2055"/>
    <w:rsid w:val="007A2125"/>
    <w:rsid w:val="007A22F3"/>
    <w:rsid w:val="007A2D26"/>
    <w:rsid w:val="007A2F21"/>
    <w:rsid w:val="007A35C8"/>
    <w:rsid w:val="007A44A0"/>
    <w:rsid w:val="007A4687"/>
    <w:rsid w:val="007A5184"/>
    <w:rsid w:val="007A5B11"/>
    <w:rsid w:val="007A61C7"/>
    <w:rsid w:val="007A662A"/>
    <w:rsid w:val="007A6C42"/>
    <w:rsid w:val="007A74FB"/>
    <w:rsid w:val="007A7FCB"/>
    <w:rsid w:val="007B0964"/>
    <w:rsid w:val="007B0CB0"/>
    <w:rsid w:val="007B1063"/>
    <w:rsid w:val="007B13C6"/>
    <w:rsid w:val="007B1405"/>
    <w:rsid w:val="007B18DF"/>
    <w:rsid w:val="007B2607"/>
    <w:rsid w:val="007B2836"/>
    <w:rsid w:val="007B31B8"/>
    <w:rsid w:val="007B43AF"/>
    <w:rsid w:val="007B4CBE"/>
    <w:rsid w:val="007B4F70"/>
    <w:rsid w:val="007B5036"/>
    <w:rsid w:val="007B66A2"/>
    <w:rsid w:val="007B6B1E"/>
    <w:rsid w:val="007B7284"/>
    <w:rsid w:val="007B786F"/>
    <w:rsid w:val="007B7E38"/>
    <w:rsid w:val="007C0308"/>
    <w:rsid w:val="007C0323"/>
    <w:rsid w:val="007C0652"/>
    <w:rsid w:val="007C0739"/>
    <w:rsid w:val="007C2947"/>
    <w:rsid w:val="007C2E53"/>
    <w:rsid w:val="007C5089"/>
    <w:rsid w:val="007C557C"/>
    <w:rsid w:val="007C5C9D"/>
    <w:rsid w:val="007C66F0"/>
    <w:rsid w:val="007C6E68"/>
    <w:rsid w:val="007C7742"/>
    <w:rsid w:val="007C7848"/>
    <w:rsid w:val="007D1DE7"/>
    <w:rsid w:val="007D245B"/>
    <w:rsid w:val="007D310E"/>
    <w:rsid w:val="007D6BE3"/>
    <w:rsid w:val="007D7319"/>
    <w:rsid w:val="007D7D59"/>
    <w:rsid w:val="007D7E7D"/>
    <w:rsid w:val="007E0427"/>
    <w:rsid w:val="007E0CC6"/>
    <w:rsid w:val="007E0EEF"/>
    <w:rsid w:val="007E1492"/>
    <w:rsid w:val="007E202C"/>
    <w:rsid w:val="007E282C"/>
    <w:rsid w:val="007E2D06"/>
    <w:rsid w:val="007E2FED"/>
    <w:rsid w:val="007E49ED"/>
    <w:rsid w:val="007E5A69"/>
    <w:rsid w:val="007E5C08"/>
    <w:rsid w:val="007E5F81"/>
    <w:rsid w:val="007E70F9"/>
    <w:rsid w:val="007E7E8A"/>
    <w:rsid w:val="007F05C2"/>
    <w:rsid w:val="007F0637"/>
    <w:rsid w:val="007F07A0"/>
    <w:rsid w:val="007F13F8"/>
    <w:rsid w:val="007F1989"/>
    <w:rsid w:val="007F31C3"/>
    <w:rsid w:val="007F3594"/>
    <w:rsid w:val="007F4AFF"/>
    <w:rsid w:val="007F4BF7"/>
    <w:rsid w:val="007F4CE3"/>
    <w:rsid w:val="007F5A52"/>
    <w:rsid w:val="007F625A"/>
    <w:rsid w:val="007F6411"/>
    <w:rsid w:val="007F6BD3"/>
    <w:rsid w:val="007F709F"/>
    <w:rsid w:val="00800859"/>
    <w:rsid w:val="00800EC9"/>
    <w:rsid w:val="00802576"/>
    <w:rsid w:val="00802BED"/>
    <w:rsid w:val="0080326F"/>
    <w:rsid w:val="00803430"/>
    <w:rsid w:val="00803659"/>
    <w:rsid w:val="00804E8C"/>
    <w:rsid w:val="008059B8"/>
    <w:rsid w:val="00806662"/>
    <w:rsid w:val="0080666C"/>
    <w:rsid w:val="00806688"/>
    <w:rsid w:val="008067D2"/>
    <w:rsid w:val="008074B8"/>
    <w:rsid w:val="00807A2C"/>
    <w:rsid w:val="00810117"/>
    <w:rsid w:val="0081037A"/>
    <w:rsid w:val="00810857"/>
    <w:rsid w:val="008109AA"/>
    <w:rsid w:val="00811232"/>
    <w:rsid w:val="00811F4F"/>
    <w:rsid w:val="00812964"/>
    <w:rsid w:val="00812D46"/>
    <w:rsid w:val="00814DFA"/>
    <w:rsid w:val="00815567"/>
    <w:rsid w:val="00816D84"/>
    <w:rsid w:val="008170E4"/>
    <w:rsid w:val="008177BE"/>
    <w:rsid w:val="00817D39"/>
    <w:rsid w:val="00820037"/>
    <w:rsid w:val="008205AE"/>
    <w:rsid w:val="00820A5E"/>
    <w:rsid w:val="00823580"/>
    <w:rsid w:val="008240F6"/>
    <w:rsid w:val="0082608F"/>
    <w:rsid w:val="008261B6"/>
    <w:rsid w:val="00826B55"/>
    <w:rsid w:val="0082713E"/>
    <w:rsid w:val="008272A9"/>
    <w:rsid w:val="00827623"/>
    <w:rsid w:val="008277EB"/>
    <w:rsid w:val="008302B7"/>
    <w:rsid w:val="008318CE"/>
    <w:rsid w:val="00832101"/>
    <w:rsid w:val="00832564"/>
    <w:rsid w:val="00832B48"/>
    <w:rsid w:val="00833F14"/>
    <w:rsid w:val="00834C89"/>
    <w:rsid w:val="00835827"/>
    <w:rsid w:val="00836B9D"/>
    <w:rsid w:val="00837258"/>
    <w:rsid w:val="00842B75"/>
    <w:rsid w:val="0084336A"/>
    <w:rsid w:val="00843F43"/>
    <w:rsid w:val="00844935"/>
    <w:rsid w:val="008470A3"/>
    <w:rsid w:val="00847307"/>
    <w:rsid w:val="00847370"/>
    <w:rsid w:val="00847C0B"/>
    <w:rsid w:val="008508D9"/>
    <w:rsid w:val="00851734"/>
    <w:rsid w:val="00851AB2"/>
    <w:rsid w:val="00852364"/>
    <w:rsid w:val="00852458"/>
    <w:rsid w:val="00852ACA"/>
    <w:rsid w:val="00855858"/>
    <w:rsid w:val="00856134"/>
    <w:rsid w:val="00857BD4"/>
    <w:rsid w:val="00857EFE"/>
    <w:rsid w:val="00860037"/>
    <w:rsid w:val="00860287"/>
    <w:rsid w:val="00860646"/>
    <w:rsid w:val="0086109B"/>
    <w:rsid w:val="00861A43"/>
    <w:rsid w:val="008647C7"/>
    <w:rsid w:val="00864B82"/>
    <w:rsid w:val="0086518C"/>
    <w:rsid w:val="00865614"/>
    <w:rsid w:val="00865D69"/>
    <w:rsid w:val="008663FA"/>
    <w:rsid w:val="0086707E"/>
    <w:rsid w:val="0086785F"/>
    <w:rsid w:val="00870A23"/>
    <w:rsid w:val="00870D8E"/>
    <w:rsid w:val="008721E1"/>
    <w:rsid w:val="008734F1"/>
    <w:rsid w:val="00873729"/>
    <w:rsid w:val="00873D0D"/>
    <w:rsid w:val="00873D46"/>
    <w:rsid w:val="00873EFE"/>
    <w:rsid w:val="0087559A"/>
    <w:rsid w:val="008762AC"/>
    <w:rsid w:val="00876869"/>
    <w:rsid w:val="00877F2E"/>
    <w:rsid w:val="0088030A"/>
    <w:rsid w:val="00881C47"/>
    <w:rsid w:val="00881E5E"/>
    <w:rsid w:val="00881F67"/>
    <w:rsid w:val="00882153"/>
    <w:rsid w:val="00884961"/>
    <w:rsid w:val="00884B7D"/>
    <w:rsid w:val="0088533E"/>
    <w:rsid w:val="008857E3"/>
    <w:rsid w:val="00885F08"/>
    <w:rsid w:val="008870AE"/>
    <w:rsid w:val="0088751C"/>
    <w:rsid w:val="00887ED4"/>
    <w:rsid w:val="00890220"/>
    <w:rsid w:val="00891006"/>
    <w:rsid w:val="00891ACE"/>
    <w:rsid w:val="008921EE"/>
    <w:rsid w:val="00892DF4"/>
    <w:rsid w:val="00893380"/>
    <w:rsid w:val="008940EA"/>
    <w:rsid w:val="00894524"/>
    <w:rsid w:val="0089509E"/>
    <w:rsid w:val="00895AD5"/>
    <w:rsid w:val="00896281"/>
    <w:rsid w:val="0089657B"/>
    <w:rsid w:val="00897FAC"/>
    <w:rsid w:val="008A0603"/>
    <w:rsid w:val="008A35E4"/>
    <w:rsid w:val="008A3932"/>
    <w:rsid w:val="008A615D"/>
    <w:rsid w:val="008A6CCA"/>
    <w:rsid w:val="008A7727"/>
    <w:rsid w:val="008A7F07"/>
    <w:rsid w:val="008B004D"/>
    <w:rsid w:val="008B017E"/>
    <w:rsid w:val="008B041C"/>
    <w:rsid w:val="008B1134"/>
    <w:rsid w:val="008B23FB"/>
    <w:rsid w:val="008B39D0"/>
    <w:rsid w:val="008B6454"/>
    <w:rsid w:val="008B6C78"/>
    <w:rsid w:val="008B7484"/>
    <w:rsid w:val="008C1B5C"/>
    <w:rsid w:val="008C25C7"/>
    <w:rsid w:val="008C2A41"/>
    <w:rsid w:val="008C4304"/>
    <w:rsid w:val="008C430B"/>
    <w:rsid w:val="008C4CBF"/>
    <w:rsid w:val="008C4FF5"/>
    <w:rsid w:val="008C59E0"/>
    <w:rsid w:val="008C7E21"/>
    <w:rsid w:val="008D0438"/>
    <w:rsid w:val="008D1390"/>
    <w:rsid w:val="008D1788"/>
    <w:rsid w:val="008D26ED"/>
    <w:rsid w:val="008D2CB2"/>
    <w:rsid w:val="008D42F4"/>
    <w:rsid w:val="008D485E"/>
    <w:rsid w:val="008D4FC9"/>
    <w:rsid w:val="008D53FC"/>
    <w:rsid w:val="008D6AE2"/>
    <w:rsid w:val="008D6E62"/>
    <w:rsid w:val="008D7950"/>
    <w:rsid w:val="008D7D69"/>
    <w:rsid w:val="008E0343"/>
    <w:rsid w:val="008E0492"/>
    <w:rsid w:val="008E0EAC"/>
    <w:rsid w:val="008E288D"/>
    <w:rsid w:val="008E3B9A"/>
    <w:rsid w:val="008E4E48"/>
    <w:rsid w:val="008E770F"/>
    <w:rsid w:val="008E7F52"/>
    <w:rsid w:val="008F00AE"/>
    <w:rsid w:val="008F048C"/>
    <w:rsid w:val="008F177D"/>
    <w:rsid w:val="008F1C5A"/>
    <w:rsid w:val="008F71B5"/>
    <w:rsid w:val="008F75C7"/>
    <w:rsid w:val="00900385"/>
    <w:rsid w:val="00900AAA"/>
    <w:rsid w:val="00900F43"/>
    <w:rsid w:val="00901AF8"/>
    <w:rsid w:val="00902600"/>
    <w:rsid w:val="00902870"/>
    <w:rsid w:val="00902AE5"/>
    <w:rsid w:val="00903215"/>
    <w:rsid w:val="00903830"/>
    <w:rsid w:val="00905B37"/>
    <w:rsid w:val="0090605C"/>
    <w:rsid w:val="009066EF"/>
    <w:rsid w:val="00910802"/>
    <w:rsid w:val="00910D30"/>
    <w:rsid w:val="009117C1"/>
    <w:rsid w:val="009121E7"/>
    <w:rsid w:val="00913730"/>
    <w:rsid w:val="009142E1"/>
    <w:rsid w:val="0091471F"/>
    <w:rsid w:val="009156C5"/>
    <w:rsid w:val="00915A36"/>
    <w:rsid w:val="00915F63"/>
    <w:rsid w:val="00916F33"/>
    <w:rsid w:val="0091717C"/>
    <w:rsid w:val="0091730D"/>
    <w:rsid w:val="00917684"/>
    <w:rsid w:val="009179A5"/>
    <w:rsid w:val="00917BE9"/>
    <w:rsid w:val="00921608"/>
    <w:rsid w:val="00921F70"/>
    <w:rsid w:val="00922735"/>
    <w:rsid w:val="00923655"/>
    <w:rsid w:val="0092438C"/>
    <w:rsid w:val="00925397"/>
    <w:rsid w:val="009263FE"/>
    <w:rsid w:val="00926464"/>
    <w:rsid w:val="00927994"/>
    <w:rsid w:val="009305EF"/>
    <w:rsid w:val="009309C7"/>
    <w:rsid w:val="00930D39"/>
    <w:rsid w:val="009324CE"/>
    <w:rsid w:val="00933D09"/>
    <w:rsid w:val="00934462"/>
    <w:rsid w:val="00936CA7"/>
    <w:rsid w:val="009379B5"/>
    <w:rsid w:val="00940E69"/>
    <w:rsid w:val="00940F3E"/>
    <w:rsid w:val="009410DC"/>
    <w:rsid w:val="0094113B"/>
    <w:rsid w:val="009417F1"/>
    <w:rsid w:val="00943E11"/>
    <w:rsid w:val="00943F7C"/>
    <w:rsid w:val="009464E6"/>
    <w:rsid w:val="00946AC7"/>
    <w:rsid w:val="00947526"/>
    <w:rsid w:val="009506CD"/>
    <w:rsid w:val="00950FE8"/>
    <w:rsid w:val="00951216"/>
    <w:rsid w:val="009516E4"/>
    <w:rsid w:val="00952404"/>
    <w:rsid w:val="00952612"/>
    <w:rsid w:val="00952CFD"/>
    <w:rsid w:val="00952EA0"/>
    <w:rsid w:val="0095320D"/>
    <w:rsid w:val="009534A1"/>
    <w:rsid w:val="00953E3B"/>
    <w:rsid w:val="00954E67"/>
    <w:rsid w:val="00954E6B"/>
    <w:rsid w:val="00955C26"/>
    <w:rsid w:val="00956C81"/>
    <w:rsid w:val="009603C4"/>
    <w:rsid w:val="009603F4"/>
    <w:rsid w:val="009609A0"/>
    <w:rsid w:val="00961544"/>
    <w:rsid w:val="00961EB0"/>
    <w:rsid w:val="00963761"/>
    <w:rsid w:val="00963A31"/>
    <w:rsid w:val="00963B14"/>
    <w:rsid w:val="00964049"/>
    <w:rsid w:val="0096484B"/>
    <w:rsid w:val="00964FC8"/>
    <w:rsid w:val="00965A0D"/>
    <w:rsid w:val="009674DC"/>
    <w:rsid w:val="00970367"/>
    <w:rsid w:val="00970E07"/>
    <w:rsid w:val="0097232F"/>
    <w:rsid w:val="0097297C"/>
    <w:rsid w:val="00973342"/>
    <w:rsid w:val="0097392B"/>
    <w:rsid w:val="0097442C"/>
    <w:rsid w:val="00974D87"/>
    <w:rsid w:val="0097615C"/>
    <w:rsid w:val="00976C84"/>
    <w:rsid w:val="00976E0A"/>
    <w:rsid w:val="009776FE"/>
    <w:rsid w:val="00977931"/>
    <w:rsid w:val="00977996"/>
    <w:rsid w:val="00977A8D"/>
    <w:rsid w:val="00977D18"/>
    <w:rsid w:val="00980226"/>
    <w:rsid w:val="009806A4"/>
    <w:rsid w:val="009812E3"/>
    <w:rsid w:val="00981D24"/>
    <w:rsid w:val="00981EFA"/>
    <w:rsid w:val="0098329F"/>
    <w:rsid w:val="009849D1"/>
    <w:rsid w:val="00985CFA"/>
    <w:rsid w:val="009863B3"/>
    <w:rsid w:val="00986605"/>
    <w:rsid w:val="009876D3"/>
    <w:rsid w:val="009920C9"/>
    <w:rsid w:val="009927B4"/>
    <w:rsid w:val="00992A0A"/>
    <w:rsid w:val="00993A6B"/>
    <w:rsid w:val="00993FC9"/>
    <w:rsid w:val="0099439E"/>
    <w:rsid w:val="009953BF"/>
    <w:rsid w:val="00995F8B"/>
    <w:rsid w:val="00997145"/>
    <w:rsid w:val="009973BB"/>
    <w:rsid w:val="009977CC"/>
    <w:rsid w:val="009A244D"/>
    <w:rsid w:val="009A29B9"/>
    <w:rsid w:val="009A3270"/>
    <w:rsid w:val="009A36FE"/>
    <w:rsid w:val="009A442F"/>
    <w:rsid w:val="009A4D5E"/>
    <w:rsid w:val="009A4FDB"/>
    <w:rsid w:val="009A50E8"/>
    <w:rsid w:val="009A6208"/>
    <w:rsid w:val="009A7166"/>
    <w:rsid w:val="009B29E4"/>
    <w:rsid w:val="009B2A3C"/>
    <w:rsid w:val="009B6DC5"/>
    <w:rsid w:val="009B781D"/>
    <w:rsid w:val="009B7AC3"/>
    <w:rsid w:val="009B7AD5"/>
    <w:rsid w:val="009C0049"/>
    <w:rsid w:val="009C0A44"/>
    <w:rsid w:val="009C0A9F"/>
    <w:rsid w:val="009C13C0"/>
    <w:rsid w:val="009C192B"/>
    <w:rsid w:val="009C1A86"/>
    <w:rsid w:val="009C308F"/>
    <w:rsid w:val="009C3381"/>
    <w:rsid w:val="009C44F8"/>
    <w:rsid w:val="009C566A"/>
    <w:rsid w:val="009C5993"/>
    <w:rsid w:val="009C5CA0"/>
    <w:rsid w:val="009C6158"/>
    <w:rsid w:val="009C6732"/>
    <w:rsid w:val="009C7004"/>
    <w:rsid w:val="009C7FCA"/>
    <w:rsid w:val="009D12C0"/>
    <w:rsid w:val="009D2D6D"/>
    <w:rsid w:val="009D36C5"/>
    <w:rsid w:val="009D4282"/>
    <w:rsid w:val="009D4803"/>
    <w:rsid w:val="009D5321"/>
    <w:rsid w:val="009D653B"/>
    <w:rsid w:val="009D66E5"/>
    <w:rsid w:val="009D6DC3"/>
    <w:rsid w:val="009D7A16"/>
    <w:rsid w:val="009D7D2C"/>
    <w:rsid w:val="009E0C8C"/>
    <w:rsid w:val="009E104E"/>
    <w:rsid w:val="009E1D2E"/>
    <w:rsid w:val="009E21B6"/>
    <w:rsid w:val="009E3CE8"/>
    <w:rsid w:val="009E4403"/>
    <w:rsid w:val="009E4D66"/>
    <w:rsid w:val="009E4D6E"/>
    <w:rsid w:val="009E6342"/>
    <w:rsid w:val="009E6D92"/>
    <w:rsid w:val="009E7FA5"/>
    <w:rsid w:val="009F0388"/>
    <w:rsid w:val="009F1298"/>
    <w:rsid w:val="009F1333"/>
    <w:rsid w:val="009F1F35"/>
    <w:rsid w:val="009F3652"/>
    <w:rsid w:val="009F46F9"/>
    <w:rsid w:val="009F4838"/>
    <w:rsid w:val="009F5BEC"/>
    <w:rsid w:val="009F633C"/>
    <w:rsid w:val="009F66C6"/>
    <w:rsid w:val="009F674B"/>
    <w:rsid w:val="009F7E8E"/>
    <w:rsid w:val="00A027F3"/>
    <w:rsid w:val="00A03096"/>
    <w:rsid w:val="00A03E83"/>
    <w:rsid w:val="00A0461A"/>
    <w:rsid w:val="00A04F3F"/>
    <w:rsid w:val="00A06D7F"/>
    <w:rsid w:val="00A07607"/>
    <w:rsid w:val="00A078F3"/>
    <w:rsid w:val="00A07A01"/>
    <w:rsid w:val="00A1056B"/>
    <w:rsid w:val="00A10ED8"/>
    <w:rsid w:val="00A11146"/>
    <w:rsid w:val="00A11816"/>
    <w:rsid w:val="00A12B3C"/>
    <w:rsid w:val="00A1392B"/>
    <w:rsid w:val="00A13A13"/>
    <w:rsid w:val="00A1485B"/>
    <w:rsid w:val="00A1493A"/>
    <w:rsid w:val="00A14C80"/>
    <w:rsid w:val="00A1586B"/>
    <w:rsid w:val="00A15FE3"/>
    <w:rsid w:val="00A17ED9"/>
    <w:rsid w:val="00A20286"/>
    <w:rsid w:val="00A20C29"/>
    <w:rsid w:val="00A210CA"/>
    <w:rsid w:val="00A21198"/>
    <w:rsid w:val="00A213DD"/>
    <w:rsid w:val="00A21463"/>
    <w:rsid w:val="00A21F43"/>
    <w:rsid w:val="00A224B4"/>
    <w:rsid w:val="00A22E68"/>
    <w:rsid w:val="00A233AE"/>
    <w:rsid w:val="00A23CAF"/>
    <w:rsid w:val="00A23E7B"/>
    <w:rsid w:val="00A2470E"/>
    <w:rsid w:val="00A2492D"/>
    <w:rsid w:val="00A24A20"/>
    <w:rsid w:val="00A24FD8"/>
    <w:rsid w:val="00A259A2"/>
    <w:rsid w:val="00A2785F"/>
    <w:rsid w:val="00A30AD0"/>
    <w:rsid w:val="00A315F2"/>
    <w:rsid w:val="00A3212A"/>
    <w:rsid w:val="00A326E8"/>
    <w:rsid w:val="00A33596"/>
    <w:rsid w:val="00A3470B"/>
    <w:rsid w:val="00A34981"/>
    <w:rsid w:val="00A356CA"/>
    <w:rsid w:val="00A40736"/>
    <w:rsid w:val="00A41607"/>
    <w:rsid w:val="00A418CF"/>
    <w:rsid w:val="00A4286F"/>
    <w:rsid w:val="00A4310A"/>
    <w:rsid w:val="00A43988"/>
    <w:rsid w:val="00A43B5A"/>
    <w:rsid w:val="00A443D8"/>
    <w:rsid w:val="00A44B7D"/>
    <w:rsid w:val="00A475C3"/>
    <w:rsid w:val="00A475DA"/>
    <w:rsid w:val="00A51DDE"/>
    <w:rsid w:val="00A54366"/>
    <w:rsid w:val="00A54F39"/>
    <w:rsid w:val="00A5533E"/>
    <w:rsid w:val="00A557B2"/>
    <w:rsid w:val="00A5616D"/>
    <w:rsid w:val="00A561DC"/>
    <w:rsid w:val="00A6022E"/>
    <w:rsid w:val="00A60D21"/>
    <w:rsid w:val="00A62396"/>
    <w:rsid w:val="00A62C91"/>
    <w:rsid w:val="00A62D40"/>
    <w:rsid w:val="00A630A4"/>
    <w:rsid w:val="00A63B8C"/>
    <w:rsid w:val="00A63D37"/>
    <w:rsid w:val="00A64957"/>
    <w:rsid w:val="00A65417"/>
    <w:rsid w:val="00A65B10"/>
    <w:rsid w:val="00A66B70"/>
    <w:rsid w:val="00A66CAB"/>
    <w:rsid w:val="00A67355"/>
    <w:rsid w:val="00A67675"/>
    <w:rsid w:val="00A676EC"/>
    <w:rsid w:val="00A701D6"/>
    <w:rsid w:val="00A7175F"/>
    <w:rsid w:val="00A71907"/>
    <w:rsid w:val="00A72058"/>
    <w:rsid w:val="00A72751"/>
    <w:rsid w:val="00A72879"/>
    <w:rsid w:val="00A72AD2"/>
    <w:rsid w:val="00A72D25"/>
    <w:rsid w:val="00A745D3"/>
    <w:rsid w:val="00A74C1E"/>
    <w:rsid w:val="00A758FD"/>
    <w:rsid w:val="00A76434"/>
    <w:rsid w:val="00A77019"/>
    <w:rsid w:val="00A77801"/>
    <w:rsid w:val="00A7781F"/>
    <w:rsid w:val="00A77C89"/>
    <w:rsid w:val="00A77FBC"/>
    <w:rsid w:val="00A80F42"/>
    <w:rsid w:val="00A810A4"/>
    <w:rsid w:val="00A81E14"/>
    <w:rsid w:val="00A81FAB"/>
    <w:rsid w:val="00A826C0"/>
    <w:rsid w:val="00A833E0"/>
    <w:rsid w:val="00A839D9"/>
    <w:rsid w:val="00A85F53"/>
    <w:rsid w:val="00A86CDE"/>
    <w:rsid w:val="00A86D33"/>
    <w:rsid w:val="00A86E99"/>
    <w:rsid w:val="00A87444"/>
    <w:rsid w:val="00A87496"/>
    <w:rsid w:val="00A90C27"/>
    <w:rsid w:val="00A91D8D"/>
    <w:rsid w:val="00A91E3D"/>
    <w:rsid w:val="00A938C1"/>
    <w:rsid w:val="00A938DD"/>
    <w:rsid w:val="00A95175"/>
    <w:rsid w:val="00A95F2D"/>
    <w:rsid w:val="00A97EEB"/>
    <w:rsid w:val="00AA01D5"/>
    <w:rsid w:val="00AA0782"/>
    <w:rsid w:val="00AA0BD9"/>
    <w:rsid w:val="00AA2DB6"/>
    <w:rsid w:val="00AA2F21"/>
    <w:rsid w:val="00AA487E"/>
    <w:rsid w:val="00AA77D4"/>
    <w:rsid w:val="00AA7C12"/>
    <w:rsid w:val="00AB0797"/>
    <w:rsid w:val="00AB14CC"/>
    <w:rsid w:val="00AB167B"/>
    <w:rsid w:val="00AB2767"/>
    <w:rsid w:val="00AB287C"/>
    <w:rsid w:val="00AB2A21"/>
    <w:rsid w:val="00AB2F6A"/>
    <w:rsid w:val="00AB432D"/>
    <w:rsid w:val="00AB4393"/>
    <w:rsid w:val="00AB45F2"/>
    <w:rsid w:val="00AB4BE5"/>
    <w:rsid w:val="00AB5621"/>
    <w:rsid w:val="00AB5714"/>
    <w:rsid w:val="00AB6B59"/>
    <w:rsid w:val="00AB7F85"/>
    <w:rsid w:val="00AC037E"/>
    <w:rsid w:val="00AC0F90"/>
    <w:rsid w:val="00AC23C5"/>
    <w:rsid w:val="00AC2F0F"/>
    <w:rsid w:val="00AC31CC"/>
    <w:rsid w:val="00AC3689"/>
    <w:rsid w:val="00AC3986"/>
    <w:rsid w:val="00AC4F10"/>
    <w:rsid w:val="00AC56EE"/>
    <w:rsid w:val="00AC6C8D"/>
    <w:rsid w:val="00AC727C"/>
    <w:rsid w:val="00AC790C"/>
    <w:rsid w:val="00AD39FC"/>
    <w:rsid w:val="00AD3C6D"/>
    <w:rsid w:val="00AD40ED"/>
    <w:rsid w:val="00AD4AE8"/>
    <w:rsid w:val="00AD56F7"/>
    <w:rsid w:val="00AD68F4"/>
    <w:rsid w:val="00AD6AC2"/>
    <w:rsid w:val="00AE0B73"/>
    <w:rsid w:val="00AE13A6"/>
    <w:rsid w:val="00AE1A17"/>
    <w:rsid w:val="00AE259A"/>
    <w:rsid w:val="00AE25E1"/>
    <w:rsid w:val="00AE27DD"/>
    <w:rsid w:val="00AE294E"/>
    <w:rsid w:val="00AE41EB"/>
    <w:rsid w:val="00AE4C77"/>
    <w:rsid w:val="00AE5822"/>
    <w:rsid w:val="00AE62D2"/>
    <w:rsid w:val="00AE77E3"/>
    <w:rsid w:val="00AF0164"/>
    <w:rsid w:val="00AF08E9"/>
    <w:rsid w:val="00AF0A55"/>
    <w:rsid w:val="00AF0D18"/>
    <w:rsid w:val="00AF24DC"/>
    <w:rsid w:val="00AF26D3"/>
    <w:rsid w:val="00AF2A08"/>
    <w:rsid w:val="00AF2BAC"/>
    <w:rsid w:val="00AF3DDE"/>
    <w:rsid w:val="00AF4639"/>
    <w:rsid w:val="00AF4CFF"/>
    <w:rsid w:val="00AF5258"/>
    <w:rsid w:val="00AF5761"/>
    <w:rsid w:val="00AF58C3"/>
    <w:rsid w:val="00AF5EDF"/>
    <w:rsid w:val="00AF6148"/>
    <w:rsid w:val="00AF6925"/>
    <w:rsid w:val="00AF6DA3"/>
    <w:rsid w:val="00AF709B"/>
    <w:rsid w:val="00B0020F"/>
    <w:rsid w:val="00B0027D"/>
    <w:rsid w:val="00B007E2"/>
    <w:rsid w:val="00B01133"/>
    <w:rsid w:val="00B025B1"/>
    <w:rsid w:val="00B0468F"/>
    <w:rsid w:val="00B065A7"/>
    <w:rsid w:val="00B06663"/>
    <w:rsid w:val="00B0733B"/>
    <w:rsid w:val="00B1006B"/>
    <w:rsid w:val="00B12640"/>
    <w:rsid w:val="00B12AEA"/>
    <w:rsid w:val="00B12BBB"/>
    <w:rsid w:val="00B13A36"/>
    <w:rsid w:val="00B13C69"/>
    <w:rsid w:val="00B1563A"/>
    <w:rsid w:val="00B17552"/>
    <w:rsid w:val="00B179A2"/>
    <w:rsid w:val="00B17A41"/>
    <w:rsid w:val="00B20BEF"/>
    <w:rsid w:val="00B212A4"/>
    <w:rsid w:val="00B2196A"/>
    <w:rsid w:val="00B21C49"/>
    <w:rsid w:val="00B22D2B"/>
    <w:rsid w:val="00B2378A"/>
    <w:rsid w:val="00B23CB0"/>
    <w:rsid w:val="00B24D7B"/>
    <w:rsid w:val="00B2533F"/>
    <w:rsid w:val="00B260E0"/>
    <w:rsid w:val="00B26159"/>
    <w:rsid w:val="00B261CF"/>
    <w:rsid w:val="00B2711E"/>
    <w:rsid w:val="00B27546"/>
    <w:rsid w:val="00B3019C"/>
    <w:rsid w:val="00B303D9"/>
    <w:rsid w:val="00B31F57"/>
    <w:rsid w:val="00B32233"/>
    <w:rsid w:val="00B32242"/>
    <w:rsid w:val="00B33C6A"/>
    <w:rsid w:val="00B33D7F"/>
    <w:rsid w:val="00B3444A"/>
    <w:rsid w:val="00B344CD"/>
    <w:rsid w:val="00B34FA6"/>
    <w:rsid w:val="00B3572C"/>
    <w:rsid w:val="00B3595F"/>
    <w:rsid w:val="00B35B76"/>
    <w:rsid w:val="00B36D8C"/>
    <w:rsid w:val="00B36FE9"/>
    <w:rsid w:val="00B37731"/>
    <w:rsid w:val="00B378B5"/>
    <w:rsid w:val="00B407E9"/>
    <w:rsid w:val="00B41344"/>
    <w:rsid w:val="00B41A1D"/>
    <w:rsid w:val="00B426F9"/>
    <w:rsid w:val="00B42BA9"/>
    <w:rsid w:val="00B43ADE"/>
    <w:rsid w:val="00B4431E"/>
    <w:rsid w:val="00B45E59"/>
    <w:rsid w:val="00B479EB"/>
    <w:rsid w:val="00B47BC1"/>
    <w:rsid w:val="00B50026"/>
    <w:rsid w:val="00B50751"/>
    <w:rsid w:val="00B50A00"/>
    <w:rsid w:val="00B515AB"/>
    <w:rsid w:val="00B51868"/>
    <w:rsid w:val="00B520A8"/>
    <w:rsid w:val="00B55307"/>
    <w:rsid w:val="00B55357"/>
    <w:rsid w:val="00B55469"/>
    <w:rsid w:val="00B55582"/>
    <w:rsid w:val="00B56398"/>
    <w:rsid w:val="00B565D2"/>
    <w:rsid w:val="00B606FA"/>
    <w:rsid w:val="00B60755"/>
    <w:rsid w:val="00B60788"/>
    <w:rsid w:val="00B60BFE"/>
    <w:rsid w:val="00B613AA"/>
    <w:rsid w:val="00B6365F"/>
    <w:rsid w:val="00B64318"/>
    <w:rsid w:val="00B6456D"/>
    <w:rsid w:val="00B67C72"/>
    <w:rsid w:val="00B70AD2"/>
    <w:rsid w:val="00B7160F"/>
    <w:rsid w:val="00B71C39"/>
    <w:rsid w:val="00B71C9C"/>
    <w:rsid w:val="00B724C0"/>
    <w:rsid w:val="00B72B02"/>
    <w:rsid w:val="00B7446E"/>
    <w:rsid w:val="00B74744"/>
    <w:rsid w:val="00B7610C"/>
    <w:rsid w:val="00B762E8"/>
    <w:rsid w:val="00B767A3"/>
    <w:rsid w:val="00B778A5"/>
    <w:rsid w:val="00B7798A"/>
    <w:rsid w:val="00B77BD2"/>
    <w:rsid w:val="00B80440"/>
    <w:rsid w:val="00B80711"/>
    <w:rsid w:val="00B80A46"/>
    <w:rsid w:val="00B80A48"/>
    <w:rsid w:val="00B817B0"/>
    <w:rsid w:val="00B82750"/>
    <w:rsid w:val="00B82BE7"/>
    <w:rsid w:val="00B837A0"/>
    <w:rsid w:val="00B842B3"/>
    <w:rsid w:val="00B854CC"/>
    <w:rsid w:val="00B86E76"/>
    <w:rsid w:val="00B87349"/>
    <w:rsid w:val="00B874DE"/>
    <w:rsid w:val="00B87671"/>
    <w:rsid w:val="00B90B12"/>
    <w:rsid w:val="00B91AC0"/>
    <w:rsid w:val="00B921CA"/>
    <w:rsid w:val="00B937E8"/>
    <w:rsid w:val="00B93E4A"/>
    <w:rsid w:val="00B94043"/>
    <w:rsid w:val="00B94D7A"/>
    <w:rsid w:val="00B96D46"/>
    <w:rsid w:val="00BA0DBE"/>
    <w:rsid w:val="00BA14E1"/>
    <w:rsid w:val="00BA1855"/>
    <w:rsid w:val="00BA1B2A"/>
    <w:rsid w:val="00BA1B38"/>
    <w:rsid w:val="00BA3B0D"/>
    <w:rsid w:val="00BA4C85"/>
    <w:rsid w:val="00BA4CA5"/>
    <w:rsid w:val="00BA56AD"/>
    <w:rsid w:val="00BA57F7"/>
    <w:rsid w:val="00BA772B"/>
    <w:rsid w:val="00BA7CA7"/>
    <w:rsid w:val="00BB22CC"/>
    <w:rsid w:val="00BB2C61"/>
    <w:rsid w:val="00BB2FB0"/>
    <w:rsid w:val="00BB3059"/>
    <w:rsid w:val="00BB3E58"/>
    <w:rsid w:val="00BB4657"/>
    <w:rsid w:val="00BB714B"/>
    <w:rsid w:val="00BC1125"/>
    <w:rsid w:val="00BC45FB"/>
    <w:rsid w:val="00BC51A0"/>
    <w:rsid w:val="00BC644C"/>
    <w:rsid w:val="00BC7AA8"/>
    <w:rsid w:val="00BD0A6D"/>
    <w:rsid w:val="00BD0CAE"/>
    <w:rsid w:val="00BD18ED"/>
    <w:rsid w:val="00BD4BB9"/>
    <w:rsid w:val="00BD5D4B"/>
    <w:rsid w:val="00BE0316"/>
    <w:rsid w:val="00BE1349"/>
    <w:rsid w:val="00BE1664"/>
    <w:rsid w:val="00BE2506"/>
    <w:rsid w:val="00BE373B"/>
    <w:rsid w:val="00BE4663"/>
    <w:rsid w:val="00BE5157"/>
    <w:rsid w:val="00BE5A15"/>
    <w:rsid w:val="00BE619D"/>
    <w:rsid w:val="00BE681C"/>
    <w:rsid w:val="00BE763E"/>
    <w:rsid w:val="00BF316B"/>
    <w:rsid w:val="00BF37AE"/>
    <w:rsid w:val="00BF3CC6"/>
    <w:rsid w:val="00BF4D74"/>
    <w:rsid w:val="00BF61FF"/>
    <w:rsid w:val="00BF6571"/>
    <w:rsid w:val="00BF6BE3"/>
    <w:rsid w:val="00BF6F94"/>
    <w:rsid w:val="00BF74F1"/>
    <w:rsid w:val="00BF7847"/>
    <w:rsid w:val="00BF7907"/>
    <w:rsid w:val="00BF7A21"/>
    <w:rsid w:val="00C00A2F"/>
    <w:rsid w:val="00C00A37"/>
    <w:rsid w:val="00C0279B"/>
    <w:rsid w:val="00C02C21"/>
    <w:rsid w:val="00C03AF7"/>
    <w:rsid w:val="00C04268"/>
    <w:rsid w:val="00C04610"/>
    <w:rsid w:val="00C05A5A"/>
    <w:rsid w:val="00C062AD"/>
    <w:rsid w:val="00C070F0"/>
    <w:rsid w:val="00C07757"/>
    <w:rsid w:val="00C115D2"/>
    <w:rsid w:val="00C12816"/>
    <w:rsid w:val="00C12D49"/>
    <w:rsid w:val="00C1319D"/>
    <w:rsid w:val="00C1336D"/>
    <w:rsid w:val="00C15B1A"/>
    <w:rsid w:val="00C15EFC"/>
    <w:rsid w:val="00C163B9"/>
    <w:rsid w:val="00C16CD7"/>
    <w:rsid w:val="00C175C3"/>
    <w:rsid w:val="00C203F5"/>
    <w:rsid w:val="00C20485"/>
    <w:rsid w:val="00C212D6"/>
    <w:rsid w:val="00C21729"/>
    <w:rsid w:val="00C21C70"/>
    <w:rsid w:val="00C21CB7"/>
    <w:rsid w:val="00C21E15"/>
    <w:rsid w:val="00C21F17"/>
    <w:rsid w:val="00C227B5"/>
    <w:rsid w:val="00C23A49"/>
    <w:rsid w:val="00C24667"/>
    <w:rsid w:val="00C265CA"/>
    <w:rsid w:val="00C26C04"/>
    <w:rsid w:val="00C30871"/>
    <w:rsid w:val="00C30F67"/>
    <w:rsid w:val="00C319F1"/>
    <w:rsid w:val="00C33365"/>
    <w:rsid w:val="00C336B0"/>
    <w:rsid w:val="00C33B98"/>
    <w:rsid w:val="00C34CA5"/>
    <w:rsid w:val="00C350E0"/>
    <w:rsid w:val="00C356AA"/>
    <w:rsid w:val="00C3605A"/>
    <w:rsid w:val="00C36236"/>
    <w:rsid w:val="00C36DC3"/>
    <w:rsid w:val="00C37739"/>
    <w:rsid w:val="00C377BD"/>
    <w:rsid w:val="00C406B0"/>
    <w:rsid w:val="00C40A17"/>
    <w:rsid w:val="00C419EB"/>
    <w:rsid w:val="00C427CB"/>
    <w:rsid w:val="00C4298F"/>
    <w:rsid w:val="00C42D2D"/>
    <w:rsid w:val="00C43633"/>
    <w:rsid w:val="00C43D83"/>
    <w:rsid w:val="00C45247"/>
    <w:rsid w:val="00C45531"/>
    <w:rsid w:val="00C458D3"/>
    <w:rsid w:val="00C505FD"/>
    <w:rsid w:val="00C510C2"/>
    <w:rsid w:val="00C5119B"/>
    <w:rsid w:val="00C517FE"/>
    <w:rsid w:val="00C51A24"/>
    <w:rsid w:val="00C51FCA"/>
    <w:rsid w:val="00C52250"/>
    <w:rsid w:val="00C52F1F"/>
    <w:rsid w:val="00C53772"/>
    <w:rsid w:val="00C540E4"/>
    <w:rsid w:val="00C54500"/>
    <w:rsid w:val="00C54557"/>
    <w:rsid w:val="00C54858"/>
    <w:rsid w:val="00C54F1A"/>
    <w:rsid w:val="00C55C8A"/>
    <w:rsid w:val="00C55CFE"/>
    <w:rsid w:val="00C57331"/>
    <w:rsid w:val="00C60AB2"/>
    <w:rsid w:val="00C617F2"/>
    <w:rsid w:val="00C61B73"/>
    <w:rsid w:val="00C62EF8"/>
    <w:rsid w:val="00C63A7B"/>
    <w:rsid w:val="00C6534A"/>
    <w:rsid w:val="00C65483"/>
    <w:rsid w:val="00C654A0"/>
    <w:rsid w:val="00C654B1"/>
    <w:rsid w:val="00C6579A"/>
    <w:rsid w:val="00C65888"/>
    <w:rsid w:val="00C65CA3"/>
    <w:rsid w:val="00C671C6"/>
    <w:rsid w:val="00C67BCA"/>
    <w:rsid w:val="00C67D22"/>
    <w:rsid w:val="00C7025C"/>
    <w:rsid w:val="00C703CA"/>
    <w:rsid w:val="00C70BA8"/>
    <w:rsid w:val="00C71005"/>
    <w:rsid w:val="00C72EAA"/>
    <w:rsid w:val="00C7431F"/>
    <w:rsid w:val="00C774F4"/>
    <w:rsid w:val="00C77C3F"/>
    <w:rsid w:val="00C77C46"/>
    <w:rsid w:val="00C80692"/>
    <w:rsid w:val="00C80847"/>
    <w:rsid w:val="00C8151E"/>
    <w:rsid w:val="00C81586"/>
    <w:rsid w:val="00C81E52"/>
    <w:rsid w:val="00C82339"/>
    <w:rsid w:val="00C82886"/>
    <w:rsid w:val="00C82F9D"/>
    <w:rsid w:val="00C84B00"/>
    <w:rsid w:val="00C84B41"/>
    <w:rsid w:val="00C85399"/>
    <w:rsid w:val="00C85C92"/>
    <w:rsid w:val="00C85F83"/>
    <w:rsid w:val="00C870B0"/>
    <w:rsid w:val="00C8747F"/>
    <w:rsid w:val="00C87BD9"/>
    <w:rsid w:val="00C87CC2"/>
    <w:rsid w:val="00C90C9F"/>
    <w:rsid w:val="00C9119A"/>
    <w:rsid w:val="00C91CB6"/>
    <w:rsid w:val="00C928B3"/>
    <w:rsid w:val="00C93D01"/>
    <w:rsid w:val="00C93F88"/>
    <w:rsid w:val="00C948E7"/>
    <w:rsid w:val="00C951F1"/>
    <w:rsid w:val="00C9586F"/>
    <w:rsid w:val="00C95A35"/>
    <w:rsid w:val="00C95E47"/>
    <w:rsid w:val="00C95F67"/>
    <w:rsid w:val="00C96311"/>
    <w:rsid w:val="00C97442"/>
    <w:rsid w:val="00C97856"/>
    <w:rsid w:val="00CA0238"/>
    <w:rsid w:val="00CA39CD"/>
    <w:rsid w:val="00CA3A85"/>
    <w:rsid w:val="00CA44FC"/>
    <w:rsid w:val="00CA5EDD"/>
    <w:rsid w:val="00CA6BD5"/>
    <w:rsid w:val="00CB1918"/>
    <w:rsid w:val="00CB1B40"/>
    <w:rsid w:val="00CB2162"/>
    <w:rsid w:val="00CB2BAA"/>
    <w:rsid w:val="00CB56B5"/>
    <w:rsid w:val="00CB5EC8"/>
    <w:rsid w:val="00CB6035"/>
    <w:rsid w:val="00CB6945"/>
    <w:rsid w:val="00CB7E31"/>
    <w:rsid w:val="00CC0063"/>
    <w:rsid w:val="00CC0A50"/>
    <w:rsid w:val="00CC1569"/>
    <w:rsid w:val="00CC22BF"/>
    <w:rsid w:val="00CC344B"/>
    <w:rsid w:val="00CC39B4"/>
    <w:rsid w:val="00CC3CFF"/>
    <w:rsid w:val="00CC4386"/>
    <w:rsid w:val="00CC4D93"/>
    <w:rsid w:val="00CC7831"/>
    <w:rsid w:val="00CC7DAE"/>
    <w:rsid w:val="00CC7FB6"/>
    <w:rsid w:val="00CD0081"/>
    <w:rsid w:val="00CD03DC"/>
    <w:rsid w:val="00CD17D8"/>
    <w:rsid w:val="00CD26E3"/>
    <w:rsid w:val="00CD2773"/>
    <w:rsid w:val="00CD31FC"/>
    <w:rsid w:val="00CD3AC4"/>
    <w:rsid w:val="00CD3F98"/>
    <w:rsid w:val="00CD41DD"/>
    <w:rsid w:val="00CD509D"/>
    <w:rsid w:val="00CD6B8E"/>
    <w:rsid w:val="00CE0996"/>
    <w:rsid w:val="00CE203A"/>
    <w:rsid w:val="00CE32DB"/>
    <w:rsid w:val="00CE4506"/>
    <w:rsid w:val="00CE4C5E"/>
    <w:rsid w:val="00CE4CA8"/>
    <w:rsid w:val="00CE4E04"/>
    <w:rsid w:val="00CE6EE2"/>
    <w:rsid w:val="00CE79EA"/>
    <w:rsid w:val="00CF03F9"/>
    <w:rsid w:val="00CF22F7"/>
    <w:rsid w:val="00CF247E"/>
    <w:rsid w:val="00CF557B"/>
    <w:rsid w:val="00CF5C41"/>
    <w:rsid w:val="00CF5FE5"/>
    <w:rsid w:val="00D017B1"/>
    <w:rsid w:val="00D01AA0"/>
    <w:rsid w:val="00D02BCE"/>
    <w:rsid w:val="00D05C3E"/>
    <w:rsid w:val="00D10DD0"/>
    <w:rsid w:val="00D11AAC"/>
    <w:rsid w:val="00D11E22"/>
    <w:rsid w:val="00D12147"/>
    <w:rsid w:val="00D125B8"/>
    <w:rsid w:val="00D12C9B"/>
    <w:rsid w:val="00D13338"/>
    <w:rsid w:val="00D134E9"/>
    <w:rsid w:val="00D13C9D"/>
    <w:rsid w:val="00D140E9"/>
    <w:rsid w:val="00D14272"/>
    <w:rsid w:val="00D14324"/>
    <w:rsid w:val="00D14DD6"/>
    <w:rsid w:val="00D14F70"/>
    <w:rsid w:val="00D156D5"/>
    <w:rsid w:val="00D167E0"/>
    <w:rsid w:val="00D16BF4"/>
    <w:rsid w:val="00D1727C"/>
    <w:rsid w:val="00D17D7E"/>
    <w:rsid w:val="00D210C4"/>
    <w:rsid w:val="00D21B82"/>
    <w:rsid w:val="00D21CC2"/>
    <w:rsid w:val="00D21EC9"/>
    <w:rsid w:val="00D2390D"/>
    <w:rsid w:val="00D2433C"/>
    <w:rsid w:val="00D247B4"/>
    <w:rsid w:val="00D24BFA"/>
    <w:rsid w:val="00D253B7"/>
    <w:rsid w:val="00D256E1"/>
    <w:rsid w:val="00D27483"/>
    <w:rsid w:val="00D30BB6"/>
    <w:rsid w:val="00D3142B"/>
    <w:rsid w:val="00D336BF"/>
    <w:rsid w:val="00D344AB"/>
    <w:rsid w:val="00D36928"/>
    <w:rsid w:val="00D3765B"/>
    <w:rsid w:val="00D376CA"/>
    <w:rsid w:val="00D37C57"/>
    <w:rsid w:val="00D37E42"/>
    <w:rsid w:val="00D401DB"/>
    <w:rsid w:val="00D4120E"/>
    <w:rsid w:val="00D41C88"/>
    <w:rsid w:val="00D41DB4"/>
    <w:rsid w:val="00D42E40"/>
    <w:rsid w:val="00D4302F"/>
    <w:rsid w:val="00D43204"/>
    <w:rsid w:val="00D4350A"/>
    <w:rsid w:val="00D43C4D"/>
    <w:rsid w:val="00D44007"/>
    <w:rsid w:val="00D442A9"/>
    <w:rsid w:val="00D4446C"/>
    <w:rsid w:val="00D44C61"/>
    <w:rsid w:val="00D456C6"/>
    <w:rsid w:val="00D45AA3"/>
    <w:rsid w:val="00D46BC1"/>
    <w:rsid w:val="00D46E97"/>
    <w:rsid w:val="00D473FE"/>
    <w:rsid w:val="00D47A7A"/>
    <w:rsid w:val="00D47BAE"/>
    <w:rsid w:val="00D5047C"/>
    <w:rsid w:val="00D50571"/>
    <w:rsid w:val="00D50C0D"/>
    <w:rsid w:val="00D51FAE"/>
    <w:rsid w:val="00D5205F"/>
    <w:rsid w:val="00D5221C"/>
    <w:rsid w:val="00D538B1"/>
    <w:rsid w:val="00D55BC4"/>
    <w:rsid w:val="00D57366"/>
    <w:rsid w:val="00D5748B"/>
    <w:rsid w:val="00D57622"/>
    <w:rsid w:val="00D57CC8"/>
    <w:rsid w:val="00D608B4"/>
    <w:rsid w:val="00D62394"/>
    <w:rsid w:val="00D62609"/>
    <w:rsid w:val="00D628E4"/>
    <w:rsid w:val="00D6495B"/>
    <w:rsid w:val="00D64A56"/>
    <w:rsid w:val="00D65468"/>
    <w:rsid w:val="00D65861"/>
    <w:rsid w:val="00D664BE"/>
    <w:rsid w:val="00D66F94"/>
    <w:rsid w:val="00D676FA"/>
    <w:rsid w:val="00D677A2"/>
    <w:rsid w:val="00D7012B"/>
    <w:rsid w:val="00D701A4"/>
    <w:rsid w:val="00D70564"/>
    <w:rsid w:val="00D71871"/>
    <w:rsid w:val="00D71922"/>
    <w:rsid w:val="00D71EF6"/>
    <w:rsid w:val="00D723D9"/>
    <w:rsid w:val="00D72534"/>
    <w:rsid w:val="00D727A1"/>
    <w:rsid w:val="00D73008"/>
    <w:rsid w:val="00D73EC0"/>
    <w:rsid w:val="00D74DEA"/>
    <w:rsid w:val="00D75549"/>
    <w:rsid w:val="00D775BA"/>
    <w:rsid w:val="00D77E62"/>
    <w:rsid w:val="00D80C7D"/>
    <w:rsid w:val="00D81569"/>
    <w:rsid w:val="00D82257"/>
    <w:rsid w:val="00D82446"/>
    <w:rsid w:val="00D83838"/>
    <w:rsid w:val="00D841F8"/>
    <w:rsid w:val="00D845E6"/>
    <w:rsid w:val="00D851D4"/>
    <w:rsid w:val="00D85A0A"/>
    <w:rsid w:val="00D85C9D"/>
    <w:rsid w:val="00D85E25"/>
    <w:rsid w:val="00D86100"/>
    <w:rsid w:val="00D865E0"/>
    <w:rsid w:val="00D912A9"/>
    <w:rsid w:val="00D91403"/>
    <w:rsid w:val="00D92315"/>
    <w:rsid w:val="00D92757"/>
    <w:rsid w:val="00D93027"/>
    <w:rsid w:val="00D93462"/>
    <w:rsid w:val="00D93D5B"/>
    <w:rsid w:val="00D958AD"/>
    <w:rsid w:val="00D95DD2"/>
    <w:rsid w:val="00D962D6"/>
    <w:rsid w:val="00D9635E"/>
    <w:rsid w:val="00D96BDB"/>
    <w:rsid w:val="00D96EFD"/>
    <w:rsid w:val="00D96F16"/>
    <w:rsid w:val="00D97791"/>
    <w:rsid w:val="00DA052C"/>
    <w:rsid w:val="00DA09BA"/>
    <w:rsid w:val="00DA20F1"/>
    <w:rsid w:val="00DA2539"/>
    <w:rsid w:val="00DA32C7"/>
    <w:rsid w:val="00DA456B"/>
    <w:rsid w:val="00DA4BD6"/>
    <w:rsid w:val="00DA5EB2"/>
    <w:rsid w:val="00DA668C"/>
    <w:rsid w:val="00DA6CF5"/>
    <w:rsid w:val="00DA6F1A"/>
    <w:rsid w:val="00DA7734"/>
    <w:rsid w:val="00DA7C3D"/>
    <w:rsid w:val="00DB03A9"/>
    <w:rsid w:val="00DB06CB"/>
    <w:rsid w:val="00DB0BA0"/>
    <w:rsid w:val="00DB0D5A"/>
    <w:rsid w:val="00DB1151"/>
    <w:rsid w:val="00DB1848"/>
    <w:rsid w:val="00DB1B15"/>
    <w:rsid w:val="00DB1F56"/>
    <w:rsid w:val="00DB2611"/>
    <w:rsid w:val="00DB2B56"/>
    <w:rsid w:val="00DB3286"/>
    <w:rsid w:val="00DB332B"/>
    <w:rsid w:val="00DB3B1E"/>
    <w:rsid w:val="00DB51A6"/>
    <w:rsid w:val="00DB531C"/>
    <w:rsid w:val="00DC08E8"/>
    <w:rsid w:val="00DC10A9"/>
    <w:rsid w:val="00DC1124"/>
    <w:rsid w:val="00DC16FA"/>
    <w:rsid w:val="00DC1DD7"/>
    <w:rsid w:val="00DC24C3"/>
    <w:rsid w:val="00DC2E45"/>
    <w:rsid w:val="00DC4F3C"/>
    <w:rsid w:val="00DC532E"/>
    <w:rsid w:val="00DC5A31"/>
    <w:rsid w:val="00DC5DF3"/>
    <w:rsid w:val="00DC6182"/>
    <w:rsid w:val="00DC6492"/>
    <w:rsid w:val="00DC667D"/>
    <w:rsid w:val="00DC6CF7"/>
    <w:rsid w:val="00DC75D1"/>
    <w:rsid w:val="00DD0715"/>
    <w:rsid w:val="00DD0B7C"/>
    <w:rsid w:val="00DD1512"/>
    <w:rsid w:val="00DD265A"/>
    <w:rsid w:val="00DD28BE"/>
    <w:rsid w:val="00DD2D04"/>
    <w:rsid w:val="00DD2DA1"/>
    <w:rsid w:val="00DD3CBF"/>
    <w:rsid w:val="00DD467A"/>
    <w:rsid w:val="00DD49EE"/>
    <w:rsid w:val="00DD49F3"/>
    <w:rsid w:val="00DD79A9"/>
    <w:rsid w:val="00DE0B6B"/>
    <w:rsid w:val="00DE14DA"/>
    <w:rsid w:val="00DE1B40"/>
    <w:rsid w:val="00DE2395"/>
    <w:rsid w:val="00DE2435"/>
    <w:rsid w:val="00DE2765"/>
    <w:rsid w:val="00DE2D69"/>
    <w:rsid w:val="00DE42E5"/>
    <w:rsid w:val="00DE4B7B"/>
    <w:rsid w:val="00DE522B"/>
    <w:rsid w:val="00DE6564"/>
    <w:rsid w:val="00DE7831"/>
    <w:rsid w:val="00DF02D7"/>
    <w:rsid w:val="00DF099D"/>
    <w:rsid w:val="00DF0CD1"/>
    <w:rsid w:val="00DF15C9"/>
    <w:rsid w:val="00DF1ED1"/>
    <w:rsid w:val="00DF2425"/>
    <w:rsid w:val="00DF2AEE"/>
    <w:rsid w:val="00DF3761"/>
    <w:rsid w:val="00DF3A12"/>
    <w:rsid w:val="00DF58F4"/>
    <w:rsid w:val="00DF5D3C"/>
    <w:rsid w:val="00DF67CE"/>
    <w:rsid w:val="00DF69BA"/>
    <w:rsid w:val="00DF6B6E"/>
    <w:rsid w:val="00E00E81"/>
    <w:rsid w:val="00E01077"/>
    <w:rsid w:val="00E01389"/>
    <w:rsid w:val="00E01E5B"/>
    <w:rsid w:val="00E024B4"/>
    <w:rsid w:val="00E026C1"/>
    <w:rsid w:val="00E02B7E"/>
    <w:rsid w:val="00E030FA"/>
    <w:rsid w:val="00E045D6"/>
    <w:rsid w:val="00E04859"/>
    <w:rsid w:val="00E067B8"/>
    <w:rsid w:val="00E07BAF"/>
    <w:rsid w:val="00E1050A"/>
    <w:rsid w:val="00E10F0B"/>
    <w:rsid w:val="00E10F52"/>
    <w:rsid w:val="00E116CB"/>
    <w:rsid w:val="00E11F37"/>
    <w:rsid w:val="00E12FB0"/>
    <w:rsid w:val="00E1312E"/>
    <w:rsid w:val="00E13997"/>
    <w:rsid w:val="00E1548D"/>
    <w:rsid w:val="00E15DC9"/>
    <w:rsid w:val="00E16113"/>
    <w:rsid w:val="00E16153"/>
    <w:rsid w:val="00E16B38"/>
    <w:rsid w:val="00E17915"/>
    <w:rsid w:val="00E21358"/>
    <w:rsid w:val="00E213AC"/>
    <w:rsid w:val="00E21883"/>
    <w:rsid w:val="00E2191F"/>
    <w:rsid w:val="00E23836"/>
    <w:rsid w:val="00E23ABE"/>
    <w:rsid w:val="00E271D0"/>
    <w:rsid w:val="00E27791"/>
    <w:rsid w:val="00E27F43"/>
    <w:rsid w:val="00E302FC"/>
    <w:rsid w:val="00E33310"/>
    <w:rsid w:val="00E3460F"/>
    <w:rsid w:val="00E354BA"/>
    <w:rsid w:val="00E36DE7"/>
    <w:rsid w:val="00E3739C"/>
    <w:rsid w:val="00E40D84"/>
    <w:rsid w:val="00E41821"/>
    <w:rsid w:val="00E4245F"/>
    <w:rsid w:val="00E42B30"/>
    <w:rsid w:val="00E432E0"/>
    <w:rsid w:val="00E444B4"/>
    <w:rsid w:val="00E45135"/>
    <w:rsid w:val="00E45385"/>
    <w:rsid w:val="00E459FA"/>
    <w:rsid w:val="00E467C9"/>
    <w:rsid w:val="00E47175"/>
    <w:rsid w:val="00E47753"/>
    <w:rsid w:val="00E501A0"/>
    <w:rsid w:val="00E50315"/>
    <w:rsid w:val="00E50C20"/>
    <w:rsid w:val="00E51A0C"/>
    <w:rsid w:val="00E5203D"/>
    <w:rsid w:val="00E52B43"/>
    <w:rsid w:val="00E534FD"/>
    <w:rsid w:val="00E5370A"/>
    <w:rsid w:val="00E549CC"/>
    <w:rsid w:val="00E54F1C"/>
    <w:rsid w:val="00E55378"/>
    <w:rsid w:val="00E569C0"/>
    <w:rsid w:val="00E577D7"/>
    <w:rsid w:val="00E57943"/>
    <w:rsid w:val="00E57977"/>
    <w:rsid w:val="00E60002"/>
    <w:rsid w:val="00E60FA2"/>
    <w:rsid w:val="00E616EE"/>
    <w:rsid w:val="00E617E3"/>
    <w:rsid w:val="00E62BC4"/>
    <w:rsid w:val="00E62FDF"/>
    <w:rsid w:val="00E63476"/>
    <w:rsid w:val="00E64380"/>
    <w:rsid w:val="00E6475E"/>
    <w:rsid w:val="00E64928"/>
    <w:rsid w:val="00E64BF5"/>
    <w:rsid w:val="00E655B3"/>
    <w:rsid w:val="00E658A9"/>
    <w:rsid w:val="00E65FEA"/>
    <w:rsid w:val="00E667B6"/>
    <w:rsid w:val="00E66DB7"/>
    <w:rsid w:val="00E6713C"/>
    <w:rsid w:val="00E67937"/>
    <w:rsid w:val="00E70B42"/>
    <w:rsid w:val="00E71586"/>
    <w:rsid w:val="00E727C0"/>
    <w:rsid w:val="00E73D7B"/>
    <w:rsid w:val="00E74DF5"/>
    <w:rsid w:val="00E75B59"/>
    <w:rsid w:val="00E773E8"/>
    <w:rsid w:val="00E7789D"/>
    <w:rsid w:val="00E77ED4"/>
    <w:rsid w:val="00E801BD"/>
    <w:rsid w:val="00E81A19"/>
    <w:rsid w:val="00E81BE7"/>
    <w:rsid w:val="00E82FF8"/>
    <w:rsid w:val="00E84286"/>
    <w:rsid w:val="00E84E0A"/>
    <w:rsid w:val="00E84FC6"/>
    <w:rsid w:val="00E85C52"/>
    <w:rsid w:val="00E85DBA"/>
    <w:rsid w:val="00E8698B"/>
    <w:rsid w:val="00E86B35"/>
    <w:rsid w:val="00E86F7C"/>
    <w:rsid w:val="00E87147"/>
    <w:rsid w:val="00E87586"/>
    <w:rsid w:val="00E87746"/>
    <w:rsid w:val="00E87BFF"/>
    <w:rsid w:val="00E9006A"/>
    <w:rsid w:val="00E90353"/>
    <w:rsid w:val="00E90652"/>
    <w:rsid w:val="00E90B3C"/>
    <w:rsid w:val="00E90F83"/>
    <w:rsid w:val="00E90FDD"/>
    <w:rsid w:val="00E927E2"/>
    <w:rsid w:val="00E92F35"/>
    <w:rsid w:val="00E942DC"/>
    <w:rsid w:val="00E95CD2"/>
    <w:rsid w:val="00E9737B"/>
    <w:rsid w:val="00E97676"/>
    <w:rsid w:val="00EA06D7"/>
    <w:rsid w:val="00EA0912"/>
    <w:rsid w:val="00EA0986"/>
    <w:rsid w:val="00EA11AD"/>
    <w:rsid w:val="00EA186A"/>
    <w:rsid w:val="00EA1CB4"/>
    <w:rsid w:val="00EA23C6"/>
    <w:rsid w:val="00EA23E5"/>
    <w:rsid w:val="00EA2877"/>
    <w:rsid w:val="00EA2B81"/>
    <w:rsid w:val="00EA31A8"/>
    <w:rsid w:val="00EA3F35"/>
    <w:rsid w:val="00EA4133"/>
    <w:rsid w:val="00EA4187"/>
    <w:rsid w:val="00EA4D99"/>
    <w:rsid w:val="00EA5FD5"/>
    <w:rsid w:val="00EA68E8"/>
    <w:rsid w:val="00EA6CCC"/>
    <w:rsid w:val="00EB034E"/>
    <w:rsid w:val="00EB0E21"/>
    <w:rsid w:val="00EB0E61"/>
    <w:rsid w:val="00EB124F"/>
    <w:rsid w:val="00EB20FF"/>
    <w:rsid w:val="00EB3EDA"/>
    <w:rsid w:val="00EB3FCD"/>
    <w:rsid w:val="00EB40F1"/>
    <w:rsid w:val="00EB41F3"/>
    <w:rsid w:val="00EB5340"/>
    <w:rsid w:val="00EB53C2"/>
    <w:rsid w:val="00EB5683"/>
    <w:rsid w:val="00EB63A1"/>
    <w:rsid w:val="00EB6618"/>
    <w:rsid w:val="00EC00D4"/>
    <w:rsid w:val="00EC03E5"/>
    <w:rsid w:val="00EC13F4"/>
    <w:rsid w:val="00EC14BA"/>
    <w:rsid w:val="00EC2255"/>
    <w:rsid w:val="00EC2459"/>
    <w:rsid w:val="00EC314E"/>
    <w:rsid w:val="00EC346A"/>
    <w:rsid w:val="00EC391D"/>
    <w:rsid w:val="00EC3FD6"/>
    <w:rsid w:val="00EC4DAA"/>
    <w:rsid w:val="00EC5C1E"/>
    <w:rsid w:val="00EC5C73"/>
    <w:rsid w:val="00EC6EC0"/>
    <w:rsid w:val="00ED14AA"/>
    <w:rsid w:val="00ED15B8"/>
    <w:rsid w:val="00ED16F3"/>
    <w:rsid w:val="00ED1919"/>
    <w:rsid w:val="00ED2C67"/>
    <w:rsid w:val="00ED35BF"/>
    <w:rsid w:val="00ED3620"/>
    <w:rsid w:val="00ED3E87"/>
    <w:rsid w:val="00ED427F"/>
    <w:rsid w:val="00ED50FA"/>
    <w:rsid w:val="00ED5E07"/>
    <w:rsid w:val="00ED60F1"/>
    <w:rsid w:val="00ED751B"/>
    <w:rsid w:val="00ED7B01"/>
    <w:rsid w:val="00EE0101"/>
    <w:rsid w:val="00EE010D"/>
    <w:rsid w:val="00EE03A1"/>
    <w:rsid w:val="00EE0647"/>
    <w:rsid w:val="00EE08A8"/>
    <w:rsid w:val="00EE1001"/>
    <w:rsid w:val="00EE2C7A"/>
    <w:rsid w:val="00EE3600"/>
    <w:rsid w:val="00EE3C67"/>
    <w:rsid w:val="00EE3D24"/>
    <w:rsid w:val="00EE5006"/>
    <w:rsid w:val="00EE50FF"/>
    <w:rsid w:val="00EE52EF"/>
    <w:rsid w:val="00EE5324"/>
    <w:rsid w:val="00EE5551"/>
    <w:rsid w:val="00EE694D"/>
    <w:rsid w:val="00EF0B12"/>
    <w:rsid w:val="00EF183B"/>
    <w:rsid w:val="00EF1A01"/>
    <w:rsid w:val="00EF24E4"/>
    <w:rsid w:val="00EF2736"/>
    <w:rsid w:val="00EF37A3"/>
    <w:rsid w:val="00EF3A1B"/>
    <w:rsid w:val="00EF4BD9"/>
    <w:rsid w:val="00EF6773"/>
    <w:rsid w:val="00EF6BEE"/>
    <w:rsid w:val="00EF6E33"/>
    <w:rsid w:val="00EF7CD5"/>
    <w:rsid w:val="00F025D7"/>
    <w:rsid w:val="00F027D0"/>
    <w:rsid w:val="00F03141"/>
    <w:rsid w:val="00F03468"/>
    <w:rsid w:val="00F03DDE"/>
    <w:rsid w:val="00F052D0"/>
    <w:rsid w:val="00F055AE"/>
    <w:rsid w:val="00F07C89"/>
    <w:rsid w:val="00F07E1B"/>
    <w:rsid w:val="00F107C1"/>
    <w:rsid w:val="00F10E3B"/>
    <w:rsid w:val="00F11A3B"/>
    <w:rsid w:val="00F126AA"/>
    <w:rsid w:val="00F15A98"/>
    <w:rsid w:val="00F16BA6"/>
    <w:rsid w:val="00F176BF"/>
    <w:rsid w:val="00F17E91"/>
    <w:rsid w:val="00F2060B"/>
    <w:rsid w:val="00F2143D"/>
    <w:rsid w:val="00F23E5C"/>
    <w:rsid w:val="00F247D0"/>
    <w:rsid w:val="00F26063"/>
    <w:rsid w:val="00F2785B"/>
    <w:rsid w:val="00F27C8B"/>
    <w:rsid w:val="00F30848"/>
    <w:rsid w:val="00F308D6"/>
    <w:rsid w:val="00F30B0A"/>
    <w:rsid w:val="00F30FFC"/>
    <w:rsid w:val="00F3212F"/>
    <w:rsid w:val="00F32BB6"/>
    <w:rsid w:val="00F32FE6"/>
    <w:rsid w:val="00F33B28"/>
    <w:rsid w:val="00F34073"/>
    <w:rsid w:val="00F3599A"/>
    <w:rsid w:val="00F35C62"/>
    <w:rsid w:val="00F36BCC"/>
    <w:rsid w:val="00F3737C"/>
    <w:rsid w:val="00F37E9E"/>
    <w:rsid w:val="00F37F7F"/>
    <w:rsid w:val="00F40D76"/>
    <w:rsid w:val="00F41D81"/>
    <w:rsid w:val="00F423A9"/>
    <w:rsid w:val="00F42CBE"/>
    <w:rsid w:val="00F44FBD"/>
    <w:rsid w:val="00F4529D"/>
    <w:rsid w:val="00F460D3"/>
    <w:rsid w:val="00F46D47"/>
    <w:rsid w:val="00F473A0"/>
    <w:rsid w:val="00F51EEA"/>
    <w:rsid w:val="00F52178"/>
    <w:rsid w:val="00F52469"/>
    <w:rsid w:val="00F52D2E"/>
    <w:rsid w:val="00F52E09"/>
    <w:rsid w:val="00F54238"/>
    <w:rsid w:val="00F54561"/>
    <w:rsid w:val="00F545F6"/>
    <w:rsid w:val="00F54F56"/>
    <w:rsid w:val="00F55C43"/>
    <w:rsid w:val="00F56ACF"/>
    <w:rsid w:val="00F60275"/>
    <w:rsid w:val="00F61438"/>
    <w:rsid w:val="00F6154C"/>
    <w:rsid w:val="00F633C9"/>
    <w:rsid w:val="00F65C33"/>
    <w:rsid w:val="00F65EC9"/>
    <w:rsid w:val="00F66854"/>
    <w:rsid w:val="00F6753D"/>
    <w:rsid w:val="00F67837"/>
    <w:rsid w:val="00F70547"/>
    <w:rsid w:val="00F7062B"/>
    <w:rsid w:val="00F708EB"/>
    <w:rsid w:val="00F7099C"/>
    <w:rsid w:val="00F71B9D"/>
    <w:rsid w:val="00F725C6"/>
    <w:rsid w:val="00F738DB"/>
    <w:rsid w:val="00F73F30"/>
    <w:rsid w:val="00F73F5C"/>
    <w:rsid w:val="00F7468C"/>
    <w:rsid w:val="00F74837"/>
    <w:rsid w:val="00F75060"/>
    <w:rsid w:val="00F761A3"/>
    <w:rsid w:val="00F762F1"/>
    <w:rsid w:val="00F77923"/>
    <w:rsid w:val="00F77EE9"/>
    <w:rsid w:val="00F801BE"/>
    <w:rsid w:val="00F80C30"/>
    <w:rsid w:val="00F80CE4"/>
    <w:rsid w:val="00F81757"/>
    <w:rsid w:val="00F8184B"/>
    <w:rsid w:val="00F83AF1"/>
    <w:rsid w:val="00F83CF3"/>
    <w:rsid w:val="00F853BC"/>
    <w:rsid w:val="00F85CE7"/>
    <w:rsid w:val="00F903F5"/>
    <w:rsid w:val="00F90664"/>
    <w:rsid w:val="00F90677"/>
    <w:rsid w:val="00F90902"/>
    <w:rsid w:val="00F909C9"/>
    <w:rsid w:val="00F931F5"/>
    <w:rsid w:val="00F94003"/>
    <w:rsid w:val="00F944CA"/>
    <w:rsid w:val="00F94C0D"/>
    <w:rsid w:val="00F950C7"/>
    <w:rsid w:val="00F951E0"/>
    <w:rsid w:val="00F959C0"/>
    <w:rsid w:val="00F962CE"/>
    <w:rsid w:val="00F967A0"/>
    <w:rsid w:val="00F97074"/>
    <w:rsid w:val="00F97419"/>
    <w:rsid w:val="00F975E5"/>
    <w:rsid w:val="00F977BF"/>
    <w:rsid w:val="00F97EB3"/>
    <w:rsid w:val="00FA0262"/>
    <w:rsid w:val="00FA052D"/>
    <w:rsid w:val="00FA14BC"/>
    <w:rsid w:val="00FA186F"/>
    <w:rsid w:val="00FA1EAF"/>
    <w:rsid w:val="00FA2303"/>
    <w:rsid w:val="00FA253C"/>
    <w:rsid w:val="00FA278F"/>
    <w:rsid w:val="00FA33B5"/>
    <w:rsid w:val="00FA5302"/>
    <w:rsid w:val="00FA5F15"/>
    <w:rsid w:val="00FA743C"/>
    <w:rsid w:val="00FA759D"/>
    <w:rsid w:val="00FB0855"/>
    <w:rsid w:val="00FB35A0"/>
    <w:rsid w:val="00FB3C4A"/>
    <w:rsid w:val="00FB5B5C"/>
    <w:rsid w:val="00FB6426"/>
    <w:rsid w:val="00FB657A"/>
    <w:rsid w:val="00FB67A6"/>
    <w:rsid w:val="00FB6885"/>
    <w:rsid w:val="00FC0219"/>
    <w:rsid w:val="00FC19E0"/>
    <w:rsid w:val="00FC1E35"/>
    <w:rsid w:val="00FC263C"/>
    <w:rsid w:val="00FC2724"/>
    <w:rsid w:val="00FC2B56"/>
    <w:rsid w:val="00FC30F5"/>
    <w:rsid w:val="00FC4002"/>
    <w:rsid w:val="00FC4F0D"/>
    <w:rsid w:val="00FC53DB"/>
    <w:rsid w:val="00FC59F5"/>
    <w:rsid w:val="00FC6206"/>
    <w:rsid w:val="00FC654E"/>
    <w:rsid w:val="00FC7C54"/>
    <w:rsid w:val="00FD020C"/>
    <w:rsid w:val="00FD0C6E"/>
    <w:rsid w:val="00FD1248"/>
    <w:rsid w:val="00FD1316"/>
    <w:rsid w:val="00FD1729"/>
    <w:rsid w:val="00FD1BDE"/>
    <w:rsid w:val="00FD1DF9"/>
    <w:rsid w:val="00FD231A"/>
    <w:rsid w:val="00FD2B50"/>
    <w:rsid w:val="00FD2E5B"/>
    <w:rsid w:val="00FD59AF"/>
    <w:rsid w:val="00FD605A"/>
    <w:rsid w:val="00FD64A0"/>
    <w:rsid w:val="00FD6792"/>
    <w:rsid w:val="00FD711D"/>
    <w:rsid w:val="00FD7563"/>
    <w:rsid w:val="00FD7E90"/>
    <w:rsid w:val="00FE09D0"/>
    <w:rsid w:val="00FE1876"/>
    <w:rsid w:val="00FE18B4"/>
    <w:rsid w:val="00FE2312"/>
    <w:rsid w:val="00FE2867"/>
    <w:rsid w:val="00FE2FDD"/>
    <w:rsid w:val="00FE3605"/>
    <w:rsid w:val="00FE4945"/>
    <w:rsid w:val="00FE543C"/>
    <w:rsid w:val="00FE672F"/>
    <w:rsid w:val="00FE71AD"/>
    <w:rsid w:val="00FE7D5B"/>
    <w:rsid w:val="00FF0552"/>
    <w:rsid w:val="00FF0631"/>
    <w:rsid w:val="00FF0D67"/>
    <w:rsid w:val="00FF0E04"/>
    <w:rsid w:val="00FF1FBD"/>
    <w:rsid w:val="00FF3046"/>
    <w:rsid w:val="00FF3D5C"/>
    <w:rsid w:val="00FF4FB2"/>
    <w:rsid w:val="00FF5009"/>
    <w:rsid w:val="00FF5A2F"/>
    <w:rsid w:val="00FF6034"/>
    <w:rsid w:val="00FF610A"/>
    <w:rsid w:val="00FF6E1B"/>
    <w:rsid w:val="00FF6E3A"/>
    <w:rsid w:val="01064B01"/>
    <w:rsid w:val="011D2710"/>
    <w:rsid w:val="017F53A9"/>
    <w:rsid w:val="01DB1C83"/>
    <w:rsid w:val="01FD26C6"/>
    <w:rsid w:val="023B4C37"/>
    <w:rsid w:val="03541CED"/>
    <w:rsid w:val="03F569C0"/>
    <w:rsid w:val="04610B65"/>
    <w:rsid w:val="04B62533"/>
    <w:rsid w:val="04C9495C"/>
    <w:rsid w:val="05207942"/>
    <w:rsid w:val="052F2A11"/>
    <w:rsid w:val="05341DD6"/>
    <w:rsid w:val="055C757F"/>
    <w:rsid w:val="059E4921"/>
    <w:rsid w:val="05B31A1F"/>
    <w:rsid w:val="05BD626F"/>
    <w:rsid w:val="05E46A9E"/>
    <w:rsid w:val="063D4CBA"/>
    <w:rsid w:val="070B300A"/>
    <w:rsid w:val="072639A0"/>
    <w:rsid w:val="076D5A73"/>
    <w:rsid w:val="07830F22"/>
    <w:rsid w:val="0840304B"/>
    <w:rsid w:val="08624EAC"/>
    <w:rsid w:val="090C4E18"/>
    <w:rsid w:val="092D54BA"/>
    <w:rsid w:val="095A15DC"/>
    <w:rsid w:val="09D136E8"/>
    <w:rsid w:val="0A3D0557"/>
    <w:rsid w:val="0A4A209B"/>
    <w:rsid w:val="0A746823"/>
    <w:rsid w:val="0A8C7FBE"/>
    <w:rsid w:val="0AAB0D8C"/>
    <w:rsid w:val="0AF33435"/>
    <w:rsid w:val="0B275F39"/>
    <w:rsid w:val="0BA8707A"/>
    <w:rsid w:val="0BDD4634"/>
    <w:rsid w:val="0C013CF8"/>
    <w:rsid w:val="0C061354"/>
    <w:rsid w:val="0C3A566F"/>
    <w:rsid w:val="0C6D4FE5"/>
    <w:rsid w:val="0C9651A8"/>
    <w:rsid w:val="0CB9628A"/>
    <w:rsid w:val="0CD21ED4"/>
    <w:rsid w:val="0D1A32D4"/>
    <w:rsid w:val="0D8458C4"/>
    <w:rsid w:val="0DE13155"/>
    <w:rsid w:val="0DF40C9C"/>
    <w:rsid w:val="0E0B7D94"/>
    <w:rsid w:val="0EAE1E76"/>
    <w:rsid w:val="0EB61AAE"/>
    <w:rsid w:val="0F0547E3"/>
    <w:rsid w:val="0F114F36"/>
    <w:rsid w:val="0FD43E0E"/>
    <w:rsid w:val="10294501"/>
    <w:rsid w:val="10572E1C"/>
    <w:rsid w:val="10C81F6C"/>
    <w:rsid w:val="10D47070"/>
    <w:rsid w:val="110A03BD"/>
    <w:rsid w:val="11845E93"/>
    <w:rsid w:val="124B075F"/>
    <w:rsid w:val="12627082"/>
    <w:rsid w:val="128B1B14"/>
    <w:rsid w:val="12962136"/>
    <w:rsid w:val="12A21BF2"/>
    <w:rsid w:val="12D20E80"/>
    <w:rsid w:val="12E806A4"/>
    <w:rsid w:val="131E7C21"/>
    <w:rsid w:val="13515E55"/>
    <w:rsid w:val="145204CA"/>
    <w:rsid w:val="14863420"/>
    <w:rsid w:val="14991C55"/>
    <w:rsid w:val="14F00C9E"/>
    <w:rsid w:val="15003A82"/>
    <w:rsid w:val="156F5159"/>
    <w:rsid w:val="15CA22E2"/>
    <w:rsid w:val="160457F4"/>
    <w:rsid w:val="16201F02"/>
    <w:rsid w:val="162437A1"/>
    <w:rsid w:val="1641578F"/>
    <w:rsid w:val="16465E0D"/>
    <w:rsid w:val="167E6E95"/>
    <w:rsid w:val="169A7F07"/>
    <w:rsid w:val="16CB6312"/>
    <w:rsid w:val="16DC22CD"/>
    <w:rsid w:val="16DE1BA1"/>
    <w:rsid w:val="16E66CA8"/>
    <w:rsid w:val="17312619"/>
    <w:rsid w:val="174E2D0E"/>
    <w:rsid w:val="17733FBD"/>
    <w:rsid w:val="177F3955"/>
    <w:rsid w:val="17836BED"/>
    <w:rsid w:val="17887D5F"/>
    <w:rsid w:val="17A032FB"/>
    <w:rsid w:val="17F673BF"/>
    <w:rsid w:val="18037F78"/>
    <w:rsid w:val="18455C50"/>
    <w:rsid w:val="18550589"/>
    <w:rsid w:val="18821CB9"/>
    <w:rsid w:val="18932E60"/>
    <w:rsid w:val="18C94AD3"/>
    <w:rsid w:val="18E35613"/>
    <w:rsid w:val="195B397D"/>
    <w:rsid w:val="19733DBA"/>
    <w:rsid w:val="19930995"/>
    <w:rsid w:val="19AC5F87"/>
    <w:rsid w:val="1AE71241"/>
    <w:rsid w:val="1B03607B"/>
    <w:rsid w:val="1B0F3650"/>
    <w:rsid w:val="1B122762"/>
    <w:rsid w:val="1B1E1106"/>
    <w:rsid w:val="1B632FBD"/>
    <w:rsid w:val="1B944F25"/>
    <w:rsid w:val="1BFB4FA4"/>
    <w:rsid w:val="1C6E4A39"/>
    <w:rsid w:val="1C7134B8"/>
    <w:rsid w:val="1D4C4073"/>
    <w:rsid w:val="1D7C713F"/>
    <w:rsid w:val="1D8E249F"/>
    <w:rsid w:val="1E90200F"/>
    <w:rsid w:val="1EE03162"/>
    <w:rsid w:val="1EEC32CA"/>
    <w:rsid w:val="1F127D82"/>
    <w:rsid w:val="1F680BA2"/>
    <w:rsid w:val="1F881244"/>
    <w:rsid w:val="1F974FE3"/>
    <w:rsid w:val="1FE87800"/>
    <w:rsid w:val="2000527E"/>
    <w:rsid w:val="2020147D"/>
    <w:rsid w:val="207B66B3"/>
    <w:rsid w:val="20DF30E6"/>
    <w:rsid w:val="21983295"/>
    <w:rsid w:val="21C27EA7"/>
    <w:rsid w:val="223E208E"/>
    <w:rsid w:val="22943A5C"/>
    <w:rsid w:val="22A30143"/>
    <w:rsid w:val="22E06CA1"/>
    <w:rsid w:val="22EE7610"/>
    <w:rsid w:val="23492A98"/>
    <w:rsid w:val="23BD161F"/>
    <w:rsid w:val="23C71C0F"/>
    <w:rsid w:val="23FB776A"/>
    <w:rsid w:val="24311EAA"/>
    <w:rsid w:val="244D480A"/>
    <w:rsid w:val="24F028B0"/>
    <w:rsid w:val="26822D5C"/>
    <w:rsid w:val="269F1ABF"/>
    <w:rsid w:val="26BB4C4A"/>
    <w:rsid w:val="26C8461C"/>
    <w:rsid w:val="26EF1BA9"/>
    <w:rsid w:val="270B2978"/>
    <w:rsid w:val="271635D9"/>
    <w:rsid w:val="272E1912"/>
    <w:rsid w:val="273B3040"/>
    <w:rsid w:val="2771680E"/>
    <w:rsid w:val="27D55ABE"/>
    <w:rsid w:val="284877C3"/>
    <w:rsid w:val="28697739"/>
    <w:rsid w:val="286D7229"/>
    <w:rsid w:val="28877790"/>
    <w:rsid w:val="28E65763"/>
    <w:rsid w:val="28EF40E2"/>
    <w:rsid w:val="29210E8E"/>
    <w:rsid w:val="292D173D"/>
    <w:rsid w:val="293E4722"/>
    <w:rsid w:val="29644BBA"/>
    <w:rsid w:val="29714AF7"/>
    <w:rsid w:val="298A5BB9"/>
    <w:rsid w:val="298C1931"/>
    <w:rsid w:val="29B9024C"/>
    <w:rsid w:val="2A072EC3"/>
    <w:rsid w:val="2A8B1BE9"/>
    <w:rsid w:val="2AA35184"/>
    <w:rsid w:val="2AC14A95"/>
    <w:rsid w:val="2AD57308"/>
    <w:rsid w:val="2B63274B"/>
    <w:rsid w:val="2C6C77F8"/>
    <w:rsid w:val="2C8219C0"/>
    <w:rsid w:val="2C8E77D0"/>
    <w:rsid w:val="2CEA3B3F"/>
    <w:rsid w:val="2DA90D03"/>
    <w:rsid w:val="2DDB69E3"/>
    <w:rsid w:val="2DF755CD"/>
    <w:rsid w:val="2E04418C"/>
    <w:rsid w:val="2E81758A"/>
    <w:rsid w:val="2EC51B62"/>
    <w:rsid w:val="2F713AA3"/>
    <w:rsid w:val="2F960D2A"/>
    <w:rsid w:val="2FBE65BC"/>
    <w:rsid w:val="2FC736C3"/>
    <w:rsid w:val="2FD47B8E"/>
    <w:rsid w:val="302C1780"/>
    <w:rsid w:val="304545E8"/>
    <w:rsid w:val="306E1D90"/>
    <w:rsid w:val="30AE03DF"/>
    <w:rsid w:val="30E016AE"/>
    <w:rsid w:val="30E968E3"/>
    <w:rsid w:val="31232B7B"/>
    <w:rsid w:val="31666F0B"/>
    <w:rsid w:val="31774C75"/>
    <w:rsid w:val="31E06CBE"/>
    <w:rsid w:val="32717916"/>
    <w:rsid w:val="327D275F"/>
    <w:rsid w:val="32A916BA"/>
    <w:rsid w:val="32DB0280"/>
    <w:rsid w:val="33071BBC"/>
    <w:rsid w:val="33244856"/>
    <w:rsid w:val="33386686"/>
    <w:rsid w:val="335E1849"/>
    <w:rsid w:val="336B25B7"/>
    <w:rsid w:val="339935C8"/>
    <w:rsid w:val="33F26834"/>
    <w:rsid w:val="340A6274"/>
    <w:rsid w:val="343D03F7"/>
    <w:rsid w:val="34763909"/>
    <w:rsid w:val="34844B97"/>
    <w:rsid w:val="349E076A"/>
    <w:rsid w:val="34F211E2"/>
    <w:rsid w:val="35447564"/>
    <w:rsid w:val="359A3628"/>
    <w:rsid w:val="35F25212"/>
    <w:rsid w:val="36050AA1"/>
    <w:rsid w:val="362F1FC2"/>
    <w:rsid w:val="36320E17"/>
    <w:rsid w:val="367B6FB5"/>
    <w:rsid w:val="368816D2"/>
    <w:rsid w:val="36BB3856"/>
    <w:rsid w:val="371D3482"/>
    <w:rsid w:val="37450DA6"/>
    <w:rsid w:val="37C36E66"/>
    <w:rsid w:val="37D44116"/>
    <w:rsid w:val="380B25BB"/>
    <w:rsid w:val="382B0567"/>
    <w:rsid w:val="38B35BDE"/>
    <w:rsid w:val="38C20ECB"/>
    <w:rsid w:val="38D429AD"/>
    <w:rsid w:val="391D752C"/>
    <w:rsid w:val="396B1563"/>
    <w:rsid w:val="397C3770"/>
    <w:rsid w:val="3982065B"/>
    <w:rsid w:val="398C3287"/>
    <w:rsid w:val="3A106389"/>
    <w:rsid w:val="3A69340F"/>
    <w:rsid w:val="3ACB7970"/>
    <w:rsid w:val="3B2714BA"/>
    <w:rsid w:val="3B567FF1"/>
    <w:rsid w:val="3BE339CA"/>
    <w:rsid w:val="3C140E43"/>
    <w:rsid w:val="3D1912D6"/>
    <w:rsid w:val="3D7B2612"/>
    <w:rsid w:val="3DBA03C3"/>
    <w:rsid w:val="3DF978D4"/>
    <w:rsid w:val="3E36709F"/>
    <w:rsid w:val="3E5A43B6"/>
    <w:rsid w:val="3E5C04C3"/>
    <w:rsid w:val="3EF47905"/>
    <w:rsid w:val="3F3A009B"/>
    <w:rsid w:val="3F4F7231"/>
    <w:rsid w:val="3FDA0DE9"/>
    <w:rsid w:val="4037660E"/>
    <w:rsid w:val="40424FB7"/>
    <w:rsid w:val="40BC26A4"/>
    <w:rsid w:val="40DE6ABE"/>
    <w:rsid w:val="41160006"/>
    <w:rsid w:val="413C5593"/>
    <w:rsid w:val="4199135A"/>
    <w:rsid w:val="41C5543F"/>
    <w:rsid w:val="41CF4659"/>
    <w:rsid w:val="42334BE8"/>
    <w:rsid w:val="423F17DF"/>
    <w:rsid w:val="427D244A"/>
    <w:rsid w:val="42BD0DA1"/>
    <w:rsid w:val="42CA37F1"/>
    <w:rsid w:val="42DE5A1A"/>
    <w:rsid w:val="431B5DA8"/>
    <w:rsid w:val="432804C5"/>
    <w:rsid w:val="4356153B"/>
    <w:rsid w:val="439E0787"/>
    <w:rsid w:val="43B12268"/>
    <w:rsid w:val="43BB6C43"/>
    <w:rsid w:val="43E30481"/>
    <w:rsid w:val="44054362"/>
    <w:rsid w:val="44C36F40"/>
    <w:rsid w:val="453620F8"/>
    <w:rsid w:val="457E261E"/>
    <w:rsid w:val="4627075F"/>
    <w:rsid w:val="46364CA7"/>
    <w:rsid w:val="469A5235"/>
    <w:rsid w:val="46F30DEA"/>
    <w:rsid w:val="4735776D"/>
    <w:rsid w:val="47B265AF"/>
    <w:rsid w:val="47D74267"/>
    <w:rsid w:val="48223734"/>
    <w:rsid w:val="486B7E8E"/>
    <w:rsid w:val="48C60564"/>
    <w:rsid w:val="48CC544E"/>
    <w:rsid w:val="48F12B17"/>
    <w:rsid w:val="494039A3"/>
    <w:rsid w:val="495F4514"/>
    <w:rsid w:val="49BB5BEF"/>
    <w:rsid w:val="49EC082B"/>
    <w:rsid w:val="4A4D25BF"/>
    <w:rsid w:val="4A7754C1"/>
    <w:rsid w:val="4A89713F"/>
    <w:rsid w:val="4AF06FC0"/>
    <w:rsid w:val="4AFF7D5D"/>
    <w:rsid w:val="4B1E0E0F"/>
    <w:rsid w:val="4B78366B"/>
    <w:rsid w:val="4B891F50"/>
    <w:rsid w:val="4BF47196"/>
    <w:rsid w:val="4C3D6D8F"/>
    <w:rsid w:val="4C6D6329"/>
    <w:rsid w:val="4CF662CC"/>
    <w:rsid w:val="4D74387C"/>
    <w:rsid w:val="4D875DE8"/>
    <w:rsid w:val="4DF74D1B"/>
    <w:rsid w:val="4E1517BE"/>
    <w:rsid w:val="4E1E674C"/>
    <w:rsid w:val="4E4B32B9"/>
    <w:rsid w:val="4EE47996"/>
    <w:rsid w:val="501778F7"/>
    <w:rsid w:val="5019541D"/>
    <w:rsid w:val="5030546B"/>
    <w:rsid w:val="503A5393"/>
    <w:rsid w:val="50406E4E"/>
    <w:rsid w:val="50680152"/>
    <w:rsid w:val="506C27EE"/>
    <w:rsid w:val="50970A38"/>
    <w:rsid w:val="50EE4AFC"/>
    <w:rsid w:val="51273B6A"/>
    <w:rsid w:val="514429C2"/>
    <w:rsid w:val="51AC22C1"/>
    <w:rsid w:val="51AC698D"/>
    <w:rsid w:val="51C92E73"/>
    <w:rsid w:val="51D830B6"/>
    <w:rsid w:val="52131FB2"/>
    <w:rsid w:val="521A722A"/>
    <w:rsid w:val="52262073"/>
    <w:rsid w:val="52397FF8"/>
    <w:rsid w:val="52B21B59"/>
    <w:rsid w:val="52D4387D"/>
    <w:rsid w:val="52E37F64"/>
    <w:rsid w:val="52F047D2"/>
    <w:rsid w:val="53770D9E"/>
    <w:rsid w:val="541F3522"/>
    <w:rsid w:val="54A0471B"/>
    <w:rsid w:val="54F975CB"/>
    <w:rsid w:val="55452810"/>
    <w:rsid w:val="557B1B57"/>
    <w:rsid w:val="55825812"/>
    <w:rsid w:val="55D10548"/>
    <w:rsid w:val="564C7BCE"/>
    <w:rsid w:val="56B063AF"/>
    <w:rsid w:val="57014E5D"/>
    <w:rsid w:val="571E77BD"/>
    <w:rsid w:val="575817A3"/>
    <w:rsid w:val="57D61E46"/>
    <w:rsid w:val="57D96C56"/>
    <w:rsid w:val="583628E4"/>
    <w:rsid w:val="584A0050"/>
    <w:rsid w:val="58580AAD"/>
    <w:rsid w:val="58613E05"/>
    <w:rsid w:val="58782EFD"/>
    <w:rsid w:val="58907103"/>
    <w:rsid w:val="58913FBE"/>
    <w:rsid w:val="59554FEC"/>
    <w:rsid w:val="59C604DE"/>
    <w:rsid w:val="5A054C64"/>
    <w:rsid w:val="5A554C9A"/>
    <w:rsid w:val="5A751DEA"/>
    <w:rsid w:val="5A7A2F5C"/>
    <w:rsid w:val="5A8552B0"/>
    <w:rsid w:val="5AA65A6E"/>
    <w:rsid w:val="5ADF1011"/>
    <w:rsid w:val="5AFF3461"/>
    <w:rsid w:val="5B10566E"/>
    <w:rsid w:val="5B264E92"/>
    <w:rsid w:val="5BC326E1"/>
    <w:rsid w:val="5BE251E0"/>
    <w:rsid w:val="5C070AB5"/>
    <w:rsid w:val="5C3B671B"/>
    <w:rsid w:val="5C5477DD"/>
    <w:rsid w:val="5CAA087B"/>
    <w:rsid w:val="5CE768A3"/>
    <w:rsid w:val="5D6F2B20"/>
    <w:rsid w:val="5EE1310A"/>
    <w:rsid w:val="5F074FDA"/>
    <w:rsid w:val="5F3F29C6"/>
    <w:rsid w:val="5F772160"/>
    <w:rsid w:val="5F7F7267"/>
    <w:rsid w:val="5F8B3515"/>
    <w:rsid w:val="600532C8"/>
    <w:rsid w:val="60114363"/>
    <w:rsid w:val="60341DFF"/>
    <w:rsid w:val="606049A2"/>
    <w:rsid w:val="607475D0"/>
    <w:rsid w:val="61167F4C"/>
    <w:rsid w:val="611F660B"/>
    <w:rsid w:val="61C05A85"/>
    <w:rsid w:val="62257C51"/>
    <w:rsid w:val="629578F8"/>
    <w:rsid w:val="62CF1A22"/>
    <w:rsid w:val="630F5EAC"/>
    <w:rsid w:val="6344708E"/>
    <w:rsid w:val="63A94DAB"/>
    <w:rsid w:val="63AE011A"/>
    <w:rsid w:val="63C94F54"/>
    <w:rsid w:val="641066DF"/>
    <w:rsid w:val="64306D81"/>
    <w:rsid w:val="649E1F3D"/>
    <w:rsid w:val="64EA5182"/>
    <w:rsid w:val="65457DE3"/>
    <w:rsid w:val="65555212"/>
    <w:rsid w:val="65DA51F7"/>
    <w:rsid w:val="65F0429F"/>
    <w:rsid w:val="66081D64"/>
    <w:rsid w:val="66495ED8"/>
    <w:rsid w:val="66682803"/>
    <w:rsid w:val="66CD2666"/>
    <w:rsid w:val="671E7365"/>
    <w:rsid w:val="67A2460C"/>
    <w:rsid w:val="67B6759E"/>
    <w:rsid w:val="680B32BF"/>
    <w:rsid w:val="684B3AB6"/>
    <w:rsid w:val="68550B65"/>
    <w:rsid w:val="68556DB7"/>
    <w:rsid w:val="69272501"/>
    <w:rsid w:val="693C6565"/>
    <w:rsid w:val="69586B5E"/>
    <w:rsid w:val="695C7769"/>
    <w:rsid w:val="697119CE"/>
    <w:rsid w:val="69886D18"/>
    <w:rsid w:val="69B875FD"/>
    <w:rsid w:val="6A102F95"/>
    <w:rsid w:val="6A3349C3"/>
    <w:rsid w:val="6ABB660F"/>
    <w:rsid w:val="6AED777A"/>
    <w:rsid w:val="6B171927"/>
    <w:rsid w:val="6B5E2426"/>
    <w:rsid w:val="6C3367E9"/>
    <w:rsid w:val="6C3F3F06"/>
    <w:rsid w:val="6C8934D3"/>
    <w:rsid w:val="6D6261FE"/>
    <w:rsid w:val="6DBA0EF3"/>
    <w:rsid w:val="6DC20A4A"/>
    <w:rsid w:val="6DC72505"/>
    <w:rsid w:val="6E1D0376"/>
    <w:rsid w:val="6EDD6557"/>
    <w:rsid w:val="6EE90259"/>
    <w:rsid w:val="6F1F1ECC"/>
    <w:rsid w:val="6F59718C"/>
    <w:rsid w:val="6FEE2B5C"/>
    <w:rsid w:val="6FEECA36"/>
    <w:rsid w:val="70AA6175"/>
    <w:rsid w:val="70CF54B0"/>
    <w:rsid w:val="716360A0"/>
    <w:rsid w:val="717C3606"/>
    <w:rsid w:val="71BA7C8A"/>
    <w:rsid w:val="72587BCF"/>
    <w:rsid w:val="7375655F"/>
    <w:rsid w:val="73FF9FF9"/>
    <w:rsid w:val="74081181"/>
    <w:rsid w:val="742F7A07"/>
    <w:rsid w:val="74510D7A"/>
    <w:rsid w:val="746D71C3"/>
    <w:rsid w:val="74736F42"/>
    <w:rsid w:val="74AE4669"/>
    <w:rsid w:val="750C4CA1"/>
    <w:rsid w:val="759E7FEF"/>
    <w:rsid w:val="75F75951"/>
    <w:rsid w:val="76732CE8"/>
    <w:rsid w:val="76774D15"/>
    <w:rsid w:val="76893CF8"/>
    <w:rsid w:val="76A30FE3"/>
    <w:rsid w:val="76B455F0"/>
    <w:rsid w:val="76BD07B0"/>
    <w:rsid w:val="76DC0816"/>
    <w:rsid w:val="76FD109E"/>
    <w:rsid w:val="773D1BBC"/>
    <w:rsid w:val="77813724"/>
    <w:rsid w:val="77B838F5"/>
    <w:rsid w:val="77D45F4A"/>
    <w:rsid w:val="77E46676"/>
    <w:rsid w:val="78034139"/>
    <w:rsid w:val="782A7918"/>
    <w:rsid w:val="787D038F"/>
    <w:rsid w:val="78A07E89"/>
    <w:rsid w:val="78EA00BA"/>
    <w:rsid w:val="792425B9"/>
    <w:rsid w:val="7A0128FA"/>
    <w:rsid w:val="7A22231A"/>
    <w:rsid w:val="7A41363F"/>
    <w:rsid w:val="7A9CE0AC"/>
    <w:rsid w:val="7ACA3634"/>
    <w:rsid w:val="7AE91EF6"/>
    <w:rsid w:val="7B3E71A5"/>
    <w:rsid w:val="7B560A24"/>
    <w:rsid w:val="7BCE4A5E"/>
    <w:rsid w:val="7BD227A0"/>
    <w:rsid w:val="7C2E19A1"/>
    <w:rsid w:val="7C9B74EC"/>
    <w:rsid w:val="7CBB3234"/>
    <w:rsid w:val="7D7F94F4"/>
    <w:rsid w:val="7DF11FE2"/>
    <w:rsid w:val="7DFD5ACF"/>
    <w:rsid w:val="7E121751"/>
    <w:rsid w:val="7E1D3A7B"/>
    <w:rsid w:val="7EED5B43"/>
    <w:rsid w:val="7EF70770"/>
    <w:rsid w:val="7EFC7B34"/>
    <w:rsid w:val="7F1A39AC"/>
    <w:rsid w:val="7F405C73"/>
    <w:rsid w:val="7F65392B"/>
    <w:rsid w:val="7FB30980"/>
    <w:rsid w:val="7FD36AE7"/>
    <w:rsid w:val="7FDBBDA0"/>
    <w:rsid w:val="7FEA3E31"/>
    <w:rsid w:val="7FEE3921"/>
    <w:rsid w:val="93AD0DB8"/>
    <w:rsid w:val="93BBCFE4"/>
    <w:rsid w:val="9DDB23A7"/>
    <w:rsid w:val="A6EFB8DB"/>
    <w:rsid w:val="BFFF5FA8"/>
    <w:rsid w:val="DB0FC705"/>
    <w:rsid w:val="EFDF1BDD"/>
    <w:rsid w:val="F9BD9E6E"/>
    <w:rsid w:val="FBDE88D8"/>
    <w:rsid w:val="FF93381A"/>
    <w:rsid w:val="FFDF9296"/>
    <w:rsid w:val="FFF72A2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ocked="1"/>
    <w:lsdException w:qFormat="1" w:unhideWhenUsed="0" w:uiPriority="99" w:semiHidden="0" w:name="heading 6" w:locked="1"/>
    <w:lsdException w:qFormat="1" w:unhideWhenUsed="0" w:uiPriority="99" w:semiHidden="0" w:name="heading 7" w:locked="1"/>
    <w:lsdException w:qFormat="1" w:unhideWhenUsed="0" w:uiPriority="99" w:semiHidden="0" w:name="heading 8" w:locked="1"/>
    <w:lsdException w:qFormat="1" w:unhideWhenUsed="0" w:uiPriority="99" w:semiHidden="0"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ocked="1"/>
    <w:lsdException w:qFormat="1" w:unhideWhenUsed="0" w:uiPriority="99" w:semiHidden="0"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qFormat="1" w:unhideWhenUsed="0" w:uiPriority="99" w:semiHidden="0" w:name="table of figures"/>
    <w:lsdException w:uiPriority="99" w:name="envelope address" w:locked="1"/>
    <w:lsdException w:uiPriority="99" w:name="envelope return" w:locked="1"/>
    <w:lsdException w:uiPriority="99" w:name="footnote reference" w:locked="1"/>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0" w:semiHidden="0" w:name="Body Text First Indent" w:locked="1"/>
    <w:lsdException w:qFormat="1" w:uiPriority="0" w:semiHidden="0" w:name="Body Text First Indent 2" w:locked="1"/>
    <w:lsdException w:uiPriority="99" w:name="Note Heading" w:locked="1"/>
    <w:lsdException w:qFormat="1" w:unhideWhenUsed="0" w:uiPriority="99" w:semiHidden="0" w:name="Body Text 2" w:locked="1"/>
    <w:lsdException w:uiPriority="99" w:name="Body Text 3" w:locked="1"/>
    <w:lsdException w:qFormat="1" w:unhideWhenUsed="0" w:uiPriority="99" w:semiHidden="0" w:name="Body Text Indent 2" w:locked="1"/>
    <w:lsdException w:qFormat="1" w:unhideWhenUsed="0" w:uiPriority="99" w:semiHidden="0"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ocked="1"/>
    <w:lsdException w:qFormat="1" w:unhideWhenUsed="0" w:uiPriority="99" w:semiHidden="0" w:name="Emphasis" w:locked="1"/>
    <w:lsdException w:qFormat="1" w:unhideWhenUsed="0" w:uiPriority="99" w:semiHidden="0" w:name="Document Map"/>
    <w:lsdException w:qFormat="1" w:unhideWhenUsed="0" w:uiPriority="0" w:semiHidden="0"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qFormat="1" w:unhideWhenUsed="0" w:uiPriority="99" w:name="Placeholder Text"/>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8"/>
      <w:szCs w:val="22"/>
      <w:lang w:val="en-US" w:eastAsia="zh-CN" w:bidi="ar-SA"/>
    </w:rPr>
  </w:style>
  <w:style w:type="paragraph" w:styleId="2">
    <w:name w:val="heading 1"/>
    <w:basedOn w:val="1"/>
    <w:next w:val="1"/>
    <w:link w:val="51"/>
    <w:qFormat/>
    <w:uiPriority w:val="99"/>
    <w:pPr>
      <w:keepNext/>
      <w:keepLines/>
      <w:ind w:firstLine="0" w:firstLineChars="0"/>
      <w:jc w:val="center"/>
      <w:outlineLvl w:val="0"/>
    </w:pPr>
    <w:rPr>
      <w:b/>
      <w:bCs/>
      <w:kern w:val="44"/>
      <w:sz w:val="32"/>
      <w:szCs w:val="44"/>
    </w:rPr>
  </w:style>
  <w:style w:type="paragraph" w:styleId="3">
    <w:name w:val="heading 2"/>
    <w:basedOn w:val="1"/>
    <w:next w:val="1"/>
    <w:link w:val="52"/>
    <w:qFormat/>
    <w:uiPriority w:val="99"/>
    <w:pPr>
      <w:keepNext/>
      <w:keepLines/>
      <w:ind w:firstLine="0" w:firstLineChars="0"/>
      <w:outlineLvl w:val="1"/>
    </w:pPr>
    <w:rPr>
      <w:b/>
      <w:bCs/>
      <w:sz w:val="28"/>
      <w:szCs w:val="32"/>
    </w:rPr>
  </w:style>
  <w:style w:type="paragraph" w:styleId="4">
    <w:name w:val="heading 3"/>
    <w:basedOn w:val="1"/>
    <w:next w:val="1"/>
    <w:link w:val="53"/>
    <w:qFormat/>
    <w:uiPriority w:val="99"/>
    <w:pPr>
      <w:keepNext/>
      <w:keepLines/>
      <w:ind w:firstLine="0" w:firstLineChars="0"/>
      <w:outlineLvl w:val="2"/>
    </w:pPr>
    <w:rPr>
      <w:b/>
      <w:bCs/>
      <w:szCs w:val="32"/>
    </w:rPr>
  </w:style>
  <w:style w:type="paragraph" w:styleId="5">
    <w:name w:val="heading 4"/>
    <w:basedOn w:val="1"/>
    <w:next w:val="1"/>
    <w:link w:val="54"/>
    <w:qFormat/>
    <w:uiPriority w:val="99"/>
    <w:pPr>
      <w:keepNext/>
      <w:keepLines/>
      <w:spacing w:line="360" w:lineRule="auto"/>
      <w:ind w:firstLine="0" w:firstLineChars="0"/>
      <w:outlineLvl w:val="3"/>
    </w:pPr>
    <w:rPr>
      <w:rFonts w:ascii="Times New Roman" w:hAnsi="Times New Roman"/>
      <w:b/>
      <w:bCs/>
      <w:szCs w:val="28"/>
    </w:rPr>
  </w:style>
  <w:style w:type="paragraph" w:styleId="6">
    <w:name w:val="heading 5"/>
    <w:basedOn w:val="1"/>
    <w:next w:val="1"/>
    <w:link w:val="104"/>
    <w:qFormat/>
    <w:locked/>
    <w:uiPriority w:val="99"/>
    <w:pPr>
      <w:widowControl/>
      <w:spacing w:before="200" w:line="276" w:lineRule="auto"/>
      <w:ind w:firstLine="0" w:firstLineChars="0"/>
      <w:jc w:val="left"/>
      <w:outlineLvl w:val="4"/>
    </w:pPr>
    <w:rPr>
      <w:rFonts w:ascii="Cambria" w:hAnsi="Cambria" w:cs="Cambria"/>
      <w:b/>
      <w:bCs/>
      <w:color w:val="7F7F7F"/>
      <w:kern w:val="0"/>
      <w:sz w:val="22"/>
    </w:rPr>
  </w:style>
  <w:style w:type="paragraph" w:styleId="7">
    <w:name w:val="heading 6"/>
    <w:basedOn w:val="1"/>
    <w:next w:val="1"/>
    <w:link w:val="105"/>
    <w:qFormat/>
    <w:locked/>
    <w:uiPriority w:val="99"/>
    <w:pPr>
      <w:widowControl/>
      <w:spacing w:line="271" w:lineRule="auto"/>
      <w:ind w:firstLine="0" w:firstLineChars="0"/>
      <w:jc w:val="left"/>
      <w:outlineLvl w:val="5"/>
    </w:pPr>
    <w:rPr>
      <w:rFonts w:ascii="Cambria" w:hAnsi="Cambria" w:cs="Cambria"/>
      <w:b/>
      <w:bCs/>
      <w:i/>
      <w:iCs/>
      <w:color w:val="7F7F7F"/>
      <w:kern w:val="0"/>
      <w:sz w:val="22"/>
    </w:rPr>
  </w:style>
  <w:style w:type="paragraph" w:styleId="8">
    <w:name w:val="heading 7"/>
    <w:basedOn w:val="1"/>
    <w:next w:val="1"/>
    <w:link w:val="106"/>
    <w:qFormat/>
    <w:locked/>
    <w:uiPriority w:val="99"/>
    <w:pPr>
      <w:widowControl/>
      <w:spacing w:line="276" w:lineRule="auto"/>
      <w:ind w:firstLine="0" w:firstLineChars="0"/>
      <w:jc w:val="left"/>
      <w:outlineLvl w:val="6"/>
    </w:pPr>
    <w:rPr>
      <w:rFonts w:ascii="Cambria" w:hAnsi="Cambria" w:cs="Cambria"/>
      <w:i/>
      <w:iCs/>
      <w:kern w:val="0"/>
      <w:sz w:val="22"/>
    </w:rPr>
  </w:style>
  <w:style w:type="paragraph" w:styleId="9">
    <w:name w:val="heading 8"/>
    <w:basedOn w:val="1"/>
    <w:next w:val="1"/>
    <w:link w:val="107"/>
    <w:qFormat/>
    <w:locked/>
    <w:uiPriority w:val="99"/>
    <w:pPr>
      <w:widowControl/>
      <w:spacing w:line="276" w:lineRule="auto"/>
      <w:ind w:firstLine="0" w:firstLineChars="0"/>
      <w:jc w:val="left"/>
      <w:outlineLvl w:val="7"/>
    </w:pPr>
    <w:rPr>
      <w:rFonts w:ascii="Cambria" w:hAnsi="Cambria" w:cs="Cambria"/>
      <w:kern w:val="0"/>
      <w:sz w:val="20"/>
      <w:szCs w:val="20"/>
    </w:rPr>
  </w:style>
  <w:style w:type="paragraph" w:styleId="10">
    <w:name w:val="heading 9"/>
    <w:basedOn w:val="1"/>
    <w:next w:val="1"/>
    <w:link w:val="108"/>
    <w:qFormat/>
    <w:locked/>
    <w:uiPriority w:val="99"/>
    <w:pPr>
      <w:widowControl/>
      <w:spacing w:line="276" w:lineRule="auto"/>
      <w:ind w:firstLine="0" w:firstLineChars="0"/>
      <w:jc w:val="left"/>
      <w:outlineLvl w:val="8"/>
    </w:pPr>
    <w:rPr>
      <w:rFonts w:ascii="Cambria" w:hAnsi="Cambria" w:cs="Cambria"/>
      <w:i/>
      <w:iCs/>
      <w:spacing w:val="5"/>
      <w:kern w:val="0"/>
      <w:sz w:val="20"/>
      <w:szCs w:val="20"/>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440"/>
      <w:jc w:val="left"/>
    </w:pPr>
    <w:rPr>
      <w:rFonts w:ascii="Calibri" w:hAnsi="Calibri"/>
      <w:sz w:val="18"/>
      <w:szCs w:val="18"/>
    </w:rPr>
  </w:style>
  <w:style w:type="paragraph" w:styleId="12">
    <w:name w:val="Normal Indent"/>
    <w:basedOn w:val="1"/>
    <w:link w:val="178"/>
    <w:qFormat/>
    <w:locked/>
    <w:uiPriority w:val="99"/>
    <w:pPr>
      <w:adjustRightInd w:val="0"/>
      <w:spacing w:line="312" w:lineRule="atLeast"/>
      <w:ind w:firstLine="420" w:firstLineChars="0"/>
      <w:textAlignment w:val="baseline"/>
    </w:pPr>
    <w:rPr>
      <w:kern w:val="0"/>
      <w:sz w:val="20"/>
      <w:szCs w:val="20"/>
    </w:rPr>
  </w:style>
  <w:style w:type="paragraph" w:styleId="13">
    <w:name w:val="caption"/>
    <w:basedOn w:val="1"/>
    <w:next w:val="1"/>
    <w:link w:val="121"/>
    <w:qFormat/>
    <w:uiPriority w:val="99"/>
    <w:rPr>
      <w:rFonts w:ascii="Cambria" w:hAnsi="Cambria" w:eastAsia="黑体"/>
      <w:sz w:val="20"/>
      <w:szCs w:val="20"/>
    </w:rPr>
  </w:style>
  <w:style w:type="paragraph" w:styleId="14">
    <w:name w:val="Document Map"/>
    <w:basedOn w:val="1"/>
    <w:link w:val="57"/>
    <w:qFormat/>
    <w:uiPriority w:val="99"/>
    <w:rPr>
      <w:rFonts w:ascii="宋体"/>
      <w:sz w:val="18"/>
      <w:szCs w:val="18"/>
    </w:rPr>
  </w:style>
  <w:style w:type="paragraph" w:styleId="15">
    <w:name w:val="annotation text"/>
    <w:basedOn w:val="1"/>
    <w:link w:val="55"/>
    <w:qFormat/>
    <w:uiPriority w:val="99"/>
    <w:pPr>
      <w:jc w:val="left"/>
    </w:pPr>
  </w:style>
  <w:style w:type="paragraph" w:styleId="16">
    <w:name w:val="Body Text"/>
    <w:basedOn w:val="1"/>
    <w:next w:val="1"/>
    <w:link w:val="85"/>
    <w:qFormat/>
    <w:uiPriority w:val="99"/>
    <w:pPr>
      <w:spacing w:line="240" w:lineRule="auto"/>
      <w:ind w:firstLine="0" w:firstLineChars="0"/>
    </w:pPr>
    <w:rPr>
      <w:sz w:val="28"/>
      <w:szCs w:val="24"/>
    </w:rPr>
  </w:style>
  <w:style w:type="paragraph" w:styleId="17">
    <w:name w:val="Body Text Indent"/>
    <w:basedOn w:val="1"/>
    <w:next w:val="1"/>
    <w:link w:val="109"/>
    <w:qFormat/>
    <w:locked/>
    <w:uiPriority w:val="99"/>
    <w:pPr>
      <w:widowControl/>
      <w:spacing w:after="200" w:line="276" w:lineRule="auto"/>
      <w:ind w:firstLine="705" w:firstLineChars="0"/>
      <w:jc w:val="left"/>
    </w:pPr>
    <w:rPr>
      <w:rFonts w:ascii="Calibri" w:hAnsi="Calibri" w:cs="Calibri"/>
      <w:kern w:val="0"/>
      <w:sz w:val="28"/>
      <w:szCs w:val="28"/>
      <w:lang w:val="en-GB"/>
    </w:rPr>
  </w:style>
  <w:style w:type="paragraph" w:styleId="18">
    <w:name w:val="toc 5"/>
    <w:basedOn w:val="1"/>
    <w:next w:val="1"/>
    <w:qFormat/>
    <w:uiPriority w:val="39"/>
    <w:pPr>
      <w:ind w:left="960"/>
      <w:jc w:val="left"/>
    </w:pPr>
    <w:rPr>
      <w:rFonts w:ascii="Calibri" w:hAnsi="Calibri"/>
      <w:sz w:val="18"/>
      <w:szCs w:val="18"/>
    </w:rPr>
  </w:style>
  <w:style w:type="paragraph" w:styleId="19">
    <w:name w:val="toc 3"/>
    <w:basedOn w:val="1"/>
    <w:next w:val="1"/>
    <w:qFormat/>
    <w:uiPriority w:val="39"/>
    <w:pPr>
      <w:ind w:left="480"/>
      <w:jc w:val="left"/>
    </w:pPr>
    <w:rPr>
      <w:rFonts w:ascii="Calibri" w:hAnsi="Calibri" w:eastAsia="宋体"/>
      <w:i/>
      <w:iCs/>
      <w:sz w:val="28"/>
      <w:szCs w:val="20"/>
    </w:rPr>
  </w:style>
  <w:style w:type="paragraph" w:styleId="20">
    <w:name w:val="Plain Text"/>
    <w:basedOn w:val="1"/>
    <w:next w:val="1"/>
    <w:qFormat/>
    <w:locked/>
    <w:uiPriority w:val="0"/>
    <w:rPr>
      <w:rFonts w:ascii="宋体" w:hAnsi="Courier New"/>
      <w:szCs w:val="20"/>
    </w:rPr>
  </w:style>
  <w:style w:type="paragraph" w:styleId="21">
    <w:name w:val="toc 8"/>
    <w:basedOn w:val="1"/>
    <w:next w:val="1"/>
    <w:qFormat/>
    <w:uiPriority w:val="39"/>
    <w:pPr>
      <w:ind w:left="1680"/>
      <w:jc w:val="left"/>
    </w:pPr>
    <w:rPr>
      <w:rFonts w:ascii="Calibri" w:hAnsi="Calibri"/>
      <w:sz w:val="18"/>
      <w:szCs w:val="18"/>
    </w:rPr>
  </w:style>
  <w:style w:type="paragraph" w:styleId="22">
    <w:name w:val="Date"/>
    <w:basedOn w:val="1"/>
    <w:next w:val="1"/>
    <w:link w:val="58"/>
    <w:qFormat/>
    <w:uiPriority w:val="99"/>
    <w:pPr>
      <w:ind w:left="100" w:leftChars="2500"/>
    </w:pPr>
  </w:style>
  <w:style w:type="paragraph" w:styleId="23">
    <w:name w:val="Body Text Indent 2"/>
    <w:basedOn w:val="1"/>
    <w:link w:val="110"/>
    <w:qFormat/>
    <w:locked/>
    <w:uiPriority w:val="99"/>
    <w:pPr>
      <w:spacing w:after="120" w:line="480" w:lineRule="auto"/>
      <w:ind w:left="420" w:leftChars="200"/>
    </w:pPr>
    <w:rPr>
      <w:sz w:val="28"/>
      <w:szCs w:val="28"/>
    </w:rPr>
  </w:style>
  <w:style w:type="paragraph" w:styleId="24">
    <w:name w:val="Balloon Text"/>
    <w:basedOn w:val="1"/>
    <w:link w:val="59"/>
    <w:qFormat/>
    <w:uiPriority w:val="99"/>
    <w:pPr>
      <w:spacing w:line="240" w:lineRule="auto"/>
    </w:pPr>
    <w:rPr>
      <w:sz w:val="18"/>
      <w:szCs w:val="18"/>
    </w:rPr>
  </w:style>
  <w:style w:type="paragraph" w:styleId="25">
    <w:name w:val="footer"/>
    <w:basedOn w:val="1"/>
    <w:link w:val="60"/>
    <w:qFormat/>
    <w:uiPriority w:val="99"/>
    <w:pPr>
      <w:tabs>
        <w:tab w:val="center" w:pos="4153"/>
        <w:tab w:val="right" w:pos="8306"/>
      </w:tabs>
      <w:snapToGrid w:val="0"/>
      <w:spacing w:line="240" w:lineRule="auto"/>
      <w:jc w:val="left"/>
    </w:pPr>
    <w:rPr>
      <w:sz w:val="18"/>
      <w:szCs w:val="18"/>
    </w:rPr>
  </w:style>
  <w:style w:type="paragraph" w:styleId="26">
    <w:name w:val="header"/>
    <w:basedOn w:val="1"/>
    <w:link w:val="61"/>
    <w:qFormat/>
    <w:uiPriority w:val="99"/>
    <w:pPr>
      <w:pBdr>
        <w:bottom w:val="single" w:color="auto" w:sz="6" w:space="1"/>
      </w:pBdr>
      <w:tabs>
        <w:tab w:val="center" w:pos="4153"/>
        <w:tab w:val="right" w:pos="8306"/>
      </w:tabs>
      <w:snapToGrid w:val="0"/>
      <w:spacing w:line="240" w:lineRule="auto"/>
      <w:ind w:firstLine="360"/>
      <w:jc w:val="center"/>
    </w:pPr>
    <w:rPr>
      <w:sz w:val="18"/>
      <w:szCs w:val="18"/>
    </w:rPr>
  </w:style>
  <w:style w:type="paragraph" w:styleId="27">
    <w:name w:val="toc 1"/>
    <w:basedOn w:val="1"/>
    <w:next w:val="1"/>
    <w:qFormat/>
    <w:uiPriority w:val="39"/>
    <w:pPr>
      <w:jc w:val="left"/>
    </w:pPr>
    <w:rPr>
      <w:rFonts w:ascii="Calibri" w:hAnsi="Calibri" w:eastAsia="宋体"/>
      <w:b/>
      <w:bCs/>
      <w:caps/>
      <w:sz w:val="28"/>
      <w:szCs w:val="20"/>
    </w:rPr>
  </w:style>
  <w:style w:type="paragraph" w:styleId="28">
    <w:name w:val="toc 4"/>
    <w:basedOn w:val="1"/>
    <w:next w:val="1"/>
    <w:qFormat/>
    <w:uiPriority w:val="39"/>
    <w:pPr>
      <w:ind w:left="720"/>
      <w:jc w:val="left"/>
    </w:pPr>
    <w:rPr>
      <w:rFonts w:ascii="Calibri" w:hAnsi="Calibri"/>
      <w:sz w:val="18"/>
      <w:szCs w:val="18"/>
    </w:rPr>
  </w:style>
  <w:style w:type="paragraph" w:styleId="29">
    <w:name w:val="Subtitle"/>
    <w:basedOn w:val="13"/>
    <w:next w:val="1"/>
    <w:link w:val="69"/>
    <w:qFormat/>
    <w:uiPriority w:val="99"/>
    <w:pPr>
      <w:spacing w:beforeLines="50" w:line="240" w:lineRule="auto"/>
      <w:ind w:firstLine="420"/>
      <w:jc w:val="center"/>
    </w:pPr>
    <w:rPr>
      <w:rFonts w:ascii="Times New Roman" w:hAnsi="Times New Roman"/>
      <w:sz w:val="21"/>
      <w:szCs w:val="21"/>
    </w:rPr>
  </w:style>
  <w:style w:type="paragraph" w:styleId="30">
    <w:name w:val="footnote text"/>
    <w:basedOn w:val="1"/>
    <w:link w:val="111"/>
    <w:qFormat/>
    <w:locked/>
    <w:uiPriority w:val="99"/>
    <w:pPr>
      <w:widowControl/>
      <w:spacing w:line="240" w:lineRule="auto"/>
      <w:ind w:firstLine="0" w:firstLineChars="0"/>
      <w:jc w:val="left"/>
    </w:pPr>
    <w:rPr>
      <w:rFonts w:ascii="Calibri" w:hAnsi="Calibri" w:cs="Calibri"/>
      <w:kern w:val="0"/>
      <w:sz w:val="20"/>
      <w:szCs w:val="20"/>
    </w:rPr>
  </w:style>
  <w:style w:type="paragraph" w:styleId="31">
    <w:name w:val="toc 6"/>
    <w:basedOn w:val="1"/>
    <w:next w:val="1"/>
    <w:qFormat/>
    <w:uiPriority w:val="39"/>
    <w:pPr>
      <w:ind w:left="1200"/>
      <w:jc w:val="left"/>
    </w:pPr>
    <w:rPr>
      <w:rFonts w:ascii="Calibri" w:hAnsi="Calibri"/>
      <w:sz w:val="18"/>
      <w:szCs w:val="18"/>
    </w:rPr>
  </w:style>
  <w:style w:type="paragraph" w:styleId="32">
    <w:name w:val="Body Text Indent 3"/>
    <w:basedOn w:val="1"/>
    <w:link w:val="112"/>
    <w:qFormat/>
    <w:locked/>
    <w:uiPriority w:val="99"/>
    <w:pPr>
      <w:widowControl/>
      <w:spacing w:after="200" w:line="560" w:lineRule="exact"/>
      <w:ind w:firstLine="560"/>
      <w:jc w:val="left"/>
    </w:pPr>
    <w:rPr>
      <w:rFonts w:ascii="仿宋_GB2312" w:hAnsi="Calibri" w:cs="仿宋_GB2312"/>
      <w:kern w:val="0"/>
      <w:sz w:val="28"/>
      <w:szCs w:val="28"/>
    </w:rPr>
  </w:style>
  <w:style w:type="paragraph" w:styleId="33">
    <w:name w:val="table of figures"/>
    <w:basedOn w:val="1"/>
    <w:next w:val="1"/>
    <w:qFormat/>
    <w:uiPriority w:val="99"/>
    <w:pPr>
      <w:ind w:left="200" w:leftChars="200" w:hanging="200" w:hangingChars="200"/>
    </w:pPr>
  </w:style>
  <w:style w:type="paragraph" w:styleId="34">
    <w:name w:val="toc 2"/>
    <w:basedOn w:val="1"/>
    <w:next w:val="1"/>
    <w:link w:val="189"/>
    <w:qFormat/>
    <w:uiPriority w:val="39"/>
    <w:pPr>
      <w:ind w:left="238"/>
      <w:jc w:val="left"/>
    </w:pPr>
    <w:rPr>
      <w:rFonts w:ascii="Calibri" w:hAnsi="Calibri" w:eastAsia="宋体"/>
      <w:smallCaps/>
      <w:sz w:val="28"/>
      <w:szCs w:val="20"/>
    </w:rPr>
  </w:style>
  <w:style w:type="paragraph" w:styleId="35">
    <w:name w:val="toc 9"/>
    <w:basedOn w:val="1"/>
    <w:next w:val="1"/>
    <w:qFormat/>
    <w:uiPriority w:val="39"/>
    <w:pPr>
      <w:ind w:left="1920"/>
      <w:jc w:val="left"/>
    </w:pPr>
    <w:rPr>
      <w:rFonts w:ascii="Calibri" w:hAnsi="Calibri"/>
      <w:sz w:val="18"/>
      <w:szCs w:val="18"/>
    </w:rPr>
  </w:style>
  <w:style w:type="paragraph" w:styleId="36">
    <w:name w:val="Body Text 2"/>
    <w:basedOn w:val="1"/>
    <w:link w:val="113"/>
    <w:qFormat/>
    <w:locked/>
    <w:uiPriority w:val="99"/>
    <w:pPr>
      <w:widowControl/>
      <w:spacing w:after="200" w:line="276" w:lineRule="auto"/>
      <w:ind w:firstLine="0" w:firstLineChars="0"/>
      <w:jc w:val="left"/>
    </w:pPr>
    <w:rPr>
      <w:rFonts w:ascii="宋体" w:hAnsi="宋体" w:cs="宋体"/>
      <w:kern w:val="0"/>
      <w:sz w:val="28"/>
      <w:szCs w:val="28"/>
    </w:rPr>
  </w:style>
  <w:style w:type="paragraph" w:styleId="37">
    <w:name w:val="Normal (Web)"/>
    <w:basedOn w:val="1"/>
    <w:link w:val="182"/>
    <w:qFormat/>
    <w:uiPriority w:val="99"/>
    <w:pPr>
      <w:widowControl/>
      <w:spacing w:before="100" w:beforeAutospacing="1" w:after="100" w:afterAutospacing="1"/>
      <w:jc w:val="left"/>
    </w:pPr>
    <w:rPr>
      <w:rFonts w:ascii="宋体" w:hAnsi="宋体" w:cs="宋体"/>
      <w:kern w:val="0"/>
      <w:szCs w:val="24"/>
    </w:rPr>
  </w:style>
  <w:style w:type="paragraph" w:styleId="38">
    <w:name w:val="Title"/>
    <w:basedOn w:val="13"/>
    <w:next w:val="1"/>
    <w:link w:val="68"/>
    <w:qFormat/>
    <w:uiPriority w:val="99"/>
    <w:pPr>
      <w:spacing w:afterLines="50" w:line="240" w:lineRule="auto"/>
      <w:jc w:val="center"/>
    </w:pPr>
    <w:rPr>
      <w:rFonts w:ascii="Times New Roman" w:hAnsi="Times New Roman"/>
      <w:sz w:val="21"/>
      <w:szCs w:val="21"/>
    </w:rPr>
  </w:style>
  <w:style w:type="paragraph" w:styleId="39">
    <w:name w:val="annotation subject"/>
    <w:basedOn w:val="15"/>
    <w:next w:val="15"/>
    <w:link w:val="56"/>
    <w:qFormat/>
    <w:uiPriority w:val="99"/>
    <w:rPr>
      <w:b/>
      <w:bCs/>
    </w:rPr>
  </w:style>
  <w:style w:type="paragraph" w:styleId="40">
    <w:name w:val="Body Text First Indent"/>
    <w:basedOn w:val="16"/>
    <w:qFormat/>
    <w:locked/>
    <w:uiPriority w:val="0"/>
    <w:pPr>
      <w:widowControl/>
      <w:adjustRightInd w:val="0"/>
      <w:snapToGrid w:val="0"/>
      <w:spacing w:before="100" w:beforeAutospacing="1"/>
      <w:ind w:firstLine="420" w:firstLineChars="100"/>
    </w:pPr>
    <w:rPr>
      <w:rFonts w:ascii="Tahoma" w:hAnsi="Tahoma" w:cs="Tahoma"/>
      <w:sz w:val="22"/>
    </w:rPr>
  </w:style>
  <w:style w:type="paragraph" w:styleId="41">
    <w:name w:val="Body Text First Indent 2"/>
    <w:basedOn w:val="17"/>
    <w:next w:val="40"/>
    <w:unhideWhenUsed/>
    <w:qFormat/>
    <w:locked/>
    <w:uiPriority w:val="0"/>
    <w:pPr>
      <w:ind w:firstLine="420" w:firstLineChars="200"/>
    </w:pPr>
  </w:style>
  <w:style w:type="table" w:styleId="43">
    <w:name w:val="Table Grid"/>
    <w:basedOn w:val="42"/>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5">
    <w:name w:val="Strong"/>
    <w:qFormat/>
    <w:locked/>
    <w:uiPriority w:val="99"/>
    <w:rPr>
      <w:b/>
      <w:bCs/>
    </w:rPr>
  </w:style>
  <w:style w:type="character" w:styleId="46">
    <w:name w:val="page number"/>
    <w:qFormat/>
    <w:uiPriority w:val="99"/>
    <w:rPr>
      <w:rFonts w:cs="Times New Roman"/>
    </w:rPr>
  </w:style>
  <w:style w:type="character" w:styleId="47">
    <w:name w:val="FollowedHyperlink"/>
    <w:qFormat/>
    <w:uiPriority w:val="99"/>
    <w:rPr>
      <w:rFonts w:cs="Times New Roman"/>
      <w:color w:val="800080"/>
      <w:u w:val="single"/>
    </w:rPr>
  </w:style>
  <w:style w:type="character" w:styleId="48">
    <w:name w:val="Emphasis"/>
    <w:qFormat/>
    <w:locked/>
    <w:uiPriority w:val="99"/>
    <w:rPr>
      <w:i/>
      <w:iCs/>
    </w:rPr>
  </w:style>
  <w:style w:type="character" w:styleId="49">
    <w:name w:val="Hyperlink"/>
    <w:qFormat/>
    <w:uiPriority w:val="99"/>
    <w:rPr>
      <w:rFonts w:cs="Times New Roman"/>
      <w:color w:val="0000FF"/>
      <w:u w:val="single"/>
    </w:rPr>
  </w:style>
  <w:style w:type="character" w:styleId="50">
    <w:name w:val="annotation reference"/>
    <w:qFormat/>
    <w:uiPriority w:val="99"/>
    <w:rPr>
      <w:rFonts w:cs="Times New Roman"/>
      <w:sz w:val="21"/>
      <w:szCs w:val="21"/>
    </w:rPr>
  </w:style>
  <w:style w:type="character" w:customStyle="1" w:styleId="51">
    <w:name w:val="标题 1 Char"/>
    <w:link w:val="2"/>
    <w:qFormat/>
    <w:locked/>
    <w:uiPriority w:val="99"/>
    <w:rPr>
      <w:rFonts w:ascii="Times New Roman" w:hAnsi="Times New Roman" w:cs="Times New Roman"/>
      <w:b/>
      <w:bCs/>
      <w:kern w:val="44"/>
      <w:sz w:val="44"/>
      <w:szCs w:val="44"/>
    </w:rPr>
  </w:style>
  <w:style w:type="character" w:customStyle="1" w:styleId="52">
    <w:name w:val="标题 2 Char"/>
    <w:link w:val="3"/>
    <w:qFormat/>
    <w:locked/>
    <w:uiPriority w:val="99"/>
    <w:rPr>
      <w:rFonts w:ascii="Times New Roman" w:hAnsi="Times New Roman" w:eastAsia="宋体" w:cs="Times New Roman"/>
      <w:b/>
      <w:bCs/>
      <w:kern w:val="2"/>
      <w:sz w:val="32"/>
      <w:szCs w:val="32"/>
    </w:rPr>
  </w:style>
  <w:style w:type="character" w:customStyle="1" w:styleId="53">
    <w:name w:val="标题 3 Char"/>
    <w:link w:val="4"/>
    <w:qFormat/>
    <w:locked/>
    <w:uiPriority w:val="99"/>
    <w:rPr>
      <w:rFonts w:ascii="Times New Roman" w:hAnsi="Times New Roman" w:cs="Times New Roman"/>
      <w:b/>
      <w:bCs/>
      <w:kern w:val="2"/>
      <w:sz w:val="32"/>
      <w:szCs w:val="32"/>
    </w:rPr>
  </w:style>
  <w:style w:type="character" w:customStyle="1" w:styleId="54">
    <w:name w:val="标题 4 Char"/>
    <w:link w:val="5"/>
    <w:qFormat/>
    <w:locked/>
    <w:uiPriority w:val="99"/>
    <w:rPr>
      <w:rFonts w:ascii="Times New Roman" w:hAnsi="Times New Roman" w:eastAsia="宋体" w:cs="Times New Roman"/>
      <w:b/>
      <w:bCs/>
      <w:kern w:val="2"/>
      <w:sz w:val="28"/>
      <w:szCs w:val="28"/>
    </w:rPr>
  </w:style>
  <w:style w:type="character" w:customStyle="1" w:styleId="55">
    <w:name w:val="批注文字 Char"/>
    <w:link w:val="15"/>
    <w:qFormat/>
    <w:locked/>
    <w:uiPriority w:val="99"/>
    <w:rPr>
      <w:rFonts w:ascii="Times New Roman" w:hAnsi="Times New Roman" w:cs="Times New Roman"/>
      <w:kern w:val="2"/>
      <w:sz w:val="22"/>
      <w:szCs w:val="22"/>
    </w:rPr>
  </w:style>
  <w:style w:type="character" w:customStyle="1" w:styleId="56">
    <w:name w:val="批注主题 Char"/>
    <w:link w:val="39"/>
    <w:qFormat/>
    <w:locked/>
    <w:uiPriority w:val="99"/>
    <w:rPr>
      <w:rFonts w:ascii="Times New Roman" w:hAnsi="Times New Roman" w:cs="Times New Roman"/>
      <w:b/>
      <w:bCs/>
      <w:kern w:val="2"/>
      <w:sz w:val="22"/>
      <w:szCs w:val="22"/>
    </w:rPr>
  </w:style>
  <w:style w:type="character" w:customStyle="1" w:styleId="57">
    <w:name w:val="文档结构图 Char"/>
    <w:link w:val="14"/>
    <w:qFormat/>
    <w:locked/>
    <w:uiPriority w:val="99"/>
    <w:rPr>
      <w:rFonts w:ascii="宋体" w:hAnsi="Times New Roman" w:eastAsia="宋体" w:cs="Times New Roman"/>
      <w:sz w:val="18"/>
      <w:szCs w:val="18"/>
    </w:rPr>
  </w:style>
  <w:style w:type="character" w:customStyle="1" w:styleId="58">
    <w:name w:val="日期 Char"/>
    <w:link w:val="22"/>
    <w:qFormat/>
    <w:locked/>
    <w:uiPriority w:val="99"/>
    <w:rPr>
      <w:rFonts w:ascii="Times New Roman" w:hAnsi="Times New Roman" w:cs="Times New Roman"/>
      <w:kern w:val="2"/>
      <w:sz w:val="22"/>
      <w:szCs w:val="22"/>
    </w:rPr>
  </w:style>
  <w:style w:type="character" w:customStyle="1" w:styleId="59">
    <w:name w:val="批注框文本 Char"/>
    <w:link w:val="24"/>
    <w:qFormat/>
    <w:locked/>
    <w:uiPriority w:val="99"/>
    <w:rPr>
      <w:rFonts w:ascii="Times New Roman" w:hAnsi="Times New Roman" w:cs="Times New Roman"/>
      <w:sz w:val="18"/>
      <w:szCs w:val="18"/>
    </w:rPr>
  </w:style>
  <w:style w:type="character" w:customStyle="1" w:styleId="60">
    <w:name w:val="页脚 Char"/>
    <w:link w:val="25"/>
    <w:qFormat/>
    <w:locked/>
    <w:uiPriority w:val="99"/>
    <w:rPr>
      <w:rFonts w:ascii="Times New Roman" w:hAnsi="Times New Roman" w:cs="Times New Roman"/>
      <w:sz w:val="18"/>
      <w:szCs w:val="18"/>
    </w:rPr>
  </w:style>
  <w:style w:type="character" w:customStyle="1" w:styleId="61">
    <w:name w:val="页眉 Char"/>
    <w:link w:val="26"/>
    <w:qFormat/>
    <w:locked/>
    <w:uiPriority w:val="99"/>
    <w:rPr>
      <w:rFonts w:ascii="Times New Roman" w:hAnsi="Times New Roman" w:cs="Times New Roman"/>
      <w:kern w:val="2"/>
      <w:sz w:val="18"/>
      <w:szCs w:val="18"/>
    </w:rPr>
  </w:style>
  <w:style w:type="paragraph" w:customStyle="1" w:styleId="62">
    <w:name w:val="列出段落1"/>
    <w:basedOn w:val="1"/>
    <w:qFormat/>
    <w:uiPriority w:val="99"/>
    <w:pPr>
      <w:ind w:firstLine="420"/>
    </w:pPr>
  </w:style>
  <w:style w:type="paragraph" w:styleId="63">
    <w:name w:val="List Paragraph"/>
    <w:basedOn w:val="1"/>
    <w:qFormat/>
    <w:uiPriority w:val="99"/>
    <w:pPr>
      <w:ind w:firstLine="420"/>
    </w:pPr>
  </w:style>
  <w:style w:type="paragraph" w:customStyle="1" w:styleId="64">
    <w:name w:val="TOC 标题1"/>
    <w:basedOn w:val="2"/>
    <w:next w:val="1"/>
    <w:qFormat/>
    <w:uiPriority w:val="99"/>
    <w:pPr>
      <w:widowControl/>
      <w:spacing w:before="480" w:line="276" w:lineRule="auto"/>
      <w:jc w:val="left"/>
      <w:outlineLvl w:val="9"/>
    </w:pPr>
    <w:rPr>
      <w:rFonts w:ascii="Cambria" w:hAnsi="Cambria"/>
      <w:color w:val="365F91"/>
      <w:kern w:val="0"/>
      <w:sz w:val="28"/>
      <w:szCs w:val="28"/>
    </w:rPr>
  </w:style>
  <w:style w:type="paragraph" w:customStyle="1" w:styleId="65">
    <w:name w:val="修订1"/>
    <w:hidden/>
    <w:semiHidden/>
    <w:qFormat/>
    <w:uiPriority w:val="99"/>
    <w:rPr>
      <w:rFonts w:ascii="Times New Roman" w:hAnsi="Times New Roman" w:eastAsia="宋体" w:cs="Times New Roman"/>
      <w:kern w:val="2"/>
      <w:sz w:val="24"/>
      <w:szCs w:val="22"/>
      <w:lang w:val="en-US" w:eastAsia="zh-CN" w:bidi="ar-SA"/>
    </w:rPr>
  </w:style>
  <w:style w:type="paragraph" w:customStyle="1" w:styleId="66">
    <w:name w:val="p0"/>
    <w:basedOn w:val="1"/>
    <w:qFormat/>
    <w:uiPriority w:val="99"/>
    <w:pPr>
      <w:widowControl/>
      <w:spacing w:line="240" w:lineRule="auto"/>
      <w:ind w:firstLine="0" w:firstLineChars="0"/>
    </w:pPr>
    <w:rPr>
      <w:kern w:val="0"/>
      <w:sz w:val="21"/>
      <w:szCs w:val="21"/>
    </w:rPr>
  </w:style>
  <w:style w:type="paragraph" w:customStyle="1" w:styleId="67">
    <w:name w:val="修订2"/>
    <w:hidden/>
    <w:semiHidden/>
    <w:qFormat/>
    <w:uiPriority w:val="99"/>
    <w:rPr>
      <w:rFonts w:ascii="Times New Roman" w:hAnsi="Times New Roman" w:eastAsia="宋体" w:cs="Times New Roman"/>
      <w:kern w:val="2"/>
      <w:sz w:val="24"/>
      <w:szCs w:val="22"/>
      <w:lang w:val="en-US" w:eastAsia="zh-CN" w:bidi="ar-SA"/>
    </w:rPr>
  </w:style>
  <w:style w:type="character" w:customStyle="1" w:styleId="68">
    <w:name w:val="标题 Char"/>
    <w:link w:val="38"/>
    <w:qFormat/>
    <w:locked/>
    <w:uiPriority w:val="99"/>
    <w:rPr>
      <w:rFonts w:ascii="Times New Roman" w:hAnsi="Times New Roman" w:eastAsia="黑体" w:cs="Times New Roman"/>
      <w:kern w:val="2"/>
      <w:sz w:val="21"/>
      <w:szCs w:val="21"/>
    </w:rPr>
  </w:style>
  <w:style w:type="character" w:customStyle="1" w:styleId="69">
    <w:name w:val="副标题 Char"/>
    <w:link w:val="29"/>
    <w:qFormat/>
    <w:locked/>
    <w:uiPriority w:val="99"/>
    <w:rPr>
      <w:rFonts w:ascii="Times New Roman" w:hAnsi="Times New Roman" w:eastAsia="黑体" w:cs="Times New Roman"/>
      <w:kern w:val="2"/>
      <w:sz w:val="21"/>
      <w:szCs w:val="21"/>
    </w:rPr>
  </w:style>
  <w:style w:type="character" w:styleId="70">
    <w:name w:val="Placeholder Text"/>
    <w:semiHidden/>
    <w:qFormat/>
    <w:uiPriority w:val="99"/>
    <w:rPr>
      <w:rFonts w:cs="Times New Roman"/>
      <w:color w:val="808080"/>
    </w:rPr>
  </w:style>
  <w:style w:type="character" w:customStyle="1" w:styleId="71">
    <w:name w:val="表 内容 Char Char"/>
    <w:link w:val="72"/>
    <w:qFormat/>
    <w:locked/>
    <w:uiPriority w:val="99"/>
    <w:rPr>
      <w:sz w:val="21"/>
    </w:rPr>
  </w:style>
  <w:style w:type="paragraph" w:customStyle="1" w:styleId="72">
    <w:name w:val="表 内容"/>
    <w:basedOn w:val="1"/>
    <w:link w:val="71"/>
    <w:qFormat/>
    <w:uiPriority w:val="99"/>
    <w:pPr>
      <w:spacing w:beforeLines="10" w:afterLines="10" w:line="240" w:lineRule="auto"/>
      <w:ind w:firstLine="0" w:firstLineChars="0"/>
      <w:jc w:val="center"/>
    </w:pPr>
    <w:rPr>
      <w:rFonts w:ascii="Calibri" w:hAnsi="Calibri"/>
      <w:kern w:val="0"/>
      <w:sz w:val="21"/>
      <w:szCs w:val="20"/>
    </w:rPr>
  </w:style>
  <w:style w:type="character" w:customStyle="1" w:styleId="73">
    <w:name w:val="访问过的超链接1"/>
    <w:qFormat/>
    <w:uiPriority w:val="99"/>
    <w:rPr>
      <w:rFonts w:cs="Times New Roman"/>
      <w:color w:val="954F72"/>
      <w:u w:val="single"/>
    </w:rPr>
  </w:style>
  <w:style w:type="table" w:customStyle="1" w:styleId="74">
    <w:name w:val="网格型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批注文字1"/>
    <w:basedOn w:val="1"/>
    <w:next w:val="15"/>
    <w:link w:val="76"/>
    <w:qFormat/>
    <w:uiPriority w:val="99"/>
    <w:pPr>
      <w:spacing w:line="240" w:lineRule="auto"/>
      <w:ind w:firstLine="0" w:firstLineChars="0"/>
      <w:jc w:val="left"/>
    </w:pPr>
    <w:rPr>
      <w:rFonts w:ascii="等线" w:hAnsi="等线"/>
      <w:sz w:val="21"/>
    </w:rPr>
  </w:style>
  <w:style w:type="character" w:customStyle="1" w:styleId="76">
    <w:name w:val="批注文字 字符"/>
    <w:link w:val="75"/>
    <w:qFormat/>
    <w:locked/>
    <w:uiPriority w:val="99"/>
    <w:rPr>
      <w:rFonts w:ascii="等线" w:eastAsia="等线" w:cs="Times New Roman"/>
      <w:kern w:val="2"/>
      <w:sz w:val="22"/>
      <w:szCs w:val="22"/>
    </w:rPr>
  </w:style>
  <w:style w:type="paragraph" w:customStyle="1" w:styleId="77">
    <w:name w:val="普通(网站)1"/>
    <w:basedOn w:val="1"/>
    <w:qFormat/>
    <w:uiPriority w:val="99"/>
    <w:pPr>
      <w:widowControl/>
      <w:spacing w:before="100" w:beforeAutospacing="1" w:after="100" w:afterAutospacing="1" w:line="240" w:lineRule="auto"/>
      <w:ind w:firstLine="0" w:firstLineChars="0"/>
      <w:jc w:val="left"/>
    </w:pPr>
    <w:rPr>
      <w:rFonts w:ascii="宋体" w:hAnsi="宋体" w:cs="宋体"/>
      <w:kern w:val="0"/>
      <w:szCs w:val="24"/>
    </w:rPr>
  </w:style>
  <w:style w:type="character" w:customStyle="1" w:styleId="78">
    <w:name w:val="dash6b63_6587__char1"/>
    <w:qFormat/>
    <w:uiPriority w:val="99"/>
    <w:rPr>
      <w:rFonts w:ascii="Times New Roman" w:hAnsi="Times New Roman" w:cs="Times New Roman"/>
      <w:sz w:val="32"/>
      <w:szCs w:val="32"/>
    </w:rPr>
  </w:style>
  <w:style w:type="paragraph" w:customStyle="1" w:styleId="79">
    <w:name w:val="dash6b63_6587"/>
    <w:basedOn w:val="1"/>
    <w:qFormat/>
    <w:uiPriority w:val="99"/>
    <w:pPr>
      <w:widowControl/>
      <w:spacing w:line="240" w:lineRule="auto"/>
      <w:ind w:firstLine="0" w:firstLineChars="0"/>
    </w:pPr>
    <w:rPr>
      <w:kern w:val="0"/>
      <w:sz w:val="32"/>
      <w:szCs w:val="32"/>
    </w:rPr>
  </w:style>
  <w:style w:type="paragraph" w:customStyle="1" w:styleId="80">
    <w:name w:val="正文 New"/>
    <w:qFormat/>
    <w:uiPriority w:val="99"/>
    <w:pPr>
      <w:widowControl w:val="0"/>
      <w:jc w:val="both"/>
    </w:pPr>
    <w:rPr>
      <w:rFonts w:ascii="Times New Roman" w:hAnsi="Times New Roman" w:eastAsia="仿宋_GB2312" w:cs="Times New Roman"/>
      <w:kern w:val="2"/>
      <w:sz w:val="32"/>
      <w:szCs w:val="24"/>
      <w:lang w:val="en-US" w:eastAsia="zh-CN" w:bidi="ar-SA"/>
    </w:rPr>
  </w:style>
  <w:style w:type="table" w:customStyle="1" w:styleId="81">
    <w:name w:val="网格型11"/>
    <w:qFormat/>
    <w:uiPriority w:val="9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2">
    <w:name w:val="网格型2"/>
    <w:qFormat/>
    <w:uiPriority w:val="9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3">
    <w:name w:val="网格型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4">
    <w:name w:val="网格型4"/>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5">
    <w:name w:val="正文文本 Char"/>
    <w:link w:val="16"/>
    <w:qFormat/>
    <w:locked/>
    <w:uiPriority w:val="99"/>
    <w:rPr>
      <w:rFonts w:ascii="Times New Roman" w:hAnsi="Times New Roman" w:eastAsia="宋体" w:cs="Times New Roman"/>
      <w:kern w:val="2"/>
      <w:sz w:val="24"/>
      <w:szCs w:val="24"/>
    </w:rPr>
  </w:style>
  <w:style w:type="table" w:customStyle="1" w:styleId="86">
    <w:name w:val="网格型5"/>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table" w:customStyle="1" w:styleId="87">
    <w:name w:val="网格型6"/>
    <w:basedOn w:val="4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8">
    <w:name w:val="明显强调1"/>
    <w:basedOn w:val="44"/>
    <w:qFormat/>
    <w:uiPriority w:val="21"/>
    <w:rPr>
      <w:i/>
      <w:iCs/>
      <w:color w:val="4F81BD" w:themeColor="accent1"/>
      <w14:textFill>
        <w14:solidFill>
          <w14:schemeClr w14:val="accent1"/>
        </w14:solidFill>
      </w14:textFill>
    </w:rPr>
  </w:style>
  <w:style w:type="table" w:customStyle="1" w:styleId="89">
    <w:name w:val="网格型7"/>
    <w:basedOn w:val="4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0">
    <w:name w:val="网格型8"/>
    <w:basedOn w:val="42"/>
    <w:qFormat/>
    <w:uiPriority w:val="3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1">
    <w:name w:val="Revision1"/>
    <w:hidden/>
    <w:semiHidden/>
    <w:qFormat/>
    <w:uiPriority w:val="99"/>
    <w:rPr>
      <w:rFonts w:ascii="Times New Roman" w:hAnsi="Times New Roman" w:eastAsia="宋体" w:cs="Times New Roman"/>
      <w:kern w:val="2"/>
      <w:sz w:val="24"/>
      <w:szCs w:val="22"/>
      <w:lang w:val="en-US" w:eastAsia="zh-CN" w:bidi="ar-SA"/>
    </w:rPr>
  </w:style>
  <w:style w:type="table" w:customStyle="1" w:styleId="92">
    <w:name w:val="TableGrid"/>
    <w:qFormat/>
    <w:uiPriority w:val="0"/>
    <w:rPr>
      <w:kern w:val="2"/>
      <w:sz w:val="21"/>
      <w:szCs w:val="22"/>
    </w:rPr>
    <w:tblPr>
      <w:tblCellMar>
        <w:top w:w="0" w:type="dxa"/>
        <w:left w:w="0" w:type="dxa"/>
        <w:bottom w:w="0" w:type="dxa"/>
        <w:right w:w="0" w:type="dxa"/>
      </w:tblCellMar>
    </w:tblPr>
  </w:style>
  <w:style w:type="character" w:customStyle="1" w:styleId="93">
    <w:name w:val="表头 Char"/>
    <w:link w:val="94"/>
    <w:qFormat/>
    <w:locked/>
    <w:uiPriority w:val="0"/>
    <w:rPr>
      <w:b/>
      <w:szCs w:val="24"/>
    </w:rPr>
  </w:style>
  <w:style w:type="paragraph" w:customStyle="1" w:styleId="94">
    <w:name w:val="表头"/>
    <w:next w:val="1"/>
    <w:link w:val="93"/>
    <w:qFormat/>
    <w:uiPriority w:val="0"/>
    <w:pPr>
      <w:spacing w:beforeLines="50"/>
      <w:jc w:val="center"/>
    </w:pPr>
    <w:rPr>
      <w:rFonts w:ascii="Times New Roman" w:hAnsi="Times New Roman" w:eastAsia="宋体" w:cs="Times New Roman"/>
      <w:b/>
      <w:szCs w:val="24"/>
      <w:lang w:val="en-US" w:eastAsia="zh-CN" w:bidi="ar-SA"/>
    </w:rPr>
  </w:style>
  <w:style w:type="paragraph" w:customStyle="1" w:styleId="95">
    <w:name w:val="表中字"/>
    <w:qFormat/>
    <w:uiPriority w:val="0"/>
    <w:pPr>
      <w:jc w:val="center"/>
    </w:pPr>
    <w:rPr>
      <w:rFonts w:ascii="Times New Roman" w:hAnsi="Times New Roman" w:eastAsia="宋体" w:cs="Times New Roman"/>
      <w:kern w:val="2"/>
      <w:sz w:val="21"/>
      <w:szCs w:val="24"/>
      <w:lang w:val="en-US" w:eastAsia="zh-CN" w:bidi="ar-SA"/>
    </w:rPr>
  </w:style>
  <w:style w:type="paragraph" w:customStyle="1" w:styleId="96">
    <w:name w:val="图表标题"/>
    <w:basedOn w:val="1"/>
    <w:link w:val="97"/>
    <w:qFormat/>
    <w:uiPriority w:val="0"/>
    <w:pPr>
      <w:spacing w:line="240" w:lineRule="auto"/>
      <w:ind w:firstLine="0" w:firstLineChars="0"/>
      <w:jc w:val="center"/>
    </w:pPr>
    <w:rPr>
      <w:b/>
      <w:sz w:val="21"/>
      <w:szCs w:val="21"/>
    </w:rPr>
  </w:style>
  <w:style w:type="character" w:customStyle="1" w:styleId="97">
    <w:name w:val="图表标题 Char"/>
    <w:basedOn w:val="44"/>
    <w:link w:val="96"/>
    <w:qFormat/>
    <w:uiPriority w:val="0"/>
    <w:rPr>
      <w:b/>
      <w:kern w:val="2"/>
      <w:sz w:val="21"/>
      <w:szCs w:val="21"/>
    </w:rPr>
  </w:style>
  <w:style w:type="table" w:customStyle="1" w:styleId="98">
    <w:name w:val="网格型12"/>
    <w:basedOn w:val="42"/>
    <w:qFormat/>
    <w:uiPriority w:val="3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styleId="99">
    <w:name w:val="Intense Quote"/>
    <w:basedOn w:val="1"/>
    <w:next w:val="1"/>
    <w:link w:val="100"/>
    <w:qFormat/>
    <w:uiPriority w:val="99"/>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00">
    <w:name w:val="明显引用 Char"/>
    <w:basedOn w:val="44"/>
    <w:link w:val="99"/>
    <w:qFormat/>
    <w:uiPriority w:val="99"/>
    <w:rPr>
      <w:b/>
      <w:bCs/>
      <w:i/>
      <w:iCs/>
      <w:color w:val="4F81BD" w:themeColor="accent1"/>
      <w:kern w:val="2"/>
      <w:sz w:val="24"/>
      <w:szCs w:val="22"/>
      <w14:textFill>
        <w14:solidFill>
          <w14:schemeClr w14:val="accent1"/>
        </w14:solidFill>
      </w14:textFill>
    </w:rPr>
  </w:style>
  <w:style w:type="table" w:customStyle="1" w:styleId="101">
    <w:name w:val="网格型21"/>
    <w:basedOn w:val="42"/>
    <w:unhideWhenUsed/>
    <w:qFormat/>
    <w:locked/>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2">
    <w:name w:val="网格型31"/>
    <w:basedOn w:val="4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3">
    <w:name w:val="网格型71"/>
    <w:basedOn w:val="4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4">
    <w:name w:val="标题 5 Char"/>
    <w:basedOn w:val="44"/>
    <w:link w:val="6"/>
    <w:qFormat/>
    <w:uiPriority w:val="99"/>
    <w:rPr>
      <w:rFonts w:ascii="Cambria" w:hAnsi="Cambria" w:cs="Cambria"/>
      <w:b/>
      <w:bCs/>
      <w:color w:val="7F7F7F"/>
      <w:sz w:val="22"/>
      <w:szCs w:val="22"/>
    </w:rPr>
  </w:style>
  <w:style w:type="character" w:customStyle="1" w:styleId="105">
    <w:name w:val="标题 6 Char"/>
    <w:basedOn w:val="44"/>
    <w:link w:val="7"/>
    <w:qFormat/>
    <w:uiPriority w:val="99"/>
    <w:rPr>
      <w:rFonts w:ascii="Cambria" w:hAnsi="Cambria" w:cs="Cambria"/>
      <w:b/>
      <w:bCs/>
      <w:i/>
      <w:iCs/>
      <w:color w:val="7F7F7F"/>
      <w:sz w:val="22"/>
      <w:szCs w:val="22"/>
    </w:rPr>
  </w:style>
  <w:style w:type="character" w:customStyle="1" w:styleId="106">
    <w:name w:val="标题 7 Char"/>
    <w:basedOn w:val="44"/>
    <w:link w:val="8"/>
    <w:qFormat/>
    <w:uiPriority w:val="99"/>
    <w:rPr>
      <w:rFonts w:ascii="Cambria" w:hAnsi="Cambria" w:cs="Cambria"/>
      <w:i/>
      <w:iCs/>
      <w:sz w:val="22"/>
      <w:szCs w:val="22"/>
    </w:rPr>
  </w:style>
  <w:style w:type="character" w:customStyle="1" w:styleId="107">
    <w:name w:val="标题 8 Char"/>
    <w:basedOn w:val="44"/>
    <w:link w:val="9"/>
    <w:qFormat/>
    <w:uiPriority w:val="99"/>
    <w:rPr>
      <w:rFonts w:ascii="Cambria" w:hAnsi="Cambria" w:cs="Cambria"/>
    </w:rPr>
  </w:style>
  <w:style w:type="character" w:customStyle="1" w:styleId="108">
    <w:name w:val="标题 9 Char"/>
    <w:basedOn w:val="44"/>
    <w:link w:val="10"/>
    <w:qFormat/>
    <w:uiPriority w:val="99"/>
    <w:rPr>
      <w:rFonts w:ascii="Cambria" w:hAnsi="Cambria" w:cs="Cambria"/>
      <w:i/>
      <w:iCs/>
      <w:spacing w:val="5"/>
    </w:rPr>
  </w:style>
  <w:style w:type="character" w:customStyle="1" w:styleId="109">
    <w:name w:val="正文文本缩进 Char"/>
    <w:basedOn w:val="44"/>
    <w:link w:val="17"/>
    <w:qFormat/>
    <w:uiPriority w:val="99"/>
    <w:rPr>
      <w:rFonts w:ascii="Calibri" w:hAnsi="Calibri" w:cs="Calibri"/>
      <w:sz w:val="28"/>
      <w:szCs w:val="28"/>
      <w:lang w:val="en-GB"/>
    </w:rPr>
  </w:style>
  <w:style w:type="character" w:customStyle="1" w:styleId="110">
    <w:name w:val="正文文本缩进 2 Char"/>
    <w:basedOn w:val="44"/>
    <w:link w:val="23"/>
    <w:qFormat/>
    <w:uiPriority w:val="99"/>
    <w:rPr>
      <w:kern w:val="2"/>
      <w:sz w:val="28"/>
      <w:szCs w:val="28"/>
    </w:rPr>
  </w:style>
  <w:style w:type="character" w:customStyle="1" w:styleId="111">
    <w:name w:val="脚注文本 Char"/>
    <w:basedOn w:val="44"/>
    <w:link w:val="30"/>
    <w:qFormat/>
    <w:uiPriority w:val="99"/>
    <w:rPr>
      <w:rFonts w:ascii="Calibri" w:hAnsi="Calibri" w:cs="Calibri"/>
    </w:rPr>
  </w:style>
  <w:style w:type="character" w:customStyle="1" w:styleId="112">
    <w:name w:val="正文文本缩进 3 Char"/>
    <w:basedOn w:val="44"/>
    <w:link w:val="32"/>
    <w:qFormat/>
    <w:uiPriority w:val="99"/>
    <w:rPr>
      <w:rFonts w:ascii="仿宋_GB2312" w:hAnsi="Calibri" w:cs="仿宋_GB2312"/>
      <w:sz w:val="28"/>
      <w:szCs w:val="28"/>
    </w:rPr>
  </w:style>
  <w:style w:type="character" w:customStyle="1" w:styleId="113">
    <w:name w:val="正文文本 2 Char"/>
    <w:basedOn w:val="44"/>
    <w:link w:val="36"/>
    <w:qFormat/>
    <w:uiPriority w:val="99"/>
    <w:rPr>
      <w:rFonts w:ascii="宋体" w:hAnsi="宋体" w:cs="宋体"/>
      <w:sz w:val="28"/>
      <w:szCs w:val="28"/>
    </w:rPr>
  </w:style>
  <w:style w:type="table" w:customStyle="1" w:styleId="114">
    <w:name w:val="网格型9"/>
    <w:basedOn w:val="42"/>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5">
    <w:name w:val="浅色底纹 - 强调文字颜色 11"/>
    <w:basedOn w:val="42"/>
    <w:qFormat/>
    <w:uiPriority w:val="60"/>
    <w:rPr>
      <w:rFonts w:ascii="Calibri" w:hAnsi="Calibri" w:cs="Calibri"/>
      <w:color w:val="365F91"/>
      <w:sz w:val="22"/>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pPr>
      <w:rPr>
        <w:b/>
        <w:bCs/>
        <w:color w:val="365F91"/>
      </w:rPr>
      <w:tcPr>
        <w:tcBorders>
          <w:top w:val="single" w:color="4F81BD" w:sz="8" w:space="0"/>
          <w:left w:val="nil"/>
          <w:bottom w:val="single" w:color="4F81BD" w:sz="8" w:space="0"/>
          <w:right w:val="nil"/>
          <w:insideH w:val="nil"/>
          <w:insideV w:val="nil"/>
        </w:tcBorders>
      </w:tcPr>
    </w:tblStylePr>
    <w:tblStylePr w:type="lastRow">
      <w:pPr>
        <w:spacing w:before="0" w:after="0"/>
      </w:pPr>
      <w:rPr>
        <w:b/>
        <w:bCs/>
        <w:color w:val="365F91"/>
      </w:rPr>
      <w:tcPr>
        <w:tcBorders>
          <w:top w:val="single" w:color="4F81BD" w:sz="8" w:space="0"/>
          <w:left w:val="nil"/>
          <w:bottom w:val="single" w:color="4F81BD" w:sz="8" w:space="0"/>
          <w:right w:val="nil"/>
          <w:insideH w:val="nil"/>
          <w:insideV w:val="nil"/>
        </w:tcBorders>
      </w:tcPr>
    </w:tblStylePr>
    <w:tblStylePr w:type="firstCol">
      <w:rPr>
        <w:b/>
        <w:bCs/>
        <w:color w:val="365F91"/>
      </w:rPr>
    </w:tblStylePr>
    <w:tblStylePr w:type="lastCol">
      <w:rPr>
        <w:b/>
        <w:bCs/>
        <w:color w:val="365F91"/>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character" w:customStyle="1" w:styleId="116">
    <w:name w:val="未处理的提及1"/>
    <w:semiHidden/>
    <w:qFormat/>
    <w:uiPriority w:val="99"/>
    <w:rPr>
      <w:color w:val="auto"/>
      <w:shd w:val="clear" w:color="auto" w:fill="auto"/>
    </w:rPr>
  </w:style>
  <w:style w:type="paragraph" w:customStyle="1" w:styleId="117">
    <w:name w:val="hky正文"/>
    <w:basedOn w:val="1"/>
    <w:link w:val="119"/>
    <w:qFormat/>
    <w:uiPriority w:val="99"/>
    <w:pPr>
      <w:ind w:firstLine="560"/>
      <w:textAlignment w:val="baseline"/>
    </w:pPr>
    <w:rPr>
      <w:szCs w:val="24"/>
      <w:lang w:val="en-GB"/>
    </w:rPr>
  </w:style>
  <w:style w:type="paragraph" w:customStyle="1" w:styleId="118">
    <w:name w:val="hky图题"/>
    <w:basedOn w:val="13"/>
    <w:link w:val="122"/>
    <w:qFormat/>
    <w:uiPriority w:val="99"/>
    <w:pPr>
      <w:spacing w:beforeLines="50" w:afterLines="50"/>
      <w:ind w:firstLine="0" w:firstLineChars="0"/>
      <w:jc w:val="center"/>
    </w:pPr>
    <w:rPr>
      <w:rFonts w:ascii="Times New Roman" w:hAnsi="Times New Roman"/>
    </w:rPr>
  </w:style>
  <w:style w:type="character" w:customStyle="1" w:styleId="119">
    <w:name w:val="hky正文 字符"/>
    <w:link w:val="117"/>
    <w:qFormat/>
    <w:locked/>
    <w:uiPriority w:val="99"/>
    <w:rPr>
      <w:kern w:val="2"/>
      <w:sz w:val="24"/>
      <w:szCs w:val="24"/>
      <w:lang w:val="en-GB"/>
    </w:rPr>
  </w:style>
  <w:style w:type="paragraph" w:customStyle="1" w:styleId="120">
    <w:name w:val="hky表格字体"/>
    <w:basedOn w:val="1"/>
    <w:link w:val="124"/>
    <w:qFormat/>
    <w:uiPriority w:val="99"/>
    <w:pPr>
      <w:spacing w:line="240" w:lineRule="auto"/>
      <w:ind w:firstLine="0" w:firstLineChars="0"/>
      <w:jc w:val="center"/>
    </w:pPr>
    <w:rPr>
      <w:sz w:val="21"/>
      <w:szCs w:val="21"/>
    </w:rPr>
  </w:style>
  <w:style w:type="character" w:customStyle="1" w:styleId="121">
    <w:name w:val="题注 Char"/>
    <w:link w:val="13"/>
    <w:qFormat/>
    <w:locked/>
    <w:uiPriority w:val="99"/>
    <w:rPr>
      <w:rFonts w:ascii="Cambria" w:hAnsi="Cambria" w:eastAsia="黑体"/>
      <w:kern w:val="2"/>
    </w:rPr>
  </w:style>
  <w:style w:type="character" w:customStyle="1" w:styleId="122">
    <w:name w:val="hky图题 字符"/>
    <w:link w:val="118"/>
    <w:qFormat/>
    <w:locked/>
    <w:uiPriority w:val="99"/>
    <w:rPr>
      <w:rFonts w:eastAsia="黑体"/>
      <w:kern w:val="2"/>
    </w:rPr>
  </w:style>
  <w:style w:type="paragraph" w:customStyle="1" w:styleId="123">
    <w:name w:val="hky3级"/>
    <w:basedOn w:val="1"/>
    <w:link w:val="125"/>
    <w:qFormat/>
    <w:uiPriority w:val="99"/>
    <w:pPr>
      <w:keepNext/>
      <w:spacing w:beforeLines="50" w:afterLines="50"/>
      <w:ind w:firstLine="0" w:firstLineChars="0"/>
      <w:outlineLvl w:val="2"/>
    </w:pPr>
    <w:rPr>
      <w:b/>
      <w:bCs/>
      <w:szCs w:val="24"/>
    </w:rPr>
  </w:style>
  <w:style w:type="character" w:customStyle="1" w:styleId="124">
    <w:name w:val="hky表格字体 字符"/>
    <w:link w:val="120"/>
    <w:qFormat/>
    <w:locked/>
    <w:uiPriority w:val="99"/>
    <w:rPr>
      <w:kern w:val="2"/>
      <w:sz w:val="21"/>
      <w:szCs w:val="21"/>
    </w:rPr>
  </w:style>
  <w:style w:type="character" w:customStyle="1" w:styleId="125">
    <w:name w:val="hky3级 字符"/>
    <w:link w:val="123"/>
    <w:qFormat/>
    <w:locked/>
    <w:uiPriority w:val="99"/>
    <w:rPr>
      <w:b/>
      <w:bCs/>
      <w:kern w:val="2"/>
      <w:sz w:val="24"/>
      <w:szCs w:val="24"/>
    </w:rPr>
  </w:style>
  <w:style w:type="table" w:customStyle="1" w:styleId="126">
    <w:name w:val="hky表格"/>
    <w:qFormat/>
    <w:uiPriority w:val="99"/>
    <w:pPr>
      <w:jc w:val="center"/>
    </w:pPr>
    <w:tblPr>
      <w:jc w:val="cente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rPr>
      <w:jc w:val="center"/>
    </w:trPr>
  </w:style>
  <w:style w:type="paragraph" w:customStyle="1" w:styleId="127">
    <w:name w:val="hky一级"/>
    <w:basedOn w:val="2"/>
    <w:link w:val="129"/>
    <w:qFormat/>
    <w:uiPriority w:val="99"/>
    <w:pPr>
      <w:snapToGrid w:val="0"/>
      <w:spacing w:before="340" w:beforeLines="50" w:after="330" w:afterLines="50"/>
      <w:jc w:val="both"/>
    </w:pPr>
    <w:rPr>
      <w:sz w:val="28"/>
      <w:szCs w:val="28"/>
    </w:rPr>
  </w:style>
  <w:style w:type="paragraph" w:customStyle="1" w:styleId="128">
    <w:name w:val="hky2级"/>
    <w:basedOn w:val="3"/>
    <w:link w:val="130"/>
    <w:qFormat/>
    <w:uiPriority w:val="99"/>
    <w:pPr>
      <w:snapToGrid w:val="0"/>
      <w:spacing w:before="260" w:beforeLines="50" w:after="260" w:afterLines="50"/>
    </w:pPr>
    <w:rPr>
      <w:kern w:val="0"/>
      <w:sz w:val="24"/>
      <w:szCs w:val="24"/>
    </w:rPr>
  </w:style>
  <w:style w:type="character" w:customStyle="1" w:styleId="129">
    <w:name w:val="hky一级 字符"/>
    <w:link w:val="127"/>
    <w:qFormat/>
    <w:locked/>
    <w:uiPriority w:val="99"/>
    <w:rPr>
      <w:b/>
      <w:bCs/>
      <w:kern w:val="44"/>
      <w:sz w:val="28"/>
      <w:szCs w:val="28"/>
    </w:rPr>
  </w:style>
  <w:style w:type="character" w:customStyle="1" w:styleId="130">
    <w:name w:val="hky2级 字符"/>
    <w:link w:val="128"/>
    <w:qFormat/>
    <w:locked/>
    <w:uiPriority w:val="99"/>
    <w:rPr>
      <w:b/>
      <w:bCs/>
      <w:sz w:val="24"/>
      <w:szCs w:val="24"/>
    </w:rPr>
  </w:style>
  <w:style w:type="paragraph" w:customStyle="1" w:styleId="131">
    <w:name w:val="hky标题"/>
    <w:basedOn w:val="1"/>
    <w:link w:val="133"/>
    <w:qFormat/>
    <w:uiPriority w:val="99"/>
    <w:pPr>
      <w:spacing w:beforeLines="50"/>
      <w:ind w:firstLine="0" w:firstLineChars="0"/>
      <w:jc w:val="center"/>
      <w:outlineLvl w:val="0"/>
    </w:pPr>
    <w:rPr>
      <w:rFonts w:eastAsia="黑体"/>
      <w:color w:val="000000"/>
      <w:sz w:val="44"/>
      <w:szCs w:val="44"/>
    </w:rPr>
  </w:style>
  <w:style w:type="paragraph" w:customStyle="1" w:styleId="132">
    <w:name w:val="hky编制单位时间"/>
    <w:basedOn w:val="1"/>
    <w:link w:val="135"/>
    <w:qFormat/>
    <w:uiPriority w:val="99"/>
    <w:pPr>
      <w:spacing w:line="240" w:lineRule="auto"/>
      <w:ind w:firstLine="0" w:firstLineChars="0"/>
      <w:jc w:val="center"/>
    </w:pPr>
    <w:rPr>
      <w:color w:val="000000"/>
      <w:sz w:val="28"/>
      <w:szCs w:val="28"/>
    </w:rPr>
  </w:style>
  <w:style w:type="character" w:customStyle="1" w:styleId="133">
    <w:name w:val="hky标题 字符"/>
    <w:link w:val="131"/>
    <w:qFormat/>
    <w:locked/>
    <w:uiPriority w:val="99"/>
    <w:rPr>
      <w:rFonts w:eastAsia="黑体"/>
      <w:color w:val="000000"/>
      <w:kern w:val="2"/>
      <w:sz w:val="44"/>
      <w:szCs w:val="44"/>
    </w:rPr>
  </w:style>
  <w:style w:type="paragraph" w:customStyle="1" w:styleId="134">
    <w:name w:val="公式"/>
    <w:basedOn w:val="117"/>
    <w:link w:val="137"/>
    <w:qFormat/>
    <w:uiPriority w:val="99"/>
    <w:pPr>
      <w:ind w:firstLine="480"/>
      <w:jc w:val="right"/>
    </w:pPr>
  </w:style>
  <w:style w:type="character" w:customStyle="1" w:styleId="135">
    <w:name w:val="hky编制单位时间 字符"/>
    <w:link w:val="132"/>
    <w:qFormat/>
    <w:locked/>
    <w:uiPriority w:val="99"/>
    <w:rPr>
      <w:color w:val="000000"/>
      <w:kern w:val="2"/>
      <w:sz w:val="28"/>
      <w:szCs w:val="28"/>
    </w:rPr>
  </w:style>
  <w:style w:type="paragraph" w:customStyle="1" w:styleId="136">
    <w:name w:val="hky4级"/>
    <w:basedOn w:val="123"/>
    <w:link w:val="138"/>
    <w:qFormat/>
    <w:uiPriority w:val="99"/>
    <w:pPr>
      <w:spacing w:before="156" w:after="156"/>
      <w:outlineLvl w:val="3"/>
    </w:pPr>
  </w:style>
  <w:style w:type="character" w:customStyle="1" w:styleId="137">
    <w:name w:val="公式 字符"/>
    <w:link w:val="134"/>
    <w:qFormat/>
    <w:locked/>
    <w:uiPriority w:val="99"/>
    <w:rPr>
      <w:kern w:val="2"/>
      <w:sz w:val="24"/>
      <w:szCs w:val="24"/>
      <w:lang w:val="en-GB"/>
    </w:rPr>
  </w:style>
  <w:style w:type="character" w:customStyle="1" w:styleId="138">
    <w:name w:val="hky4级 字符"/>
    <w:link w:val="136"/>
    <w:qFormat/>
    <w:locked/>
    <w:uiPriority w:val="99"/>
    <w:rPr>
      <w:b/>
      <w:bCs/>
      <w:kern w:val="2"/>
      <w:sz w:val="24"/>
      <w:szCs w:val="24"/>
    </w:rPr>
  </w:style>
  <w:style w:type="paragraph" w:customStyle="1" w:styleId="139">
    <w:name w:val="标题2"/>
    <w:basedOn w:val="1"/>
    <w:next w:val="16"/>
    <w:link w:val="140"/>
    <w:qFormat/>
    <w:uiPriority w:val="99"/>
    <w:pPr>
      <w:numPr>
        <w:ilvl w:val="0"/>
        <w:numId w:val="1"/>
      </w:numPr>
      <w:tabs>
        <w:tab w:val="left" w:pos="1418"/>
      </w:tabs>
      <w:spacing w:line="240" w:lineRule="auto"/>
      <w:ind w:firstLine="200"/>
      <w:outlineLvl w:val="1"/>
    </w:pPr>
    <w:rPr>
      <w:rFonts w:ascii="宋体" w:hAnsi="楷体" w:cs="宋体"/>
      <w:b/>
      <w:bCs/>
      <w:sz w:val="30"/>
      <w:szCs w:val="30"/>
    </w:rPr>
  </w:style>
  <w:style w:type="character" w:customStyle="1" w:styleId="140">
    <w:name w:val="标题2 Char"/>
    <w:link w:val="139"/>
    <w:qFormat/>
    <w:locked/>
    <w:uiPriority w:val="99"/>
    <w:rPr>
      <w:rFonts w:ascii="宋体" w:hAnsi="楷体" w:cs="宋体"/>
      <w:b/>
      <w:bCs/>
      <w:kern w:val="2"/>
      <w:sz w:val="30"/>
      <w:szCs w:val="30"/>
    </w:rPr>
  </w:style>
  <w:style w:type="paragraph" w:customStyle="1" w:styleId="141">
    <w:name w:val="_Style 17"/>
    <w:basedOn w:val="1"/>
    <w:qFormat/>
    <w:uiPriority w:val="99"/>
    <w:pPr>
      <w:spacing w:line="240" w:lineRule="auto"/>
      <w:ind w:firstLine="0" w:firstLineChars="0"/>
    </w:pPr>
    <w:rPr>
      <w:sz w:val="21"/>
      <w:szCs w:val="21"/>
    </w:rPr>
  </w:style>
  <w:style w:type="paragraph" w:styleId="142">
    <w:name w:val="No Spacing"/>
    <w:qFormat/>
    <w:uiPriority w:val="99"/>
    <w:pPr>
      <w:widowControl w:val="0"/>
      <w:spacing w:line="320" w:lineRule="exact"/>
      <w:jc w:val="both"/>
    </w:pPr>
    <w:rPr>
      <w:rFonts w:ascii="Times New Roman" w:hAnsi="Times New Roman" w:eastAsia="宋体" w:cs="Times New Roman"/>
      <w:kern w:val="2"/>
      <w:sz w:val="21"/>
      <w:szCs w:val="21"/>
      <w:lang w:val="en-US" w:eastAsia="zh-CN" w:bidi="ar-SA"/>
    </w:rPr>
  </w:style>
  <w:style w:type="character" w:customStyle="1" w:styleId="143">
    <w:name w:val="【表格文字】 Char Char"/>
    <w:qFormat/>
    <w:uiPriority w:val="99"/>
    <w:rPr>
      <w:rFonts w:eastAsia="宋体"/>
      <w:kern w:val="2"/>
      <w:sz w:val="24"/>
      <w:szCs w:val="24"/>
      <w:lang w:val="en-US" w:eastAsia="zh-CN"/>
    </w:rPr>
  </w:style>
  <w:style w:type="paragraph" w:customStyle="1" w:styleId="144">
    <w:name w:val="样式3"/>
    <w:basedOn w:val="1"/>
    <w:qFormat/>
    <w:uiPriority w:val="99"/>
    <w:rPr>
      <w:rFonts w:eastAsia="楷体_GB2312"/>
      <w:sz w:val="28"/>
      <w:szCs w:val="28"/>
    </w:rPr>
  </w:style>
  <w:style w:type="paragraph" w:customStyle="1" w:styleId="145">
    <w:name w:val="Default"/>
    <w:basedOn w:val="146"/>
    <w:next w:val="1"/>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6">
    <w:name w:val="纯文本1"/>
    <w:basedOn w:val="1"/>
    <w:next w:val="1"/>
    <w:qFormat/>
    <w:uiPriority w:val="0"/>
    <w:rPr>
      <w:rFonts w:ascii="宋体" w:hAnsi="Courier New"/>
      <w:szCs w:val="20"/>
    </w:rPr>
  </w:style>
  <w:style w:type="paragraph" w:customStyle="1" w:styleId="147">
    <w:name w:val="图表名称"/>
    <w:basedOn w:val="1"/>
    <w:next w:val="1"/>
    <w:link w:val="148"/>
    <w:qFormat/>
    <w:uiPriority w:val="99"/>
    <w:pPr>
      <w:spacing w:beforeLines="50" w:afterLines="50" w:line="240" w:lineRule="auto"/>
      <w:ind w:firstLine="0" w:firstLineChars="0"/>
      <w:jc w:val="center"/>
    </w:pPr>
    <w:rPr>
      <w:rFonts w:ascii="宋体" w:hAnsi="宋体" w:cs="宋体"/>
      <w:b/>
      <w:bCs/>
      <w:kern w:val="0"/>
      <w:sz w:val="21"/>
      <w:szCs w:val="21"/>
      <w:lang w:val="zh-CN"/>
    </w:rPr>
  </w:style>
  <w:style w:type="character" w:customStyle="1" w:styleId="148">
    <w:name w:val="图表名称 Char"/>
    <w:link w:val="147"/>
    <w:qFormat/>
    <w:locked/>
    <w:uiPriority w:val="99"/>
    <w:rPr>
      <w:rFonts w:ascii="宋体" w:hAnsi="宋体" w:cs="宋体"/>
      <w:b/>
      <w:bCs/>
      <w:sz w:val="21"/>
      <w:szCs w:val="21"/>
      <w:lang w:val="zh-CN"/>
    </w:rPr>
  </w:style>
  <w:style w:type="paragraph" w:customStyle="1" w:styleId="149">
    <w:name w:val="Table Paragraph"/>
    <w:basedOn w:val="1"/>
    <w:qFormat/>
    <w:uiPriority w:val="99"/>
    <w:pPr>
      <w:widowControl/>
      <w:autoSpaceDE w:val="0"/>
      <w:autoSpaceDN w:val="0"/>
      <w:spacing w:after="200" w:line="276" w:lineRule="auto"/>
      <w:ind w:firstLine="0" w:firstLineChars="0"/>
      <w:jc w:val="left"/>
    </w:pPr>
    <w:rPr>
      <w:rFonts w:ascii="宋体" w:hAnsi="宋体" w:cs="宋体"/>
      <w:kern w:val="0"/>
      <w:sz w:val="22"/>
      <w:lang w:val="zh-CN"/>
    </w:rPr>
  </w:style>
  <w:style w:type="paragraph" w:customStyle="1" w:styleId="150">
    <w:name w:val="大标题"/>
    <w:basedOn w:val="1"/>
    <w:link w:val="152"/>
    <w:qFormat/>
    <w:uiPriority w:val="99"/>
    <w:pPr>
      <w:spacing w:beforeLines="50" w:afterLines="50"/>
      <w:jc w:val="center"/>
    </w:pPr>
    <w:rPr>
      <w:rFonts w:eastAsia="黑体"/>
      <w:color w:val="000000"/>
      <w:sz w:val="32"/>
      <w:szCs w:val="32"/>
    </w:rPr>
  </w:style>
  <w:style w:type="paragraph" w:customStyle="1" w:styleId="151">
    <w:name w:val="附件标题"/>
    <w:basedOn w:val="150"/>
    <w:link w:val="154"/>
    <w:qFormat/>
    <w:uiPriority w:val="99"/>
    <w:pPr>
      <w:ind w:firstLine="0" w:firstLineChars="0"/>
      <w:jc w:val="left"/>
      <w:outlineLvl w:val="1"/>
    </w:pPr>
  </w:style>
  <w:style w:type="character" w:customStyle="1" w:styleId="152">
    <w:name w:val="大标题 字符"/>
    <w:link w:val="150"/>
    <w:qFormat/>
    <w:locked/>
    <w:uiPriority w:val="99"/>
    <w:rPr>
      <w:rFonts w:eastAsia="黑体"/>
      <w:color w:val="000000"/>
      <w:kern w:val="2"/>
      <w:sz w:val="32"/>
      <w:szCs w:val="32"/>
    </w:rPr>
  </w:style>
  <w:style w:type="paragraph" w:customStyle="1" w:styleId="153">
    <w:name w:val="hky5级"/>
    <w:basedOn w:val="1"/>
    <w:link w:val="156"/>
    <w:qFormat/>
    <w:uiPriority w:val="99"/>
    <w:pPr>
      <w:outlineLvl w:val="4"/>
    </w:pPr>
    <w:rPr>
      <w:kern w:val="0"/>
      <w:szCs w:val="24"/>
    </w:rPr>
  </w:style>
  <w:style w:type="character" w:customStyle="1" w:styleId="154">
    <w:name w:val="附件标题 字符"/>
    <w:link w:val="151"/>
    <w:qFormat/>
    <w:locked/>
    <w:uiPriority w:val="99"/>
    <w:rPr>
      <w:rFonts w:eastAsia="黑体"/>
      <w:color w:val="000000"/>
      <w:kern w:val="2"/>
      <w:sz w:val="32"/>
      <w:szCs w:val="32"/>
    </w:rPr>
  </w:style>
  <w:style w:type="paragraph" w:customStyle="1" w:styleId="155">
    <w:name w:val="hky6级"/>
    <w:basedOn w:val="153"/>
    <w:link w:val="158"/>
    <w:qFormat/>
    <w:uiPriority w:val="99"/>
    <w:pPr>
      <w:ind w:firstLine="480"/>
      <w:outlineLvl w:val="5"/>
    </w:pPr>
  </w:style>
  <w:style w:type="character" w:customStyle="1" w:styleId="156">
    <w:name w:val="hky5级 字符"/>
    <w:link w:val="153"/>
    <w:qFormat/>
    <w:locked/>
    <w:uiPriority w:val="99"/>
    <w:rPr>
      <w:sz w:val="24"/>
      <w:szCs w:val="24"/>
    </w:rPr>
  </w:style>
  <w:style w:type="paragraph" w:customStyle="1" w:styleId="157">
    <w:name w:val="2级无段后"/>
    <w:basedOn w:val="128"/>
    <w:link w:val="160"/>
    <w:qFormat/>
    <w:uiPriority w:val="99"/>
    <w:pPr>
      <w:spacing w:before="190" w:afterLines="0"/>
    </w:pPr>
  </w:style>
  <w:style w:type="character" w:customStyle="1" w:styleId="158">
    <w:name w:val="hky6级 字符"/>
    <w:link w:val="155"/>
    <w:qFormat/>
    <w:locked/>
    <w:uiPriority w:val="99"/>
    <w:rPr>
      <w:sz w:val="24"/>
      <w:szCs w:val="24"/>
    </w:rPr>
  </w:style>
  <w:style w:type="paragraph" w:customStyle="1" w:styleId="159">
    <w:name w:val="3级无段前"/>
    <w:basedOn w:val="123"/>
    <w:link w:val="162"/>
    <w:qFormat/>
    <w:uiPriority w:val="99"/>
    <w:pPr>
      <w:spacing w:beforeLines="0" w:after="190"/>
    </w:pPr>
  </w:style>
  <w:style w:type="character" w:customStyle="1" w:styleId="160">
    <w:name w:val="2级无段后 字符"/>
    <w:link w:val="157"/>
    <w:qFormat/>
    <w:locked/>
    <w:uiPriority w:val="99"/>
    <w:rPr>
      <w:b/>
      <w:bCs/>
      <w:sz w:val="24"/>
      <w:szCs w:val="24"/>
    </w:rPr>
  </w:style>
  <w:style w:type="paragraph" w:customStyle="1" w:styleId="161">
    <w:name w:val="3级无段后"/>
    <w:basedOn w:val="123"/>
    <w:link w:val="164"/>
    <w:qFormat/>
    <w:uiPriority w:val="99"/>
    <w:pPr>
      <w:spacing w:afterLines="0"/>
    </w:pPr>
  </w:style>
  <w:style w:type="character" w:customStyle="1" w:styleId="162">
    <w:name w:val="3级无段前 字符"/>
    <w:link w:val="159"/>
    <w:qFormat/>
    <w:locked/>
    <w:uiPriority w:val="99"/>
    <w:rPr>
      <w:b/>
      <w:bCs/>
      <w:kern w:val="2"/>
      <w:sz w:val="24"/>
      <w:szCs w:val="24"/>
    </w:rPr>
  </w:style>
  <w:style w:type="paragraph" w:customStyle="1" w:styleId="163">
    <w:name w:val="4级无段前"/>
    <w:basedOn w:val="136"/>
    <w:link w:val="166"/>
    <w:qFormat/>
    <w:uiPriority w:val="99"/>
    <w:pPr>
      <w:spacing w:beforeLines="0" w:after="50"/>
    </w:pPr>
  </w:style>
  <w:style w:type="character" w:customStyle="1" w:styleId="164">
    <w:name w:val="3级无段后 字符"/>
    <w:link w:val="161"/>
    <w:qFormat/>
    <w:locked/>
    <w:uiPriority w:val="99"/>
    <w:rPr>
      <w:b/>
      <w:bCs/>
      <w:kern w:val="2"/>
      <w:sz w:val="24"/>
      <w:szCs w:val="24"/>
    </w:rPr>
  </w:style>
  <w:style w:type="paragraph" w:customStyle="1" w:styleId="165">
    <w:name w:val="4级无段后"/>
    <w:basedOn w:val="136"/>
    <w:link w:val="167"/>
    <w:qFormat/>
    <w:uiPriority w:val="99"/>
    <w:pPr>
      <w:spacing w:before="190" w:afterLines="0"/>
    </w:pPr>
  </w:style>
  <w:style w:type="character" w:customStyle="1" w:styleId="166">
    <w:name w:val="4级无段前 字符"/>
    <w:link w:val="163"/>
    <w:qFormat/>
    <w:locked/>
    <w:uiPriority w:val="99"/>
    <w:rPr>
      <w:b/>
      <w:bCs/>
      <w:kern w:val="2"/>
      <w:sz w:val="24"/>
      <w:szCs w:val="24"/>
    </w:rPr>
  </w:style>
  <w:style w:type="character" w:customStyle="1" w:styleId="167">
    <w:name w:val="4级无段后 字符"/>
    <w:link w:val="165"/>
    <w:qFormat/>
    <w:locked/>
    <w:uiPriority w:val="99"/>
    <w:rPr>
      <w:b/>
      <w:bCs/>
      <w:kern w:val="2"/>
      <w:sz w:val="24"/>
      <w:szCs w:val="24"/>
    </w:rPr>
  </w:style>
  <w:style w:type="character" w:customStyle="1" w:styleId="168">
    <w:name w:val="个人答复风格"/>
    <w:qFormat/>
    <w:uiPriority w:val="99"/>
    <w:rPr>
      <w:rFonts w:ascii="Arial" w:hAnsi="Arial" w:eastAsia="宋体" w:cs="Arial"/>
      <w:color w:val="auto"/>
      <w:sz w:val="20"/>
      <w:szCs w:val="20"/>
    </w:rPr>
  </w:style>
  <w:style w:type="character" w:customStyle="1" w:styleId="169">
    <w:name w:val="个人撰写风格"/>
    <w:qFormat/>
    <w:uiPriority w:val="99"/>
    <w:rPr>
      <w:rFonts w:ascii="Arial" w:hAnsi="Arial" w:eastAsia="宋体" w:cs="Arial"/>
      <w:color w:val="auto"/>
      <w:sz w:val="20"/>
      <w:szCs w:val="20"/>
    </w:rPr>
  </w:style>
  <w:style w:type="character" w:customStyle="1" w:styleId="170">
    <w:name w:val="文档结构图 Char1"/>
    <w:qFormat/>
    <w:uiPriority w:val="99"/>
    <w:rPr>
      <w:rFonts w:ascii="宋体" w:cs="宋体"/>
      <w:kern w:val="2"/>
      <w:sz w:val="18"/>
      <w:szCs w:val="18"/>
    </w:rPr>
  </w:style>
  <w:style w:type="paragraph" w:styleId="171">
    <w:name w:val="Quote"/>
    <w:basedOn w:val="1"/>
    <w:next w:val="1"/>
    <w:link w:val="172"/>
    <w:qFormat/>
    <w:uiPriority w:val="99"/>
    <w:pPr>
      <w:widowControl/>
      <w:spacing w:before="200" w:line="276" w:lineRule="auto"/>
      <w:ind w:left="360" w:right="360" w:firstLine="0" w:firstLineChars="0"/>
      <w:jc w:val="left"/>
    </w:pPr>
    <w:rPr>
      <w:rFonts w:ascii="Calibri" w:hAnsi="Calibri" w:cs="Calibri"/>
      <w:i/>
      <w:iCs/>
      <w:kern w:val="0"/>
      <w:sz w:val="22"/>
    </w:rPr>
  </w:style>
  <w:style w:type="character" w:customStyle="1" w:styleId="172">
    <w:name w:val="引用 Char"/>
    <w:basedOn w:val="44"/>
    <w:link w:val="171"/>
    <w:qFormat/>
    <w:uiPriority w:val="99"/>
    <w:rPr>
      <w:rFonts w:ascii="Calibri" w:hAnsi="Calibri" w:cs="Calibri"/>
      <w:i/>
      <w:iCs/>
      <w:sz w:val="22"/>
      <w:szCs w:val="22"/>
    </w:rPr>
  </w:style>
  <w:style w:type="character" w:customStyle="1" w:styleId="173">
    <w:name w:val="不明显强调1"/>
    <w:qFormat/>
    <w:uiPriority w:val="99"/>
    <w:rPr>
      <w:i/>
      <w:iCs/>
    </w:rPr>
  </w:style>
  <w:style w:type="character" w:customStyle="1" w:styleId="174">
    <w:name w:val="明显强调11"/>
    <w:qFormat/>
    <w:uiPriority w:val="99"/>
    <w:rPr>
      <w:b/>
      <w:bCs/>
    </w:rPr>
  </w:style>
  <w:style w:type="character" w:customStyle="1" w:styleId="175">
    <w:name w:val="不明显参考1"/>
    <w:qFormat/>
    <w:uiPriority w:val="99"/>
    <w:rPr>
      <w:smallCaps/>
    </w:rPr>
  </w:style>
  <w:style w:type="character" w:customStyle="1" w:styleId="176">
    <w:name w:val="明显参考1"/>
    <w:qFormat/>
    <w:uiPriority w:val="99"/>
    <w:rPr>
      <w:smallCaps/>
      <w:spacing w:val="5"/>
      <w:u w:val="single"/>
    </w:rPr>
  </w:style>
  <w:style w:type="character" w:customStyle="1" w:styleId="177">
    <w:name w:val="书籍标题1"/>
    <w:qFormat/>
    <w:uiPriority w:val="99"/>
    <w:rPr>
      <w:i/>
      <w:iCs/>
      <w:smallCaps/>
      <w:spacing w:val="5"/>
    </w:rPr>
  </w:style>
  <w:style w:type="character" w:customStyle="1" w:styleId="178">
    <w:name w:val="正文缩进 Char"/>
    <w:link w:val="12"/>
    <w:qFormat/>
    <w:locked/>
    <w:uiPriority w:val="99"/>
  </w:style>
  <w:style w:type="character" w:customStyle="1" w:styleId="179">
    <w:name w:val="style3"/>
    <w:basedOn w:val="44"/>
    <w:qFormat/>
    <w:uiPriority w:val="99"/>
  </w:style>
  <w:style w:type="character" w:customStyle="1" w:styleId="180">
    <w:name w:val="11111111111111 Char"/>
    <w:link w:val="181"/>
    <w:qFormat/>
    <w:locked/>
    <w:uiPriority w:val="99"/>
    <w:rPr>
      <w:rFonts w:ascii="宋体" w:cs="宋体"/>
      <w:sz w:val="24"/>
      <w:szCs w:val="24"/>
    </w:rPr>
  </w:style>
  <w:style w:type="paragraph" w:customStyle="1" w:styleId="181">
    <w:name w:val="11111111111111"/>
    <w:basedOn w:val="1"/>
    <w:link w:val="180"/>
    <w:qFormat/>
    <w:uiPriority w:val="99"/>
    <w:pPr>
      <w:spacing w:line="560" w:lineRule="exact"/>
      <w:ind w:firstLine="480"/>
    </w:pPr>
    <w:rPr>
      <w:rFonts w:ascii="宋体" w:cs="宋体"/>
      <w:kern w:val="0"/>
      <w:szCs w:val="24"/>
    </w:rPr>
  </w:style>
  <w:style w:type="character" w:customStyle="1" w:styleId="182">
    <w:name w:val="普通(网站) Char"/>
    <w:link w:val="37"/>
    <w:qFormat/>
    <w:locked/>
    <w:uiPriority w:val="99"/>
    <w:rPr>
      <w:rFonts w:ascii="宋体" w:hAnsi="宋体" w:cs="宋体"/>
      <w:sz w:val="24"/>
      <w:szCs w:val="24"/>
    </w:rPr>
  </w:style>
  <w:style w:type="table" w:customStyle="1" w:styleId="183">
    <w:name w:val="网格型1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4">
    <w:name w:val="hky目录标题"/>
    <w:basedOn w:val="1"/>
    <w:link w:val="185"/>
    <w:qFormat/>
    <w:uiPriority w:val="99"/>
    <w:pPr>
      <w:widowControl/>
      <w:spacing w:beforeLines="50" w:afterLines="50"/>
      <w:ind w:firstLine="0" w:firstLineChars="0"/>
      <w:jc w:val="center"/>
    </w:pPr>
    <w:rPr>
      <w:rFonts w:ascii="黑体" w:hAnsi="黑体" w:eastAsia="黑体" w:cs="黑体"/>
      <w:sz w:val="32"/>
      <w:szCs w:val="32"/>
    </w:rPr>
  </w:style>
  <w:style w:type="character" w:customStyle="1" w:styleId="185">
    <w:name w:val="hky目录标题 字符"/>
    <w:link w:val="184"/>
    <w:qFormat/>
    <w:locked/>
    <w:uiPriority w:val="99"/>
    <w:rPr>
      <w:rFonts w:ascii="黑体" w:hAnsi="黑体" w:eastAsia="黑体" w:cs="黑体"/>
      <w:kern w:val="2"/>
      <w:sz w:val="32"/>
      <w:szCs w:val="32"/>
    </w:rPr>
  </w:style>
  <w:style w:type="character" w:customStyle="1" w:styleId="186">
    <w:name w:val="未处理的提及2"/>
    <w:semiHidden/>
    <w:qFormat/>
    <w:uiPriority w:val="99"/>
    <w:rPr>
      <w:color w:val="auto"/>
      <w:shd w:val="clear" w:color="auto" w:fill="auto"/>
    </w:rPr>
  </w:style>
  <w:style w:type="paragraph" w:customStyle="1" w:styleId="187">
    <w:name w:val="hky目录内容格式"/>
    <w:basedOn w:val="34"/>
    <w:link w:val="190"/>
    <w:qFormat/>
    <w:uiPriority w:val="99"/>
    <w:pPr>
      <w:widowControl/>
      <w:tabs>
        <w:tab w:val="right" w:leader="dot" w:pos="8494"/>
      </w:tabs>
      <w:spacing w:before="50" w:after="50"/>
      <w:ind w:left="0" w:firstLine="0" w:firstLineChars="0"/>
    </w:pPr>
    <w:rPr>
      <w:rFonts w:ascii="Times" w:hAnsi="Times" w:cs="Times"/>
      <w:kern w:val="0"/>
      <w:sz w:val="28"/>
      <w:szCs w:val="28"/>
    </w:rPr>
  </w:style>
  <w:style w:type="paragraph" w:customStyle="1" w:styleId="188">
    <w:name w:val="TOC 标题2"/>
    <w:basedOn w:val="2"/>
    <w:next w:val="1"/>
    <w:qFormat/>
    <w:uiPriority w:val="99"/>
    <w:pPr>
      <w:widowControl/>
      <w:spacing w:before="240" w:line="259" w:lineRule="auto"/>
      <w:jc w:val="left"/>
      <w:outlineLvl w:val="9"/>
    </w:pPr>
    <w:rPr>
      <w:rFonts w:ascii="Cambria" w:hAnsi="Cambria" w:cs="Cambria"/>
      <w:b w:val="0"/>
      <w:bCs w:val="0"/>
      <w:color w:val="365F91"/>
      <w:kern w:val="0"/>
      <w:szCs w:val="32"/>
    </w:rPr>
  </w:style>
  <w:style w:type="character" w:customStyle="1" w:styleId="189">
    <w:name w:val="目录 2 Char"/>
    <w:link w:val="34"/>
    <w:qFormat/>
    <w:locked/>
    <w:uiPriority w:val="99"/>
    <w:rPr>
      <w:rFonts w:ascii="Calibri" w:hAnsi="Calibri" w:eastAsia="宋体"/>
      <w:smallCaps/>
      <w:kern w:val="2"/>
      <w:sz w:val="28"/>
    </w:rPr>
  </w:style>
  <w:style w:type="character" w:customStyle="1" w:styleId="190">
    <w:name w:val="hky目录内容格式 字符"/>
    <w:link w:val="187"/>
    <w:qFormat/>
    <w:locked/>
    <w:uiPriority w:val="99"/>
    <w:rPr>
      <w:rFonts w:ascii="Times" w:hAnsi="Times" w:cs="Times"/>
      <w:smallCaps/>
      <w:sz w:val="28"/>
      <w:szCs w:val="28"/>
    </w:rPr>
  </w:style>
  <w:style w:type="paragraph" w:customStyle="1" w:styleId="191">
    <w:name w:val="TOC 标题3"/>
    <w:basedOn w:val="2"/>
    <w:next w:val="1"/>
    <w:semiHidden/>
    <w:qFormat/>
    <w:uiPriority w:val="99"/>
    <w:pPr>
      <w:widowControl/>
      <w:spacing w:before="480" w:line="276" w:lineRule="auto"/>
      <w:jc w:val="left"/>
      <w:outlineLvl w:val="9"/>
    </w:pPr>
    <w:rPr>
      <w:rFonts w:ascii="Cambria" w:hAnsi="Cambria" w:cs="Cambria"/>
      <w:color w:val="365F91"/>
      <w:kern w:val="0"/>
      <w:sz w:val="28"/>
      <w:szCs w:val="28"/>
    </w:rPr>
  </w:style>
  <w:style w:type="paragraph" w:customStyle="1" w:styleId="192">
    <w:name w:val="Decimal Aligned"/>
    <w:basedOn w:val="1"/>
    <w:qFormat/>
    <w:uiPriority w:val="40"/>
    <w:pPr>
      <w:widowControl/>
      <w:tabs>
        <w:tab w:val="decimal" w:pos="360"/>
      </w:tabs>
      <w:spacing w:after="200" w:line="276" w:lineRule="auto"/>
      <w:ind w:firstLine="0" w:firstLineChars="0"/>
      <w:jc w:val="left"/>
    </w:pPr>
    <w:rPr>
      <w:rFonts w:ascii="Calibri" w:hAnsi="Calibri" w:cs="Calibri"/>
      <w:kern w:val="0"/>
      <w:sz w:val="22"/>
    </w:rPr>
  </w:style>
  <w:style w:type="character" w:customStyle="1" w:styleId="193">
    <w:name w:val="不明显强调2"/>
    <w:qFormat/>
    <w:uiPriority w:val="99"/>
    <w:rPr>
      <w:i/>
      <w:iCs/>
      <w:color w:val="7F7F7F"/>
    </w:rPr>
  </w:style>
  <w:style w:type="paragraph" w:customStyle="1" w:styleId="194">
    <w:name w:val="样式 环评文本 + 自动设置"/>
    <w:basedOn w:val="1"/>
    <w:qFormat/>
    <w:uiPriority w:val="99"/>
    <w:pPr>
      <w:adjustRightInd w:val="0"/>
      <w:snapToGrid w:val="0"/>
      <w:ind w:firstLine="480"/>
    </w:pPr>
    <w:rPr>
      <w:szCs w:val="24"/>
    </w:rPr>
  </w:style>
  <w:style w:type="paragraph" w:customStyle="1" w:styleId="195">
    <w:name w:val="样式 表头图头 + 自动设置"/>
    <w:basedOn w:val="1"/>
    <w:link w:val="197"/>
    <w:qFormat/>
    <w:uiPriority w:val="99"/>
    <w:pPr>
      <w:keepLines/>
      <w:widowControl/>
      <w:adjustRightInd w:val="0"/>
      <w:snapToGrid w:val="0"/>
      <w:spacing w:beforeLines="50" w:line="240" w:lineRule="auto"/>
      <w:ind w:firstLine="0" w:firstLineChars="0"/>
      <w:jc w:val="center"/>
      <w:outlineLvl w:val="3"/>
    </w:pPr>
    <w:rPr>
      <w:b/>
      <w:bCs/>
      <w:color w:val="000000"/>
      <w:szCs w:val="24"/>
    </w:rPr>
  </w:style>
  <w:style w:type="paragraph" w:customStyle="1" w:styleId="196">
    <w:name w:val="样式 居中"/>
    <w:basedOn w:val="1"/>
    <w:qFormat/>
    <w:uiPriority w:val="99"/>
    <w:pPr>
      <w:spacing w:line="240" w:lineRule="auto"/>
      <w:ind w:firstLine="0" w:firstLineChars="0"/>
      <w:jc w:val="center"/>
    </w:pPr>
    <w:rPr>
      <w:sz w:val="21"/>
      <w:szCs w:val="21"/>
    </w:rPr>
  </w:style>
  <w:style w:type="character" w:customStyle="1" w:styleId="197">
    <w:name w:val="样式 表头图头 + 自动设置 Char"/>
    <w:link w:val="195"/>
    <w:qFormat/>
    <w:locked/>
    <w:uiPriority w:val="99"/>
    <w:rPr>
      <w:b/>
      <w:bCs/>
      <w:color w:val="000000"/>
      <w:kern w:val="2"/>
      <w:sz w:val="24"/>
      <w:szCs w:val="24"/>
    </w:rPr>
  </w:style>
  <w:style w:type="character" w:customStyle="1" w:styleId="198">
    <w:name w:val="font21"/>
    <w:qFormat/>
    <w:uiPriority w:val="99"/>
    <w:rPr>
      <w:rFonts w:ascii="Times New Roman" w:hAnsi="Times New Roman" w:cs="Times New Roman"/>
      <w:color w:val="000000"/>
      <w:sz w:val="21"/>
      <w:szCs w:val="21"/>
      <w:u w:val="none"/>
    </w:rPr>
  </w:style>
  <w:style w:type="character" w:customStyle="1" w:styleId="199">
    <w:name w:val="font11"/>
    <w:qFormat/>
    <w:uiPriority w:val="99"/>
    <w:rPr>
      <w:rFonts w:ascii="Times New Roman" w:hAnsi="Times New Roman" w:cs="Times New Roman"/>
      <w:color w:val="000000"/>
      <w:sz w:val="21"/>
      <w:szCs w:val="21"/>
      <w:u w:val="none"/>
      <w:vertAlign w:val="superscript"/>
    </w:rPr>
  </w:style>
  <w:style w:type="character" w:customStyle="1" w:styleId="200">
    <w:name w:val="font01"/>
    <w:qFormat/>
    <w:uiPriority w:val="99"/>
    <w:rPr>
      <w:rFonts w:ascii="宋体" w:hAnsi="宋体" w:eastAsia="宋体" w:cs="宋体"/>
      <w:color w:val="000000"/>
      <w:sz w:val="21"/>
      <w:szCs w:val="21"/>
      <w:u w:val="none"/>
      <w:vertAlign w:val="superscript"/>
    </w:rPr>
  </w:style>
  <w:style w:type="paragraph" w:customStyle="1" w:styleId="201">
    <w:name w:val="环评文本"/>
    <w:basedOn w:val="1"/>
    <w:qFormat/>
    <w:uiPriority w:val="99"/>
    <w:pPr>
      <w:ind w:firstLine="480"/>
    </w:pPr>
    <w:rPr>
      <w:color w:val="0000FF"/>
      <w:szCs w:val="24"/>
    </w:rPr>
  </w:style>
  <w:style w:type="paragraph" w:customStyle="1" w:styleId="202">
    <w:name w:val="修订3"/>
    <w:hidden/>
    <w:semiHidden/>
    <w:qFormat/>
    <w:uiPriority w:val="99"/>
    <w:rPr>
      <w:rFonts w:ascii="Times New Roman" w:hAnsi="Times New Roman" w:eastAsia="宋体" w:cs="Times New Roman"/>
      <w:kern w:val="2"/>
      <w:sz w:val="21"/>
      <w:szCs w:val="21"/>
      <w:lang w:val="en-US" w:eastAsia="zh-CN" w:bidi="ar-SA"/>
    </w:rPr>
  </w:style>
  <w:style w:type="character" w:customStyle="1" w:styleId="203">
    <w:name w:val="不明显强调3"/>
    <w:qFormat/>
    <w:uiPriority w:val="19"/>
    <w:rPr>
      <w:i/>
      <w:iCs/>
      <w:color w:val="000000"/>
    </w:rPr>
  </w:style>
  <w:style w:type="character" w:customStyle="1" w:styleId="204">
    <w:name w:val="明显参考2"/>
    <w:basedOn w:val="44"/>
    <w:qFormat/>
    <w:uiPriority w:val="32"/>
    <w:rPr>
      <w:b/>
      <w:bCs/>
      <w:smallCaps/>
      <w:color w:val="4F81BD" w:themeColor="accent1"/>
      <w:spacing w:val="5"/>
      <w14:textFill>
        <w14:solidFill>
          <w14:schemeClr w14:val="accent1"/>
        </w14:solidFill>
      </w14:textFill>
    </w:rPr>
  </w:style>
  <w:style w:type="table" w:customStyle="1" w:styleId="205">
    <w:name w:val="网格型10"/>
    <w:basedOn w:val="42"/>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6">
    <w:name w:val="Table Text"/>
    <w:basedOn w:val="1"/>
    <w:semiHidden/>
    <w:qFormat/>
    <w:uiPriority w:val="0"/>
    <w:rPr>
      <w:rFonts w:ascii="宋体" w:hAnsi="宋体" w:eastAsia="宋体" w:cs="宋体"/>
      <w:sz w:val="24"/>
      <w:szCs w:val="24"/>
      <w:lang w:val="en-US" w:eastAsia="en-US" w:bidi="ar-SA"/>
    </w:rPr>
  </w:style>
  <w:style w:type="table" w:customStyle="1" w:styleId="207">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3.wmf"/><Relationship Id="rId15" Type="http://schemas.openxmlformats.org/officeDocument/2006/relationships/oleObject" Target="embeddings/oleObject1.bin"/><Relationship Id="rId14" Type="http://schemas.openxmlformats.org/officeDocument/2006/relationships/image" Target="media/image2.png"/><Relationship Id="rId13" Type="http://schemas.openxmlformats.org/officeDocument/2006/relationships/image" Target="media/image1.emf"/><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122</Pages>
  <Words>46560</Words>
  <Characters>50645</Characters>
  <Lines>343</Lines>
  <Paragraphs>96</Paragraphs>
  <TotalTime>84</TotalTime>
  <ScaleCrop>false</ScaleCrop>
  <LinksUpToDate>false</LinksUpToDate>
  <CharactersWithSpaces>51496</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2020-07-17T23:19:00Z</dcterms:created>
  <dc:creator>Kp</dc:creator>
  <cp:lastModifiedBy>bs03</cp:lastModifiedBy>
  <cp:lastPrinted>2020-04-18T19:48:00Z</cp:lastPrinted>
  <dcterms:modified xsi:type="dcterms:W3CDTF">2026-11-03T10:49:58Z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0C81930D0ED8AA5E7E59E86A726CB9C8</vt:lpwstr>
  </property>
  <property fmtid="{D5CDD505-2E9C-101B-9397-08002B2CF9AE}" pid="4" name="KSOTemplateDocerSaveRecord">
    <vt:lpwstr>eyJoZGlkIjoiODViY2JkMjU3NGYzZTEwMzZmMGFkZWViYmNkYWU3NDIiLCJ1c2VySWQiOiI0NDg3MjU0MTUifQ==</vt:lpwstr>
  </property>
</Properties>
</file>