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36"/>
          <w:szCs w:val="36"/>
          <w:highlight w:val="none"/>
        </w:rPr>
      </w:pPr>
    </w:p>
    <w:p>
      <w:pPr>
        <w:rPr>
          <w:color w:val="auto"/>
          <w:sz w:val="36"/>
          <w:szCs w:val="36"/>
          <w:highlight w:val="none"/>
        </w:rPr>
      </w:pPr>
    </w:p>
    <w:p>
      <w:pPr>
        <w:adjustRightInd w:val="0"/>
        <w:snapToGrid w:val="0"/>
        <w:jc w:val="center"/>
        <w:outlineLvl w:val="0"/>
        <w:rPr>
          <w:bCs/>
          <w:color w:val="auto"/>
          <w:sz w:val="72"/>
          <w:szCs w:val="72"/>
          <w:highlight w:val="none"/>
        </w:rPr>
      </w:pPr>
    </w:p>
    <w:p>
      <w:pPr>
        <w:adjustRightInd w:val="0"/>
        <w:snapToGrid w:val="0"/>
        <w:jc w:val="center"/>
        <w:outlineLvl w:val="0"/>
        <w:rPr>
          <w:bCs/>
          <w:color w:val="auto"/>
          <w:sz w:val="72"/>
          <w:szCs w:val="72"/>
          <w:highlight w:val="none"/>
        </w:rPr>
      </w:pPr>
      <w:r>
        <w:rPr>
          <w:bCs/>
          <w:color w:val="auto"/>
          <w:sz w:val="72"/>
          <w:szCs w:val="72"/>
          <w:highlight w:val="none"/>
        </w:rPr>
        <w:t>建设项目环境影响报告表</w:t>
      </w:r>
    </w:p>
    <w:p>
      <w:pPr>
        <w:adjustRightInd w:val="0"/>
        <w:snapToGrid w:val="0"/>
        <w:spacing w:before="249" w:beforeLines="80"/>
        <w:jc w:val="center"/>
        <w:rPr>
          <w:bCs/>
          <w:color w:val="auto"/>
          <w:sz w:val="48"/>
          <w:szCs w:val="48"/>
          <w:highlight w:val="none"/>
        </w:rPr>
      </w:pPr>
      <w:r>
        <w:rPr>
          <w:bCs/>
          <w:color w:val="auto"/>
          <w:sz w:val="48"/>
          <w:szCs w:val="48"/>
          <w:highlight w:val="none"/>
        </w:rPr>
        <w:t>（污染影响类）</w:t>
      </w:r>
    </w:p>
    <w:p>
      <w:pPr>
        <w:adjustRightInd w:val="0"/>
        <w:snapToGrid w:val="0"/>
        <w:spacing w:line="288" w:lineRule="auto"/>
        <w:jc w:val="center"/>
        <w:rPr>
          <w:color w:val="auto"/>
          <w:kern w:val="44"/>
          <w:sz w:val="44"/>
          <w:szCs w:val="44"/>
          <w:highlight w:val="none"/>
        </w:rPr>
      </w:pPr>
    </w:p>
    <w:p>
      <w:pPr>
        <w:jc w:val="center"/>
        <w:rPr>
          <w:color w:val="auto"/>
          <w:sz w:val="52"/>
          <w:szCs w:val="52"/>
          <w:highlight w:val="none"/>
        </w:rPr>
      </w:pPr>
    </w:p>
    <w:p>
      <w:pPr>
        <w:ind w:firstLine="1040"/>
        <w:rPr>
          <w:color w:val="auto"/>
          <w:sz w:val="44"/>
          <w:szCs w:val="44"/>
          <w:highlight w:val="none"/>
        </w:rPr>
      </w:pPr>
    </w:p>
    <w:p>
      <w:pPr>
        <w:ind w:firstLine="1040"/>
        <w:rPr>
          <w:color w:val="auto"/>
          <w:sz w:val="44"/>
          <w:szCs w:val="44"/>
          <w:highlight w:val="none"/>
        </w:rPr>
      </w:pPr>
    </w:p>
    <w:p>
      <w:pPr>
        <w:ind w:firstLine="1040"/>
        <w:rPr>
          <w:color w:val="auto"/>
          <w:sz w:val="44"/>
          <w:szCs w:val="44"/>
          <w:highlight w:val="none"/>
        </w:rPr>
      </w:pPr>
    </w:p>
    <w:p>
      <w:pPr>
        <w:adjustRightInd w:val="0"/>
        <w:snapToGrid w:val="0"/>
        <w:ind w:left="1800" w:hanging="1800" w:hangingChars="500"/>
        <w:rPr>
          <w:color w:val="auto"/>
          <w:sz w:val="36"/>
          <w:szCs w:val="36"/>
          <w:highlight w:val="none"/>
          <w:u w:val="single"/>
        </w:rPr>
      </w:pPr>
      <w:r>
        <w:rPr>
          <w:color w:val="auto"/>
          <w:sz w:val="36"/>
          <w:szCs w:val="36"/>
          <w:highlight w:val="none"/>
        </w:rPr>
        <w:t>项目名称：</w:t>
      </w:r>
      <w:r>
        <w:rPr>
          <w:rFonts w:hint="eastAsia"/>
          <w:color w:val="auto"/>
          <w:sz w:val="36"/>
          <w:szCs w:val="36"/>
          <w:highlight w:val="none"/>
          <w:u w:val="single"/>
        </w:rPr>
        <w:t>清远市华钙环保科技有限公司年产10万吨氢氧化钙、5万吨氧化钙建设项目</w:t>
      </w:r>
    </w:p>
    <w:p>
      <w:pPr>
        <w:adjustRightInd w:val="0"/>
        <w:snapToGrid w:val="0"/>
        <w:rPr>
          <w:color w:val="auto"/>
          <w:sz w:val="36"/>
          <w:szCs w:val="36"/>
          <w:highlight w:val="none"/>
          <w:u w:val="single"/>
        </w:rPr>
      </w:pPr>
      <w:r>
        <w:rPr>
          <w:color w:val="auto"/>
          <w:sz w:val="36"/>
          <w:szCs w:val="36"/>
          <w:highlight w:val="none"/>
        </w:rPr>
        <w:t>建设单位（盖章）：</w:t>
      </w:r>
      <w:r>
        <w:rPr>
          <w:rFonts w:hint="eastAsia"/>
          <w:color w:val="auto"/>
          <w:sz w:val="36"/>
          <w:szCs w:val="36"/>
          <w:highlight w:val="none"/>
          <w:u w:val="single"/>
        </w:rPr>
        <w:t>清远市华钙环保科技有限公司</w:t>
      </w:r>
    </w:p>
    <w:p>
      <w:pPr>
        <w:adjustRightInd w:val="0"/>
        <w:snapToGrid w:val="0"/>
        <w:rPr>
          <w:color w:val="auto"/>
          <w:sz w:val="36"/>
          <w:szCs w:val="36"/>
          <w:highlight w:val="none"/>
          <w:u w:val="single"/>
        </w:rPr>
      </w:pPr>
      <w:r>
        <w:rPr>
          <w:color w:val="auto"/>
          <w:sz w:val="36"/>
          <w:szCs w:val="36"/>
          <w:highlight w:val="none"/>
        </w:rPr>
        <w:t>编制日期</w:t>
      </w:r>
      <w:r>
        <w:rPr>
          <w:rFonts w:hint="eastAsia"/>
          <w:color w:val="auto"/>
          <w:sz w:val="36"/>
          <w:szCs w:val="36"/>
          <w:highlight w:val="none"/>
        </w:rPr>
        <w:t>：</w:t>
      </w:r>
      <w:r>
        <w:rPr>
          <w:color w:val="auto"/>
          <w:sz w:val="36"/>
          <w:szCs w:val="36"/>
          <w:highlight w:val="none"/>
          <w:u w:val="single"/>
        </w:rPr>
        <w:t>2021年</w:t>
      </w:r>
      <w:r>
        <w:rPr>
          <w:rFonts w:hint="eastAsia"/>
          <w:color w:val="auto"/>
          <w:sz w:val="36"/>
          <w:szCs w:val="36"/>
          <w:highlight w:val="none"/>
          <w:u w:val="single"/>
        </w:rPr>
        <w:t>12</w:t>
      </w:r>
      <w:r>
        <w:rPr>
          <w:color w:val="auto"/>
          <w:sz w:val="36"/>
          <w:szCs w:val="36"/>
          <w:highlight w:val="none"/>
          <w:u w:val="single"/>
        </w:rPr>
        <w:t>月</w:t>
      </w:r>
    </w:p>
    <w:p>
      <w:pPr>
        <w:adjustRightInd w:val="0"/>
        <w:snapToGrid w:val="0"/>
        <w:spacing w:line="288" w:lineRule="auto"/>
        <w:ind w:firstLine="1040"/>
        <w:rPr>
          <w:color w:val="auto"/>
          <w:sz w:val="36"/>
          <w:szCs w:val="36"/>
          <w:highlight w:val="none"/>
          <w:u w:val="single"/>
        </w:rPr>
      </w:pPr>
      <w:bookmarkStart w:id="0" w:name="_Hlk57884087"/>
    </w:p>
    <w:p>
      <w:pPr>
        <w:adjustRightInd w:val="0"/>
        <w:snapToGrid w:val="0"/>
        <w:spacing w:line="288" w:lineRule="auto"/>
        <w:ind w:firstLine="1040"/>
        <w:rPr>
          <w:color w:val="auto"/>
          <w:sz w:val="36"/>
          <w:szCs w:val="36"/>
          <w:highlight w:val="none"/>
        </w:rPr>
      </w:pPr>
    </w:p>
    <w:bookmarkEnd w:id="0"/>
    <w:p>
      <w:pPr>
        <w:adjustRightInd w:val="0"/>
        <w:snapToGrid w:val="0"/>
        <w:spacing w:line="288" w:lineRule="auto"/>
        <w:rPr>
          <w:color w:val="auto"/>
          <w:sz w:val="36"/>
          <w:szCs w:val="36"/>
          <w:highlight w:val="none"/>
        </w:rPr>
      </w:pPr>
    </w:p>
    <w:p>
      <w:pPr>
        <w:adjustRightInd w:val="0"/>
        <w:snapToGrid w:val="0"/>
        <w:spacing w:line="288" w:lineRule="auto"/>
        <w:jc w:val="center"/>
        <w:rPr>
          <w:color w:val="auto"/>
          <w:sz w:val="36"/>
          <w:szCs w:val="36"/>
          <w:highlight w:val="none"/>
        </w:rPr>
      </w:pPr>
    </w:p>
    <w:p>
      <w:pPr>
        <w:adjustRightInd w:val="0"/>
        <w:snapToGrid w:val="0"/>
        <w:spacing w:line="288" w:lineRule="auto"/>
        <w:jc w:val="center"/>
        <w:rPr>
          <w:color w:val="auto"/>
          <w:sz w:val="36"/>
          <w:szCs w:val="36"/>
          <w:highlight w:val="none"/>
        </w:rPr>
      </w:pPr>
      <w:r>
        <w:rPr>
          <w:color w:val="auto"/>
          <w:sz w:val="36"/>
          <w:szCs w:val="36"/>
          <w:highlight w:val="none"/>
        </w:rPr>
        <w:t>中华人民共和国生态环境部制</w:t>
      </w:r>
    </w:p>
    <w:p>
      <w:pPr>
        <w:pStyle w:val="25"/>
        <w:jc w:val="center"/>
        <w:outlineLvl w:val="0"/>
        <w:rPr>
          <w:rFonts w:ascii="Times New Roman" w:hAnsi="Times New Roman"/>
          <w:snapToGrid w:val="0"/>
          <w:color w:val="auto"/>
          <w:sz w:val="30"/>
          <w:szCs w:val="30"/>
          <w:highlight w:val="none"/>
        </w:rPr>
        <w:sectPr>
          <w:footerReference r:id="rId5" w:type="default"/>
          <w:pgSz w:w="11906" w:h="16838"/>
          <w:pgMar w:top="1440" w:right="1800" w:bottom="1440" w:left="1800" w:header="851" w:footer="992" w:gutter="0"/>
          <w:cols w:space="425" w:num="1"/>
          <w:docGrid w:type="lines" w:linePitch="312" w:charSpace="0"/>
        </w:sectPr>
      </w:pPr>
    </w:p>
    <w:p>
      <w:pPr>
        <w:pStyle w:val="25"/>
        <w:jc w:val="center"/>
        <w:outlineLvl w:val="0"/>
        <w:rPr>
          <w:rFonts w:ascii="Times New Roman" w:hAnsi="Times New Roman"/>
          <w:snapToGrid w:val="0"/>
          <w:color w:val="auto"/>
          <w:sz w:val="30"/>
          <w:szCs w:val="30"/>
          <w:highlight w:val="none"/>
        </w:rPr>
      </w:pPr>
      <w:r>
        <w:rPr>
          <w:rFonts w:ascii="Times New Roman" w:hAnsi="Times New Roman"/>
          <w:snapToGrid w:val="0"/>
          <w:color w:val="auto"/>
          <w:sz w:val="30"/>
          <w:szCs w:val="30"/>
          <w:highlight w:val="none"/>
        </w:rPr>
        <w:t>一、建设项目基本情况</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49"/>
        <w:gridCol w:w="1282"/>
        <w:gridCol w:w="1836"/>
        <w:gridCol w:w="2071"/>
        <w:gridCol w:w="2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建设项目名称</w:t>
            </w:r>
          </w:p>
        </w:tc>
        <w:tc>
          <w:tcPr>
            <w:tcW w:w="6355" w:type="dxa"/>
            <w:gridSpan w:val="3"/>
            <w:vAlign w:val="center"/>
          </w:tcPr>
          <w:p>
            <w:pPr>
              <w:adjustRightInd w:val="0"/>
              <w:snapToGrid w:val="0"/>
              <w:spacing w:line="240" w:lineRule="auto"/>
              <w:jc w:val="center"/>
              <w:rPr>
                <w:color w:val="auto"/>
                <w:szCs w:val="21"/>
                <w:highlight w:val="none"/>
              </w:rPr>
            </w:pPr>
            <w:r>
              <w:rPr>
                <w:rFonts w:hint="eastAsia"/>
                <w:color w:val="auto"/>
                <w:szCs w:val="21"/>
                <w:highlight w:val="none"/>
              </w:rPr>
              <w:t>清远市华钙环保科技有限公司年产10万吨氢氧化钙、5万吨氧化钙</w:t>
            </w:r>
            <w:r>
              <w:rPr>
                <w:rFonts w:hint="eastAsia"/>
                <w:color w:val="auto"/>
                <w:szCs w:val="21"/>
                <w:highlight w:val="none"/>
                <w:lang w:val="en-US" w:eastAsia="zh-CN"/>
              </w:rPr>
              <w:t>建设</w:t>
            </w:r>
            <w:r>
              <w:rPr>
                <w:rFonts w:hint="eastAsia"/>
                <w:color w:val="auto"/>
                <w:szCs w:val="21"/>
                <w:highlight w:val="none"/>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项目代码</w:t>
            </w:r>
          </w:p>
        </w:tc>
        <w:tc>
          <w:tcPr>
            <w:tcW w:w="6355" w:type="dxa"/>
            <w:gridSpan w:val="3"/>
            <w:vAlign w:val="center"/>
          </w:tcPr>
          <w:p>
            <w:pPr>
              <w:adjustRightInd w:val="0"/>
              <w:snapToGrid w:val="0"/>
              <w:spacing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2112-441803-04-01-741643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建设单位联系人</w:t>
            </w:r>
          </w:p>
        </w:tc>
        <w:tc>
          <w:tcPr>
            <w:tcW w:w="1836"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程建华</w:t>
            </w:r>
          </w:p>
        </w:tc>
        <w:tc>
          <w:tcPr>
            <w:tcW w:w="2071" w:type="dxa"/>
            <w:vAlign w:val="center"/>
          </w:tcPr>
          <w:p>
            <w:pPr>
              <w:adjustRightInd w:val="0"/>
              <w:snapToGrid w:val="0"/>
              <w:spacing w:line="240" w:lineRule="auto"/>
              <w:jc w:val="center"/>
              <w:rPr>
                <w:color w:val="auto"/>
                <w:szCs w:val="21"/>
                <w:highlight w:val="none"/>
              </w:rPr>
            </w:pPr>
            <w:r>
              <w:rPr>
                <w:color w:val="auto"/>
                <w:szCs w:val="21"/>
                <w:highlight w:val="none"/>
              </w:rPr>
              <w:t>联系方式</w:t>
            </w:r>
          </w:p>
        </w:tc>
        <w:tc>
          <w:tcPr>
            <w:tcW w:w="2448"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18623531101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建设地点</w:t>
            </w:r>
          </w:p>
        </w:tc>
        <w:tc>
          <w:tcPr>
            <w:tcW w:w="6355" w:type="dxa"/>
            <w:gridSpan w:val="3"/>
            <w:vAlign w:val="center"/>
          </w:tcPr>
          <w:p>
            <w:pPr>
              <w:adjustRightInd w:val="0"/>
              <w:snapToGrid w:val="0"/>
              <w:spacing w:line="240" w:lineRule="auto"/>
              <w:jc w:val="center"/>
              <w:rPr>
                <w:color w:val="auto"/>
                <w:szCs w:val="21"/>
                <w:highlight w:val="none"/>
              </w:rPr>
            </w:pPr>
            <w:r>
              <w:rPr>
                <w:rFonts w:hint="eastAsia"/>
                <w:color w:val="auto"/>
                <w:szCs w:val="21"/>
                <w:highlight w:val="none"/>
              </w:rPr>
              <w:t>清远市清新区龙颈镇珠坑村委会牛掩村自编001号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地理坐标</w:t>
            </w:r>
          </w:p>
        </w:tc>
        <w:tc>
          <w:tcPr>
            <w:tcW w:w="6355" w:type="dxa"/>
            <w:gridSpan w:val="3"/>
            <w:vAlign w:val="center"/>
          </w:tcPr>
          <w:p>
            <w:pPr>
              <w:spacing w:line="240" w:lineRule="auto"/>
              <w:jc w:val="center"/>
              <w:rPr>
                <w:color w:val="auto"/>
                <w:szCs w:val="21"/>
                <w:highlight w:val="none"/>
              </w:rPr>
            </w:pPr>
            <w:r>
              <w:rPr>
                <w:color w:val="auto"/>
                <w:highlight w:val="none"/>
              </w:rPr>
              <w:t>112°5</w:t>
            </w:r>
            <w:r>
              <w:rPr>
                <w:rFonts w:hint="eastAsia"/>
                <w:color w:val="auto"/>
                <w:highlight w:val="none"/>
              </w:rPr>
              <w:t>4</w:t>
            </w:r>
            <w:r>
              <w:rPr>
                <w:color w:val="auto"/>
                <w:highlight w:val="none"/>
              </w:rPr>
              <w:t>′</w:t>
            </w:r>
            <w:r>
              <w:rPr>
                <w:rFonts w:hint="eastAsia"/>
                <w:color w:val="auto"/>
                <w:highlight w:val="none"/>
              </w:rPr>
              <w:t>58.491</w:t>
            </w:r>
            <w:r>
              <w:rPr>
                <w:color w:val="auto"/>
                <w:highlight w:val="none"/>
              </w:rPr>
              <w:t>″E，23°49′</w:t>
            </w:r>
            <w:r>
              <w:rPr>
                <w:rFonts w:hint="eastAsia"/>
                <w:color w:val="auto"/>
                <w:highlight w:val="none"/>
              </w:rPr>
              <w:t>54.775</w:t>
            </w:r>
            <w:r>
              <w:rPr>
                <w:color w:val="auto"/>
                <w:highlight w:val="none"/>
              </w:rPr>
              <w:t>″N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国民经济</w:t>
            </w:r>
          </w:p>
          <w:p>
            <w:pPr>
              <w:adjustRightInd w:val="0"/>
              <w:snapToGrid w:val="0"/>
              <w:spacing w:line="240" w:lineRule="auto"/>
              <w:jc w:val="center"/>
              <w:rPr>
                <w:color w:val="auto"/>
                <w:szCs w:val="21"/>
                <w:highlight w:val="none"/>
              </w:rPr>
            </w:pPr>
            <w:r>
              <w:rPr>
                <w:color w:val="auto"/>
                <w:szCs w:val="21"/>
                <w:highlight w:val="none"/>
              </w:rPr>
              <w:t>行业类别</w:t>
            </w:r>
          </w:p>
        </w:tc>
        <w:tc>
          <w:tcPr>
            <w:tcW w:w="1836"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C3012石灰和石膏制造</w:t>
            </w:r>
          </w:p>
        </w:tc>
        <w:tc>
          <w:tcPr>
            <w:tcW w:w="2071" w:type="dxa"/>
            <w:vAlign w:val="center"/>
          </w:tcPr>
          <w:p>
            <w:pPr>
              <w:adjustRightInd w:val="0"/>
              <w:snapToGrid w:val="0"/>
              <w:spacing w:line="240" w:lineRule="auto"/>
              <w:jc w:val="center"/>
              <w:rPr>
                <w:color w:val="auto"/>
                <w:szCs w:val="21"/>
                <w:highlight w:val="none"/>
              </w:rPr>
            </w:pPr>
            <w:bookmarkStart w:id="1" w:name="_Hlk49843745"/>
            <w:r>
              <w:rPr>
                <w:color w:val="auto"/>
                <w:szCs w:val="21"/>
                <w:highlight w:val="none"/>
              </w:rPr>
              <w:t>建设项目</w:t>
            </w:r>
          </w:p>
          <w:p>
            <w:pPr>
              <w:adjustRightInd w:val="0"/>
              <w:snapToGrid w:val="0"/>
              <w:spacing w:line="240" w:lineRule="auto"/>
              <w:jc w:val="center"/>
              <w:rPr>
                <w:color w:val="auto"/>
                <w:szCs w:val="21"/>
                <w:highlight w:val="none"/>
              </w:rPr>
            </w:pPr>
            <w:r>
              <w:rPr>
                <w:color w:val="auto"/>
                <w:szCs w:val="21"/>
                <w:highlight w:val="none"/>
              </w:rPr>
              <w:t>行业类别</w:t>
            </w:r>
            <w:bookmarkEnd w:id="1"/>
          </w:p>
        </w:tc>
        <w:tc>
          <w:tcPr>
            <w:tcW w:w="2448"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二十七、非金属矿物制品业-</w:t>
            </w:r>
            <w:r>
              <w:rPr>
                <w:color w:val="auto"/>
                <w:szCs w:val="21"/>
                <w:highlight w:val="none"/>
              </w:rPr>
              <w:t>5</w:t>
            </w:r>
            <w:r>
              <w:rPr>
                <w:rFonts w:hint="eastAsia"/>
                <w:color w:val="auto"/>
                <w:szCs w:val="21"/>
                <w:highlight w:val="none"/>
              </w:rPr>
              <w:t>4水泥、石灰和石膏制</w:t>
            </w:r>
          </w:p>
          <w:p>
            <w:pPr>
              <w:adjustRightInd w:val="0"/>
              <w:snapToGrid w:val="0"/>
              <w:spacing w:line="240" w:lineRule="auto"/>
              <w:jc w:val="center"/>
              <w:rPr>
                <w:color w:val="auto"/>
                <w:szCs w:val="21"/>
                <w:highlight w:val="none"/>
              </w:rPr>
            </w:pPr>
            <w:r>
              <w:rPr>
                <w:rFonts w:hint="eastAsia"/>
                <w:color w:val="auto"/>
                <w:szCs w:val="21"/>
                <w:highlight w:val="none"/>
              </w:rPr>
              <w:t>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建设性质</w:t>
            </w:r>
          </w:p>
        </w:tc>
        <w:tc>
          <w:tcPr>
            <w:tcW w:w="1836" w:type="dxa"/>
            <w:vAlign w:val="center"/>
          </w:tcPr>
          <w:p>
            <w:pPr>
              <w:spacing w:line="240" w:lineRule="auto"/>
              <w:rPr>
                <w:color w:val="auto"/>
                <w:szCs w:val="21"/>
                <w:highlight w:val="none"/>
              </w:rPr>
            </w:pPr>
            <w:r>
              <w:rPr>
                <w:color w:val="auto"/>
                <w:szCs w:val="21"/>
                <w:highlight w:val="none"/>
              </w:rPr>
              <w:sym w:font="Wingdings 2" w:char="0052"/>
            </w:r>
            <w:r>
              <w:rPr>
                <w:color w:val="auto"/>
                <w:szCs w:val="21"/>
                <w:highlight w:val="none"/>
              </w:rPr>
              <w:t>新建（迁建）</w:t>
            </w:r>
          </w:p>
          <w:p>
            <w:pPr>
              <w:spacing w:line="240" w:lineRule="auto"/>
              <w:rPr>
                <w:color w:val="auto"/>
                <w:szCs w:val="21"/>
                <w:highlight w:val="none"/>
              </w:rPr>
            </w:pPr>
            <w:r>
              <w:rPr>
                <w:color w:val="auto"/>
                <w:szCs w:val="21"/>
                <w:highlight w:val="none"/>
              </w:rPr>
              <w:sym w:font="Wingdings 2" w:char="00A3"/>
            </w:r>
            <w:r>
              <w:rPr>
                <w:color w:val="auto"/>
                <w:szCs w:val="21"/>
                <w:highlight w:val="none"/>
              </w:rPr>
              <w:t>改建</w:t>
            </w:r>
          </w:p>
          <w:p>
            <w:pPr>
              <w:spacing w:line="240" w:lineRule="auto"/>
              <w:rPr>
                <w:color w:val="auto"/>
                <w:szCs w:val="21"/>
                <w:highlight w:val="none"/>
              </w:rPr>
            </w:pPr>
            <w:r>
              <w:rPr>
                <w:color w:val="auto"/>
                <w:szCs w:val="21"/>
                <w:highlight w:val="none"/>
              </w:rPr>
              <w:sym w:font="Wingdings 2" w:char="00A3"/>
            </w:r>
            <w:r>
              <w:rPr>
                <w:color w:val="auto"/>
                <w:szCs w:val="21"/>
                <w:highlight w:val="none"/>
              </w:rPr>
              <w:t>扩建</w:t>
            </w:r>
          </w:p>
          <w:p>
            <w:pPr>
              <w:spacing w:line="240" w:lineRule="auto"/>
              <w:rPr>
                <w:color w:val="auto"/>
                <w:szCs w:val="21"/>
                <w:highlight w:val="none"/>
              </w:rPr>
            </w:pPr>
            <w:r>
              <w:rPr>
                <w:color w:val="auto"/>
                <w:szCs w:val="21"/>
                <w:highlight w:val="none"/>
              </w:rPr>
              <w:sym w:font="Wingdings 2" w:char="00A3"/>
            </w:r>
            <w:r>
              <w:rPr>
                <w:color w:val="auto"/>
                <w:szCs w:val="21"/>
                <w:highlight w:val="none"/>
              </w:rPr>
              <w:t>技术改造</w:t>
            </w:r>
          </w:p>
        </w:tc>
        <w:tc>
          <w:tcPr>
            <w:tcW w:w="2071" w:type="dxa"/>
            <w:vAlign w:val="center"/>
          </w:tcPr>
          <w:p>
            <w:pPr>
              <w:adjustRightInd w:val="0"/>
              <w:snapToGrid w:val="0"/>
              <w:spacing w:line="240" w:lineRule="auto"/>
              <w:jc w:val="center"/>
              <w:rPr>
                <w:color w:val="auto"/>
                <w:szCs w:val="21"/>
                <w:highlight w:val="none"/>
              </w:rPr>
            </w:pPr>
            <w:r>
              <w:rPr>
                <w:color w:val="auto"/>
                <w:szCs w:val="21"/>
                <w:highlight w:val="none"/>
              </w:rPr>
              <w:t>建设项目</w:t>
            </w:r>
          </w:p>
          <w:p>
            <w:pPr>
              <w:adjustRightInd w:val="0"/>
              <w:snapToGrid w:val="0"/>
              <w:spacing w:line="240" w:lineRule="auto"/>
              <w:jc w:val="center"/>
              <w:rPr>
                <w:color w:val="auto"/>
                <w:szCs w:val="21"/>
                <w:highlight w:val="none"/>
              </w:rPr>
            </w:pPr>
            <w:r>
              <w:rPr>
                <w:color w:val="auto"/>
                <w:szCs w:val="21"/>
                <w:highlight w:val="none"/>
              </w:rPr>
              <w:t>申报情形</w:t>
            </w:r>
          </w:p>
        </w:tc>
        <w:tc>
          <w:tcPr>
            <w:tcW w:w="2448" w:type="dxa"/>
            <w:vAlign w:val="center"/>
          </w:tcPr>
          <w:p>
            <w:pPr>
              <w:spacing w:line="240" w:lineRule="auto"/>
              <w:rPr>
                <w:color w:val="auto"/>
                <w:szCs w:val="21"/>
                <w:highlight w:val="none"/>
              </w:rPr>
            </w:pPr>
            <w:r>
              <w:rPr>
                <w:color w:val="auto"/>
                <w:szCs w:val="21"/>
                <w:highlight w:val="none"/>
              </w:rPr>
              <w:sym w:font="Wingdings 2" w:char="0052"/>
            </w:r>
            <w:r>
              <w:rPr>
                <w:color w:val="auto"/>
                <w:szCs w:val="21"/>
                <w:highlight w:val="none"/>
              </w:rPr>
              <w:t xml:space="preserve">首次申报项目             </w:t>
            </w:r>
          </w:p>
          <w:p>
            <w:pPr>
              <w:spacing w:line="240" w:lineRule="auto"/>
              <w:rPr>
                <w:color w:val="auto"/>
                <w:szCs w:val="21"/>
                <w:highlight w:val="none"/>
              </w:rPr>
            </w:pPr>
            <w:r>
              <w:rPr>
                <w:color w:val="auto"/>
                <w:szCs w:val="21"/>
                <w:highlight w:val="none"/>
              </w:rPr>
              <w:sym w:font="Wingdings 2" w:char="00A3"/>
            </w:r>
            <w:r>
              <w:rPr>
                <w:color w:val="auto"/>
                <w:szCs w:val="21"/>
                <w:highlight w:val="none"/>
              </w:rPr>
              <w:t>不予批准后再次申报项目</w:t>
            </w:r>
          </w:p>
          <w:p>
            <w:pPr>
              <w:spacing w:line="240" w:lineRule="auto"/>
              <w:rPr>
                <w:color w:val="auto"/>
                <w:szCs w:val="21"/>
                <w:highlight w:val="none"/>
              </w:rPr>
            </w:pPr>
            <w:r>
              <w:rPr>
                <w:color w:val="auto"/>
                <w:szCs w:val="21"/>
                <w:highlight w:val="none"/>
              </w:rPr>
              <w:sym w:font="Wingdings 2" w:char="00A3"/>
            </w:r>
            <w:r>
              <w:rPr>
                <w:color w:val="auto"/>
                <w:szCs w:val="21"/>
                <w:highlight w:val="none"/>
              </w:rPr>
              <w:t xml:space="preserve">超五年重新审核项目     </w:t>
            </w:r>
          </w:p>
          <w:p>
            <w:pPr>
              <w:spacing w:line="240" w:lineRule="auto"/>
              <w:rPr>
                <w:color w:val="auto"/>
                <w:szCs w:val="21"/>
                <w:highlight w:val="none"/>
              </w:rPr>
            </w:pPr>
            <w:r>
              <w:rPr>
                <w:color w:val="auto"/>
                <w:szCs w:val="21"/>
                <w:highlight w:val="none"/>
              </w:rPr>
              <w:sym w:font="Wingdings 2" w:char="00A3"/>
            </w:r>
            <w:r>
              <w:rPr>
                <w:color w:val="auto"/>
                <w:szCs w:val="21"/>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项目审批（核准/</w:t>
            </w:r>
          </w:p>
          <w:p>
            <w:pPr>
              <w:adjustRightInd w:val="0"/>
              <w:snapToGrid w:val="0"/>
              <w:spacing w:line="240" w:lineRule="auto"/>
              <w:jc w:val="center"/>
              <w:rPr>
                <w:color w:val="auto"/>
                <w:szCs w:val="21"/>
                <w:highlight w:val="none"/>
              </w:rPr>
            </w:pPr>
            <w:r>
              <w:rPr>
                <w:color w:val="auto"/>
                <w:szCs w:val="21"/>
                <w:highlight w:val="none"/>
              </w:rPr>
              <w:t>备案）部门（选填）</w:t>
            </w:r>
          </w:p>
        </w:tc>
        <w:tc>
          <w:tcPr>
            <w:tcW w:w="1836"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清新区发展和改革局</w:t>
            </w:r>
          </w:p>
        </w:tc>
        <w:tc>
          <w:tcPr>
            <w:tcW w:w="2071" w:type="dxa"/>
            <w:vAlign w:val="center"/>
          </w:tcPr>
          <w:p>
            <w:pPr>
              <w:adjustRightInd w:val="0"/>
              <w:snapToGrid w:val="0"/>
              <w:spacing w:line="240" w:lineRule="auto"/>
              <w:jc w:val="center"/>
              <w:rPr>
                <w:color w:val="auto"/>
                <w:szCs w:val="21"/>
                <w:highlight w:val="none"/>
              </w:rPr>
            </w:pPr>
            <w:r>
              <w:rPr>
                <w:color w:val="auto"/>
                <w:szCs w:val="21"/>
                <w:highlight w:val="none"/>
              </w:rPr>
              <w:t>项目审批（核准/</w:t>
            </w:r>
          </w:p>
          <w:p>
            <w:pPr>
              <w:adjustRightInd w:val="0"/>
              <w:snapToGrid w:val="0"/>
              <w:spacing w:line="240" w:lineRule="auto"/>
              <w:jc w:val="center"/>
              <w:rPr>
                <w:color w:val="auto"/>
                <w:szCs w:val="21"/>
                <w:highlight w:val="none"/>
              </w:rPr>
            </w:pPr>
            <w:r>
              <w:rPr>
                <w:color w:val="auto"/>
                <w:szCs w:val="21"/>
                <w:highlight w:val="none"/>
              </w:rPr>
              <w:t>备案）文号（选填）</w:t>
            </w:r>
          </w:p>
        </w:tc>
        <w:tc>
          <w:tcPr>
            <w:tcW w:w="2448" w:type="dxa"/>
            <w:vAlign w:val="center"/>
          </w:tcPr>
          <w:p>
            <w:pPr>
              <w:adjustRightInd w:val="0"/>
              <w:snapToGrid w:val="0"/>
              <w:spacing w:line="24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总投资（万元）</w:t>
            </w:r>
          </w:p>
        </w:tc>
        <w:tc>
          <w:tcPr>
            <w:tcW w:w="1836"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1000</w:t>
            </w:r>
          </w:p>
        </w:tc>
        <w:tc>
          <w:tcPr>
            <w:tcW w:w="2071" w:type="dxa"/>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环保投资（万元）</w:t>
            </w:r>
          </w:p>
        </w:tc>
        <w:tc>
          <w:tcPr>
            <w:tcW w:w="2448"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环保投资占比（%）</w:t>
            </w:r>
          </w:p>
        </w:tc>
        <w:tc>
          <w:tcPr>
            <w:tcW w:w="1836"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15</w:t>
            </w:r>
          </w:p>
        </w:tc>
        <w:tc>
          <w:tcPr>
            <w:tcW w:w="2071" w:type="dxa"/>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施工工期</w:t>
            </w:r>
          </w:p>
        </w:tc>
        <w:tc>
          <w:tcPr>
            <w:tcW w:w="2448"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931" w:type="dxa"/>
            <w:gridSpan w:val="2"/>
            <w:tcMar>
              <w:top w:w="16" w:type="dxa"/>
              <w:left w:w="16" w:type="dxa"/>
              <w:right w:w="16" w:type="dxa"/>
            </w:tcMar>
            <w:vAlign w:val="center"/>
          </w:tcPr>
          <w:p>
            <w:pPr>
              <w:adjustRightInd w:val="0"/>
              <w:snapToGrid w:val="0"/>
              <w:spacing w:line="240" w:lineRule="auto"/>
              <w:jc w:val="center"/>
              <w:rPr>
                <w:color w:val="auto"/>
                <w:szCs w:val="21"/>
                <w:highlight w:val="none"/>
              </w:rPr>
            </w:pPr>
            <w:r>
              <w:rPr>
                <w:color w:val="auto"/>
                <w:szCs w:val="21"/>
                <w:highlight w:val="none"/>
              </w:rPr>
              <w:t>是否开工建设</w:t>
            </w:r>
          </w:p>
        </w:tc>
        <w:tc>
          <w:tcPr>
            <w:tcW w:w="1836" w:type="dxa"/>
            <w:vAlign w:val="center"/>
          </w:tcPr>
          <w:p>
            <w:pPr>
              <w:adjustRightInd w:val="0"/>
              <w:snapToGrid w:val="0"/>
              <w:spacing w:line="240" w:lineRule="auto"/>
              <w:rPr>
                <w:color w:val="auto"/>
                <w:szCs w:val="21"/>
                <w:highlight w:val="none"/>
              </w:rPr>
            </w:pPr>
            <w:r>
              <w:rPr>
                <w:color w:val="auto"/>
                <w:szCs w:val="21"/>
                <w:highlight w:val="none"/>
              </w:rPr>
              <w:sym w:font="Wingdings 2" w:char="0052"/>
            </w:r>
            <w:r>
              <w:rPr>
                <w:color w:val="auto"/>
                <w:szCs w:val="21"/>
                <w:highlight w:val="none"/>
              </w:rPr>
              <w:t>否</w:t>
            </w:r>
          </w:p>
          <w:p>
            <w:pPr>
              <w:adjustRightInd w:val="0"/>
              <w:snapToGrid w:val="0"/>
              <w:spacing w:line="240" w:lineRule="auto"/>
              <w:rPr>
                <w:color w:val="auto"/>
                <w:szCs w:val="21"/>
                <w:highlight w:val="none"/>
              </w:rPr>
            </w:pPr>
            <w:r>
              <w:rPr>
                <w:color w:val="auto"/>
                <w:szCs w:val="21"/>
                <w:highlight w:val="none"/>
              </w:rPr>
              <w:sym w:font="Wingdings 2" w:char="00A3"/>
            </w:r>
            <w:r>
              <w:rPr>
                <w:color w:val="auto"/>
                <w:szCs w:val="21"/>
                <w:highlight w:val="none"/>
              </w:rPr>
              <w:t>是：</w:t>
            </w:r>
            <w:r>
              <w:rPr>
                <w:color w:val="auto"/>
                <w:szCs w:val="21"/>
                <w:highlight w:val="none"/>
                <w:u w:val="single"/>
              </w:rPr>
              <w:t xml:space="preserve">             </w:t>
            </w:r>
          </w:p>
        </w:tc>
        <w:tc>
          <w:tcPr>
            <w:tcW w:w="2071" w:type="dxa"/>
            <w:tcMar>
              <w:top w:w="16" w:type="dxa"/>
              <w:left w:w="16" w:type="dxa"/>
              <w:right w:w="16" w:type="dxa"/>
            </w:tcMar>
            <w:vAlign w:val="center"/>
          </w:tcPr>
          <w:p>
            <w:pPr>
              <w:adjustRightInd w:val="0"/>
              <w:snapToGrid w:val="0"/>
              <w:spacing w:line="240" w:lineRule="auto"/>
              <w:jc w:val="center"/>
              <w:rPr>
                <w:color w:val="auto"/>
                <w:spacing w:val="-6"/>
                <w:szCs w:val="21"/>
                <w:highlight w:val="none"/>
              </w:rPr>
            </w:pPr>
            <w:r>
              <w:rPr>
                <w:color w:val="auto"/>
                <w:spacing w:val="-6"/>
                <w:szCs w:val="21"/>
                <w:highlight w:val="none"/>
              </w:rPr>
              <w:t>用地（用海）</w:t>
            </w:r>
          </w:p>
          <w:p>
            <w:pPr>
              <w:adjustRightInd w:val="0"/>
              <w:snapToGrid w:val="0"/>
              <w:spacing w:line="240" w:lineRule="auto"/>
              <w:jc w:val="center"/>
              <w:rPr>
                <w:color w:val="auto"/>
                <w:szCs w:val="21"/>
                <w:highlight w:val="none"/>
              </w:rPr>
            </w:pPr>
            <w:r>
              <w:rPr>
                <w:color w:val="auto"/>
                <w:spacing w:val="-6"/>
                <w:szCs w:val="21"/>
                <w:highlight w:val="none"/>
              </w:rPr>
              <w:t>面积（m</w:t>
            </w:r>
            <w:r>
              <w:rPr>
                <w:color w:val="auto"/>
                <w:spacing w:val="-6"/>
                <w:szCs w:val="21"/>
                <w:highlight w:val="none"/>
                <w:vertAlign w:val="superscript"/>
              </w:rPr>
              <w:t>2</w:t>
            </w:r>
            <w:r>
              <w:rPr>
                <w:color w:val="auto"/>
                <w:spacing w:val="-6"/>
                <w:szCs w:val="21"/>
                <w:highlight w:val="none"/>
              </w:rPr>
              <w:t>）</w:t>
            </w:r>
          </w:p>
        </w:tc>
        <w:tc>
          <w:tcPr>
            <w:tcW w:w="2448" w:type="dxa"/>
            <w:vAlign w:val="center"/>
          </w:tcPr>
          <w:p>
            <w:pPr>
              <w:adjustRightInd w:val="0"/>
              <w:snapToGrid w:val="0"/>
              <w:spacing w:line="240" w:lineRule="auto"/>
              <w:jc w:val="center"/>
              <w:rPr>
                <w:color w:val="auto"/>
                <w:szCs w:val="21"/>
                <w:highlight w:val="none"/>
              </w:rPr>
            </w:pPr>
            <w:r>
              <w:rPr>
                <w:rFonts w:hint="eastAsia"/>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1" w:type="dxa"/>
            <w:gridSpan w:val="2"/>
            <w:vAlign w:val="center"/>
          </w:tcPr>
          <w:p>
            <w:pPr>
              <w:autoSpaceDE w:val="0"/>
              <w:autoSpaceDN w:val="0"/>
              <w:adjustRightInd w:val="0"/>
              <w:snapToGrid w:val="0"/>
              <w:spacing w:line="240" w:lineRule="auto"/>
              <w:jc w:val="center"/>
              <w:rPr>
                <w:color w:val="auto"/>
                <w:kern w:val="0"/>
                <w:szCs w:val="21"/>
                <w:highlight w:val="none"/>
              </w:rPr>
            </w:pPr>
            <w:r>
              <w:rPr>
                <w:color w:val="auto"/>
                <w:kern w:val="0"/>
                <w:szCs w:val="21"/>
                <w:highlight w:val="none"/>
              </w:rPr>
              <w:t>专项评价设置情况</w:t>
            </w:r>
          </w:p>
        </w:tc>
        <w:tc>
          <w:tcPr>
            <w:tcW w:w="6355" w:type="dxa"/>
            <w:gridSpan w:val="3"/>
            <w:vAlign w:val="center"/>
          </w:tcPr>
          <w:p>
            <w:pPr>
              <w:autoSpaceDE w:val="0"/>
              <w:autoSpaceDN w:val="0"/>
              <w:adjustRightInd w:val="0"/>
              <w:snapToGrid w:val="0"/>
              <w:spacing w:line="240" w:lineRule="auto"/>
              <w:jc w:val="center"/>
              <w:rPr>
                <w:color w:val="auto"/>
                <w:kern w:val="0"/>
                <w:szCs w:val="21"/>
                <w:highlight w:val="none"/>
              </w:rPr>
            </w:pPr>
            <w:r>
              <w:rPr>
                <w:color w:val="auto"/>
                <w:kern w:val="0"/>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1" w:type="dxa"/>
            <w:gridSpan w:val="2"/>
            <w:vAlign w:val="center"/>
          </w:tcPr>
          <w:p>
            <w:pPr>
              <w:spacing w:line="240" w:lineRule="auto"/>
              <w:jc w:val="center"/>
              <w:rPr>
                <w:color w:val="auto"/>
                <w:kern w:val="0"/>
                <w:highlight w:val="none"/>
              </w:rPr>
            </w:pPr>
            <w:r>
              <w:rPr>
                <w:color w:val="auto"/>
                <w:highlight w:val="none"/>
              </w:rPr>
              <w:t>规划情况</w:t>
            </w:r>
          </w:p>
        </w:tc>
        <w:tc>
          <w:tcPr>
            <w:tcW w:w="6355" w:type="dxa"/>
            <w:gridSpan w:val="3"/>
            <w:vAlign w:val="center"/>
          </w:tcPr>
          <w:p>
            <w:pPr>
              <w:spacing w:line="240" w:lineRule="auto"/>
              <w:jc w:val="center"/>
              <w:rPr>
                <w:color w:val="auto"/>
                <w:highlight w:val="none"/>
              </w:rPr>
            </w:pPr>
            <w:r>
              <w:rPr>
                <w:rFonts w:hint="eastAsia"/>
                <w:color w:val="auto"/>
                <w:kern w:val="0"/>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931" w:type="dxa"/>
            <w:gridSpan w:val="2"/>
            <w:vAlign w:val="center"/>
          </w:tcPr>
          <w:p>
            <w:pPr>
              <w:spacing w:line="240" w:lineRule="auto"/>
              <w:jc w:val="center"/>
              <w:rPr>
                <w:color w:val="auto"/>
                <w:highlight w:val="none"/>
              </w:rPr>
            </w:pPr>
            <w:r>
              <w:rPr>
                <w:color w:val="auto"/>
                <w:highlight w:val="none"/>
              </w:rPr>
              <w:t>规划环境影响评价情况</w:t>
            </w:r>
          </w:p>
        </w:tc>
        <w:tc>
          <w:tcPr>
            <w:tcW w:w="6355" w:type="dxa"/>
            <w:gridSpan w:val="3"/>
            <w:vAlign w:val="center"/>
          </w:tcPr>
          <w:p>
            <w:pPr>
              <w:spacing w:line="240" w:lineRule="auto"/>
              <w:jc w:val="center"/>
              <w:rPr>
                <w:color w:val="auto"/>
                <w:highlight w:val="none"/>
              </w:rPr>
            </w:pPr>
            <w:r>
              <w:rPr>
                <w:rFonts w:hint="eastAsia"/>
                <w:color w:val="auto"/>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1" w:type="dxa"/>
            <w:gridSpan w:val="2"/>
            <w:vAlign w:val="center"/>
          </w:tcPr>
          <w:p>
            <w:pPr>
              <w:spacing w:line="240" w:lineRule="auto"/>
              <w:jc w:val="center"/>
              <w:rPr>
                <w:color w:val="auto"/>
                <w:highlight w:val="none"/>
              </w:rPr>
            </w:pPr>
            <w:r>
              <w:rPr>
                <w:color w:val="auto"/>
                <w:highlight w:val="none"/>
              </w:rPr>
              <w:t>规划及规划环境影响评价符合性分析</w:t>
            </w:r>
          </w:p>
        </w:tc>
        <w:tc>
          <w:tcPr>
            <w:tcW w:w="6355" w:type="dxa"/>
            <w:gridSpan w:val="3"/>
            <w:vAlign w:val="center"/>
          </w:tcPr>
          <w:p>
            <w:pPr>
              <w:autoSpaceDE w:val="0"/>
              <w:autoSpaceDN w:val="0"/>
              <w:adjustRightInd w:val="0"/>
              <w:snapToGrid w:val="0"/>
              <w:jc w:val="center"/>
              <w:rPr>
                <w:color w:val="auto"/>
                <w:kern w:val="0"/>
                <w:szCs w:val="21"/>
                <w:highlight w:val="none"/>
              </w:rPr>
            </w:pPr>
            <w:r>
              <w:rPr>
                <w:rFonts w:hint="eastAsia"/>
                <w:color w:val="auto"/>
                <w:kern w:val="0"/>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9" w:type="dxa"/>
            <w:vAlign w:val="center"/>
          </w:tcPr>
          <w:p>
            <w:pPr>
              <w:autoSpaceDE w:val="0"/>
              <w:autoSpaceDN w:val="0"/>
              <w:adjustRightInd w:val="0"/>
              <w:snapToGrid w:val="0"/>
              <w:jc w:val="center"/>
              <w:rPr>
                <w:color w:val="auto"/>
                <w:kern w:val="0"/>
                <w:szCs w:val="21"/>
                <w:highlight w:val="none"/>
              </w:rPr>
            </w:pPr>
            <w:r>
              <w:rPr>
                <w:color w:val="auto"/>
                <w:kern w:val="0"/>
                <w:szCs w:val="21"/>
                <w:highlight w:val="none"/>
              </w:rPr>
              <w:t>其他符合性分析</w:t>
            </w:r>
          </w:p>
        </w:tc>
        <w:tc>
          <w:tcPr>
            <w:tcW w:w="7637" w:type="dxa"/>
            <w:gridSpan w:val="4"/>
            <w:vAlign w:val="center"/>
          </w:tcPr>
          <w:p>
            <w:pPr>
              <w:ind w:firstLine="420" w:firstLineChars="200"/>
              <w:rPr>
                <w:color w:val="auto"/>
                <w:kern w:val="0"/>
                <w:highlight w:val="none"/>
              </w:rPr>
            </w:pPr>
            <w:r>
              <w:rPr>
                <w:color w:val="auto"/>
                <w:kern w:val="0"/>
                <w:highlight w:val="none"/>
              </w:rPr>
              <w:t>（1）“三线一单”相符性分析</w:t>
            </w:r>
          </w:p>
          <w:p>
            <w:pPr>
              <w:ind w:firstLine="420" w:firstLineChars="200"/>
              <w:rPr>
                <w:color w:val="auto"/>
                <w:kern w:val="0"/>
                <w:highlight w:val="none"/>
              </w:rPr>
            </w:pPr>
            <w:r>
              <w:rPr>
                <w:rFonts w:hint="eastAsia"/>
                <w:color w:val="auto"/>
                <w:kern w:val="0"/>
                <w:highlight w:val="none"/>
              </w:rPr>
              <w:t>①与《广东省人民政府关于印发广东省“三线一单”生态环境分区管控方案的通知》（粤府[2020]71号）相符性分析</w:t>
            </w:r>
          </w:p>
          <w:p>
            <w:pPr>
              <w:pStyle w:val="46"/>
              <w:numPr>
                <w:ilvl w:val="8"/>
                <w:numId w:val="3"/>
              </w:numPr>
              <w:autoSpaceDE w:val="0"/>
              <w:autoSpaceDN w:val="0"/>
              <w:adjustRightInd w:val="0"/>
              <w:snapToGrid w:val="0"/>
              <w:spacing w:line="240" w:lineRule="auto"/>
              <w:ind w:firstLineChars="0"/>
              <w:jc w:val="center"/>
              <w:rPr>
                <w:b/>
                <w:color w:val="auto"/>
                <w:highlight w:val="none"/>
              </w:rPr>
            </w:pPr>
            <w:r>
              <w:rPr>
                <w:b/>
                <w:color w:val="auto"/>
                <w:highlight w:val="none"/>
              </w:rPr>
              <w:t>项目</w:t>
            </w:r>
            <w:r>
              <w:rPr>
                <w:b/>
                <w:bCs/>
                <w:color w:val="auto"/>
                <w:sz w:val="21"/>
                <w:szCs w:val="21"/>
                <w:highlight w:val="none"/>
                <w:lang w:val="zh-CN"/>
              </w:rPr>
              <w:t>与</w:t>
            </w:r>
            <w:r>
              <w:rPr>
                <w:b/>
                <w:bCs/>
                <w:color w:val="auto"/>
                <w:sz w:val="21"/>
                <w:szCs w:val="21"/>
                <w:highlight w:val="none"/>
              </w:rPr>
              <w:t>“三线一单”</w:t>
            </w:r>
            <w:r>
              <w:rPr>
                <w:b/>
                <w:bCs/>
                <w:color w:val="auto"/>
                <w:sz w:val="21"/>
                <w:szCs w:val="21"/>
                <w:highlight w:val="none"/>
                <w:lang w:val="zh-CN"/>
              </w:rPr>
              <w:t>相符性分析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536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类别</w:t>
                  </w:r>
                </w:p>
              </w:tc>
              <w:tc>
                <w:tcPr>
                  <w:tcW w:w="3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项目对照分析情况</w:t>
                  </w:r>
                </w:p>
              </w:tc>
              <w:tc>
                <w:tcPr>
                  <w:tcW w:w="59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生态保护红线</w:t>
                  </w:r>
                </w:p>
              </w:tc>
              <w:tc>
                <w:tcPr>
                  <w:tcW w:w="3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left"/>
                    <w:textAlignment w:val="auto"/>
                    <w:rPr>
                      <w:color w:val="auto"/>
                      <w:szCs w:val="21"/>
                      <w:highlight w:val="none"/>
                    </w:rPr>
                  </w:pPr>
                  <w:r>
                    <w:rPr>
                      <w:color w:val="auto"/>
                      <w:szCs w:val="21"/>
                      <w:highlight w:val="none"/>
                    </w:rPr>
                    <w:t>本项目选址不涉及自然保护区、风景名胜区、饮用水源保护区、基本农田保护区及其它需要特殊保护的敏感区域，项目位于</w:t>
                  </w:r>
                  <w:r>
                    <w:rPr>
                      <w:rFonts w:hint="eastAsia"/>
                      <w:color w:val="auto"/>
                      <w:szCs w:val="21"/>
                      <w:highlight w:val="none"/>
                    </w:rPr>
                    <w:t>清远市清新区龙颈镇珠坑村委会牛掩村自编001号</w:t>
                  </w:r>
                  <w:r>
                    <w:rPr>
                      <w:color w:val="auto"/>
                      <w:szCs w:val="21"/>
                      <w:highlight w:val="none"/>
                    </w:rPr>
                    <w:t>，不在生态保护红线内。</w:t>
                  </w:r>
                </w:p>
              </w:tc>
              <w:tc>
                <w:tcPr>
                  <w:tcW w:w="59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环境质量底线</w:t>
                  </w:r>
                </w:p>
              </w:tc>
              <w:tc>
                <w:tcPr>
                  <w:tcW w:w="3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left"/>
                    <w:textAlignment w:val="auto"/>
                    <w:rPr>
                      <w:color w:val="auto"/>
                      <w:szCs w:val="21"/>
                      <w:highlight w:val="none"/>
                    </w:rPr>
                  </w:pPr>
                  <w:r>
                    <w:rPr>
                      <w:color w:val="auto"/>
                      <w:szCs w:val="21"/>
                      <w:highlight w:val="none"/>
                    </w:rPr>
                    <w:t>项目所在区域的大气环境</w:t>
                  </w:r>
                  <w:r>
                    <w:rPr>
                      <w:rFonts w:hint="eastAsia"/>
                      <w:color w:val="auto"/>
                      <w:szCs w:val="21"/>
                      <w:highlight w:val="none"/>
                      <w:lang w:eastAsia="zh-CN"/>
                    </w:rPr>
                    <w:t>、</w:t>
                  </w:r>
                  <w:r>
                    <w:rPr>
                      <w:color w:val="auto"/>
                      <w:szCs w:val="21"/>
                      <w:highlight w:val="none"/>
                    </w:rPr>
                    <w:t>地表水环境和声环境质量能够符合相应的标准要求</w:t>
                  </w:r>
                  <w:r>
                    <w:rPr>
                      <w:rFonts w:hint="eastAsia"/>
                      <w:color w:val="auto"/>
                      <w:szCs w:val="21"/>
                      <w:highlight w:val="none"/>
                      <w:lang w:eastAsia="zh-CN"/>
                    </w:rPr>
                    <w:t>。</w:t>
                  </w:r>
                  <w:r>
                    <w:rPr>
                      <w:color w:val="auto"/>
                      <w:szCs w:val="21"/>
                      <w:highlight w:val="none"/>
                    </w:rPr>
                    <w:t>本</w:t>
                  </w:r>
                  <w:r>
                    <w:rPr>
                      <w:rFonts w:hint="eastAsia"/>
                      <w:color w:val="auto"/>
                      <w:szCs w:val="21"/>
                      <w:highlight w:val="none"/>
                    </w:rPr>
                    <w:t>次</w:t>
                  </w:r>
                  <w:r>
                    <w:rPr>
                      <w:rFonts w:hint="eastAsia"/>
                      <w:color w:val="auto"/>
                      <w:szCs w:val="21"/>
                      <w:highlight w:val="none"/>
                      <w:lang w:val="en-US" w:eastAsia="zh-CN"/>
                    </w:rPr>
                    <w:t>新建</w:t>
                  </w:r>
                  <w:r>
                    <w:rPr>
                      <w:color w:val="auto"/>
                      <w:szCs w:val="21"/>
                      <w:highlight w:val="none"/>
                    </w:rPr>
                    <w:t>项目排放的大气污染物为颗粒物，排放量不大，对周围大气环境影响不大。本项目</w:t>
                  </w:r>
                  <w:r>
                    <w:rPr>
                      <w:rFonts w:hint="eastAsia"/>
                      <w:color w:val="auto"/>
                      <w:szCs w:val="21"/>
                      <w:highlight w:val="none"/>
                      <w:lang w:val="en-US" w:eastAsia="zh-CN"/>
                    </w:rPr>
                    <w:t>生活污水处理后用于厂区绿化，不外排</w:t>
                  </w:r>
                  <w:r>
                    <w:rPr>
                      <w:color w:val="auto"/>
                      <w:szCs w:val="21"/>
                      <w:highlight w:val="none"/>
                    </w:rPr>
                    <w:t>，项目符合环境质量底线。</w:t>
                  </w:r>
                </w:p>
              </w:tc>
              <w:tc>
                <w:tcPr>
                  <w:tcW w:w="59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资源利用上线</w:t>
                  </w:r>
                </w:p>
              </w:tc>
              <w:tc>
                <w:tcPr>
                  <w:tcW w:w="3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left"/>
                    <w:textAlignment w:val="auto"/>
                    <w:rPr>
                      <w:color w:val="auto"/>
                      <w:szCs w:val="21"/>
                      <w:highlight w:val="none"/>
                    </w:rPr>
                  </w:pPr>
                  <w:r>
                    <w:rPr>
                      <w:color w:val="auto"/>
                      <w:szCs w:val="21"/>
                      <w:highlight w:val="none"/>
                    </w:rPr>
                    <w:t>区域水、电资源较充足，项目消耗量没有超出资源负荷，没有超出资源利用上线。</w:t>
                  </w:r>
                </w:p>
              </w:tc>
              <w:tc>
                <w:tcPr>
                  <w:tcW w:w="59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kern w:val="0"/>
                      <w:szCs w:val="21"/>
                      <w:highlight w:val="none"/>
                    </w:rPr>
                    <w:t>生态环境准入清单</w:t>
                  </w:r>
                </w:p>
              </w:tc>
              <w:tc>
                <w:tcPr>
                  <w:tcW w:w="3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left"/>
                    <w:textAlignment w:val="auto"/>
                    <w:rPr>
                      <w:color w:val="auto"/>
                      <w:szCs w:val="21"/>
                      <w:highlight w:val="none"/>
                    </w:rPr>
                  </w:pPr>
                  <w:r>
                    <w:rPr>
                      <w:rFonts w:hint="eastAsia"/>
                      <w:color w:val="auto"/>
                      <w:szCs w:val="21"/>
                      <w:highlight w:val="none"/>
                    </w:rPr>
                    <w:t>本次</w:t>
                  </w:r>
                  <w:r>
                    <w:rPr>
                      <w:rFonts w:hint="eastAsia"/>
                      <w:color w:val="auto"/>
                      <w:szCs w:val="21"/>
                      <w:highlight w:val="none"/>
                      <w:lang w:val="en-US" w:eastAsia="zh-CN"/>
                    </w:rPr>
                    <w:t>新建</w:t>
                  </w:r>
                  <w:r>
                    <w:rPr>
                      <w:color w:val="auto"/>
                      <w:szCs w:val="21"/>
                      <w:highlight w:val="none"/>
                    </w:rPr>
                    <w:t>项目产品、设备、工艺不在《产业结构调整指导目录（2019年本）》（国家发展和改革委员会令第29号）中的淘汰类和限制类目录中，也不属于《市场准入负面清单（2020年版）》（发改体改[2020]1880号）中的禁止准入和限制准入项目类别，符合准入清单的要求。</w:t>
                  </w:r>
                </w:p>
              </w:tc>
              <w:tc>
                <w:tcPr>
                  <w:tcW w:w="59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kern w:val="0"/>
                      <w:szCs w:val="21"/>
                      <w:highlight w:val="none"/>
                    </w:rPr>
                  </w:pPr>
                  <w:r>
                    <w:rPr>
                      <w:color w:val="auto"/>
                      <w:kern w:val="0"/>
                      <w:szCs w:val="21"/>
                      <w:highlight w:val="none"/>
                    </w:rPr>
                    <w:t>环境管控单元</w:t>
                  </w:r>
                </w:p>
              </w:tc>
              <w:tc>
                <w:tcPr>
                  <w:tcW w:w="3621"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textAlignment w:val="auto"/>
                    <w:rPr>
                      <w:color w:val="auto"/>
                      <w:szCs w:val="21"/>
                      <w:highlight w:val="none"/>
                    </w:rPr>
                  </w:pPr>
                  <w:r>
                    <w:rPr>
                      <w:color w:val="auto"/>
                      <w:szCs w:val="21"/>
                      <w:highlight w:val="none"/>
                    </w:rPr>
                    <w:t>根据《广东省环境管控单元图》</w:t>
                  </w:r>
                  <w:r>
                    <w:rPr>
                      <w:rFonts w:hint="eastAsia"/>
                      <w:color w:val="auto"/>
                      <w:szCs w:val="21"/>
                      <w:highlight w:val="none"/>
                    </w:rPr>
                    <w:t>和《</w:t>
                  </w:r>
                  <w:r>
                    <w:rPr>
                      <w:rFonts w:hint="eastAsia"/>
                      <w:color w:val="auto"/>
                      <w:szCs w:val="21"/>
                      <w:highlight w:val="none"/>
                      <w:lang w:val="en-US" w:eastAsia="zh-CN"/>
                    </w:rPr>
                    <w:t>清远市</w:t>
                  </w:r>
                  <w:r>
                    <w:rPr>
                      <w:rFonts w:hint="eastAsia"/>
                      <w:color w:val="auto"/>
                      <w:szCs w:val="21"/>
                      <w:highlight w:val="none"/>
                    </w:rPr>
                    <w:t>环境管控单元图》</w:t>
                  </w:r>
                  <w:r>
                    <w:rPr>
                      <w:color w:val="auto"/>
                      <w:szCs w:val="21"/>
                      <w:highlight w:val="none"/>
                    </w:rPr>
                    <w:t>，项目所在位置属于</w:t>
                  </w:r>
                  <w:r>
                    <w:rPr>
                      <w:rFonts w:hint="eastAsia"/>
                      <w:color w:val="auto"/>
                      <w:kern w:val="0"/>
                      <w:highlight w:val="none"/>
                    </w:rPr>
                    <w:t>一般管控</w:t>
                  </w:r>
                  <w:r>
                    <w:rPr>
                      <w:color w:val="auto"/>
                      <w:szCs w:val="21"/>
                      <w:highlight w:val="none"/>
                    </w:rPr>
                    <w:t>单元，不属于优先保护单元。</w:t>
                  </w:r>
                </w:p>
              </w:tc>
              <w:tc>
                <w:tcPr>
                  <w:tcW w:w="594" w:type="pc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color w:val="auto"/>
                      <w:szCs w:val="21"/>
                      <w:highlight w:val="none"/>
                    </w:rPr>
                  </w:pPr>
                  <w:r>
                    <w:rPr>
                      <w:color w:val="auto"/>
                      <w:szCs w:val="21"/>
                      <w:highlight w:val="none"/>
                    </w:rPr>
                    <w:t>符合</w:t>
                  </w:r>
                </w:p>
              </w:tc>
            </w:tr>
          </w:tbl>
          <w:p>
            <w:pPr>
              <w:pStyle w:val="46"/>
              <w:numPr>
                <w:ilvl w:val="8"/>
                <w:numId w:val="3"/>
              </w:numPr>
              <w:autoSpaceDE w:val="0"/>
              <w:autoSpaceDN w:val="0"/>
              <w:adjustRightInd w:val="0"/>
              <w:snapToGrid w:val="0"/>
              <w:spacing w:line="240" w:lineRule="auto"/>
              <w:ind w:firstLineChars="0"/>
              <w:jc w:val="center"/>
              <w:rPr>
                <w:b/>
                <w:color w:val="auto"/>
                <w:highlight w:val="none"/>
              </w:rPr>
            </w:pPr>
            <w:r>
              <w:rPr>
                <w:b/>
                <w:color w:val="auto"/>
                <w:highlight w:val="none"/>
              </w:rPr>
              <w:t>与粤府[2020]71号相符性分析</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4307"/>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类别</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全省总体管控要求</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项目对照分析情况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区域</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布局</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管控</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要求</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jc w:val="center"/>
                    <w:rPr>
                      <w:rFonts w:hint="default"/>
                      <w:b w:val="0"/>
                      <w:bCs w:val="0"/>
                      <w:color w:val="auto"/>
                      <w:sz w:val="21"/>
                      <w:szCs w:val="24"/>
                      <w:highlight w:val="none"/>
                    </w:rPr>
                  </w:pPr>
                  <w:r>
                    <w:rPr>
                      <w:rFonts w:hint="eastAsia"/>
                      <w:b w:val="0"/>
                      <w:bCs w:val="0"/>
                      <w:color w:val="auto"/>
                      <w:sz w:val="21"/>
                      <w:szCs w:val="24"/>
                      <w:highlight w:val="none"/>
                    </w:rPr>
                    <w:t>优先保护生态空间，保育生态功能。持续深入推进产业、能源、交通运输结构调整。按照“一核一带一区”发展格局，调整优化产业集群发展空间布局，推动城市功能定位与产业集群发展协同匹配。积极推进电子信息、绿色石化、汽车制造、智能家电等十大战略性支柱产业集群转型升级，加快培育半导体与集成电路、高端装备制造、新能源、数字创意等十大战略性新兴产业集群规模化、集约化发展，全面提升产业集群绿色发展水平。推动工业项目入园集聚发展，引导重大产业向沿海等环境容量充足地区布局，新建化学制浆、电镀、印染、鞣革等项目入园集中管理。依法依规关停落后产能，全面实施产业绿色化改造，培育壮大循环经济。环境质量不达标区域，新建项目需符合环境质量改善要求。加快推进天然气产供储销体系建设，全面实施燃煤锅炉、工业炉窑清洁能源改造和工业园区集中供热，积极促进用热企业向园区集聚。优化调整交通运输结构，大力发展“公转铁、公转水”和多式联运，积极推进公路、水路等交通运输燃料清洁化，逐步推广新能源物流车辆，积极推动设立“绿色物流”片区。</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本项目选址不涉及自然保护区、风景名胜区、饮用水源保护区、基本农田保护区及其它需要特殊保护的敏感区域，项目位于</w:t>
                  </w:r>
                </w:p>
                <w:p>
                  <w:pPr>
                    <w:pStyle w:val="55"/>
                    <w:spacing w:beforeLines="0" w:afterLines="0"/>
                    <w:rPr>
                      <w:rFonts w:hint="eastAsia" w:eastAsia="宋体"/>
                      <w:b w:val="0"/>
                      <w:bCs w:val="0"/>
                      <w:color w:val="auto"/>
                      <w:sz w:val="21"/>
                      <w:szCs w:val="24"/>
                      <w:highlight w:val="none"/>
                      <w:lang w:eastAsia="zh-CN"/>
                    </w:rPr>
                  </w:pPr>
                  <w:r>
                    <w:rPr>
                      <w:rFonts w:hint="eastAsia"/>
                      <w:color w:val="auto"/>
                      <w:szCs w:val="21"/>
                      <w:highlight w:val="none"/>
                    </w:rPr>
                    <w:t>清远市清新区龙颈镇珠坑村委会牛掩村自编001号</w:t>
                  </w:r>
                  <w:r>
                    <w:rPr>
                      <w:rFonts w:hint="eastAsia"/>
                      <w:b w:val="0"/>
                      <w:bCs w:val="0"/>
                      <w:color w:val="auto"/>
                      <w:sz w:val="21"/>
                      <w:szCs w:val="24"/>
                      <w:highlight w:val="none"/>
                    </w:rPr>
                    <w:t>，不在生态保护红线内。</w:t>
                  </w:r>
                  <w:r>
                    <w:rPr>
                      <w:rFonts w:hint="eastAsia"/>
                      <w:b w:val="0"/>
                      <w:bCs w:val="0"/>
                      <w:color w:val="auto"/>
                      <w:sz w:val="21"/>
                      <w:szCs w:val="24"/>
                      <w:highlight w:val="none"/>
                      <w:lang w:eastAsia="zh-CN"/>
                    </w:rPr>
                    <w:t>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污染</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物排</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放管</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控要</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求</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实施重点污染物总量控制，重点污染物排放总量指标优先向重大发展平台、重点建设项目、重点工业园区、战略性产业集群倾斜。加快建立以排污许可制为核心的固定污染源监管制度，聚焦重点行业和重点区域，强化环境监管执法。超过重点污染物排放总量控制指标或未完成环境质量改善目标的区域，新建、改建、扩建项目重点污染物实施减量替代。重金属污染重点防控区内，重点重金属排放总量只减不增；重金属污染物排放企业清洁生产逐步达到国际或国内先进水平。实施重点行业清洁生产改造，火电及钢铁行业企业大气污染物达到可核查、可监管的超低排放标准，水泥、石化、化工及有色金属冶炼等行业企业大气污染物达到特别排放限值要求。深入推进石化化工、溶剂使用及挥发性有机液体储运销的挥发性有机物减排，通过源头替代、过程控制和末端治理实施反应活性物质、有毒有害物质、恶臭物质的协同控制。严格落实船舶大气污染物排放控制区要求。优化调整供排水格局，禁止在地表水Ⅰ、Ⅱ类水域新建排污口，已建排污口不得增加污染物排放量。加大工业园区污染治理力度，加快完善污水集中处理设施及配套工程建设，建立健全配套管理政策和市场化运行机制，确保园区污水稳定达标排放。加快推进生活污水处理设施建设和提质增效，因地制宜治理农村面源污染，加强畜禽养殖废弃物资源化利用。强化陆海统筹，严控陆源污染物入海量。</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eastAsia="宋体"/>
                      <w:b w:val="0"/>
                      <w:bCs w:val="0"/>
                      <w:color w:val="auto"/>
                      <w:sz w:val="21"/>
                      <w:szCs w:val="24"/>
                      <w:highlight w:val="none"/>
                      <w:lang w:eastAsia="zh-CN"/>
                    </w:rPr>
                  </w:pPr>
                  <w:r>
                    <w:rPr>
                      <w:rFonts w:hint="eastAsia"/>
                      <w:b w:val="0"/>
                      <w:bCs w:val="0"/>
                      <w:color w:val="auto"/>
                      <w:sz w:val="21"/>
                      <w:szCs w:val="24"/>
                      <w:highlight w:val="none"/>
                    </w:rPr>
                    <w:t>项目</w:t>
                  </w:r>
                  <w:r>
                    <w:rPr>
                      <w:rFonts w:hint="eastAsia"/>
                      <w:b w:val="0"/>
                      <w:bCs w:val="0"/>
                      <w:color w:val="auto"/>
                      <w:sz w:val="21"/>
                      <w:szCs w:val="24"/>
                      <w:highlight w:val="none"/>
                      <w:lang w:val="en-US" w:eastAsia="zh-CN"/>
                    </w:rPr>
                    <w:t>污染物为颗粒物，无有机废气</w:t>
                  </w:r>
                  <w:r>
                    <w:rPr>
                      <w:rFonts w:hint="eastAsia"/>
                      <w:b w:val="0"/>
                      <w:bCs w:val="0"/>
                      <w:color w:val="auto"/>
                      <w:sz w:val="21"/>
                      <w:szCs w:val="24"/>
                      <w:highlight w:val="none"/>
                    </w:rPr>
                    <w:t>。</w:t>
                  </w:r>
                  <w:r>
                    <w:rPr>
                      <w:rFonts w:hint="eastAsia"/>
                      <w:b w:val="0"/>
                      <w:bCs w:val="0"/>
                      <w:color w:val="auto"/>
                      <w:sz w:val="21"/>
                      <w:szCs w:val="24"/>
                      <w:highlight w:val="none"/>
                      <w:lang w:eastAsia="zh-CN"/>
                    </w:rPr>
                    <w:t>项目无重金属污染物产生。符合文件要求。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能源</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资源</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利用</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要求</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积极发展先进核电、海上风电、天然气发电等清洁能源，逐步提高可再生能源与低碳清洁能源比例，建立现代化能源体系。科学推进能源消费总量和强度“双控”，严格控制并逐步减少煤炭使用量，力争在全国范围内提前实现碳排放达峰。依法依规强化油品生产、流通、使用、贸易等全流程监管，减少直至杜绝非法劣质油品在全省流通和使用。贯彻落实“节水优先”方针，实行最严格水资源管理制度，把水资源作为刚性约束，以节约用水扩大发展空间。落实东江、西江、北江、韩江、鉴江等流域水资源分配方案，保障主要河流基本生态流量。强化自然岸线保护，优化岸线开发利用格局，建立岸线分类管控和长效管护机制，规范岸线开发秩序；除国家重大项目外，全面禁止围填海。落实单位土地面积投资强度、土地利用强度等建设用地控制性指标要求，提高土地利用效率。推动绿色矿山建设，提高矿产资源产出率。积极发展农业资源利用节约化、生产过程清洁化、废弃物利用资源化等生态循环农业模式。</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项目生产过程中主要消耗能源为</w:t>
                  </w:r>
                  <w:r>
                    <w:rPr>
                      <w:rFonts w:hint="eastAsia"/>
                      <w:b w:val="0"/>
                      <w:bCs w:val="0"/>
                      <w:color w:val="auto"/>
                      <w:sz w:val="21"/>
                      <w:szCs w:val="24"/>
                      <w:highlight w:val="none"/>
                      <w:lang w:val="en-US" w:eastAsia="zh-CN"/>
                    </w:rPr>
                    <w:t>水、</w:t>
                  </w:r>
                  <w:r>
                    <w:rPr>
                      <w:rFonts w:hint="eastAsia"/>
                      <w:b w:val="0"/>
                      <w:bCs w:val="0"/>
                      <w:color w:val="auto"/>
                      <w:sz w:val="21"/>
                      <w:szCs w:val="24"/>
                      <w:highlight w:val="none"/>
                    </w:rPr>
                    <w:t>电能，区域水、电资源较充足，项目消耗量没有超出资源负荷，没有超出资源利用上线。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环境</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风险</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防控</w:t>
                  </w:r>
                </w:p>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要求</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加强东江、西江、北江和韩江等供水通道干流沿岸以及饮用水水源地、备用水源环境风险防控，强化地表水、地下水和土壤污染风险协同防控，建立完善突发环境事件应急管理体系。重点加强环境风险分级分类管理，建立全省环境风险源在线监控预警系统，强化化工企业、涉重金属行业、工业园区和尾矿库等重点环境风险源的环境风险防控。实施农用地分类管理，依法划定特定农产品禁止生产区域，规范受污染建设用地地块再开发。全力避免因各类安全事故（事件）引发的次生环境风险事故（事件）。</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项目不在东江、西江、北江和韩江等供水通道干流沿岸以及饮用水水源地、备用水源保护区，项目不属于重点环境风险源企业。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default"/>
                      <w:b w:val="0"/>
                      <w:bCs w:val="0"/>
                      <w:color w:val="auto"/>
                      <w:sz w:val="21"/>
                      <w:szCs w:val="24"/>
                      <w:highlight w:val="none"/>
                    </w:rPr>
                    <w:t>类别</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珠三角核心区“一核一带一区”区域管控要求</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项目对照分析情况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eastAsia="宋体"/>
                      <w:b w:val="0"/>
                      <w:bCs w:val="0"/>
                      <w:color w:val="auto"/>
                      <w:sz w:val="21"/>
                      <w:szCs w:val="24"/>
                      <w:highlight w:val="none"/>
                      <w:lang w:eastAsia="zh-CN"/>
                    </w:rPr>
                  </w:pPr>
                  <w:r>
                    <w:rPr>
                      <w:rFonts w:hint="eastAsia"/>
                      <w:b w:val="0"/>
                      <w:bCs w:val="0"/>
                      <w:color w:val="auto"/>
                      <w:sz w:val="21"/>
                      <w:szCs w:val="24"/>
                      <w:highlight w:val="none"/>
                      <w:lang w:eastAsia="zh-CN"/>
                    </w:rPr>
                    <w:t>区域布局管控要求</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default"/>
                      <w:b w:val="0"/>
                      <w:bCs w:val="0"/>
                      <w:color w:val="auto"/>
                      <w:sz w:val="21"/>
                      <w:szCs w:val="24"/>
                      <w:highlight w:val="none"/>
                    </w:rPr>
                  </w:pPr>
                  <w:r>
                    <w:rPr>
                      <w:rFonts w:hint="eastAsia"/>
                      <w:b w:val="0"/>
                      <w:bCs w:val="0"/>
                      <w:color w:val="auto"/>
                      <w:sz w:val="21"/>
                      <w:szCs w:val="24"/>
                      <w:highlight w:val="none"/>
                    </w:rPr>
                    <w:t>筑牢珠三角绿色生态屏障，加强区域生态绿核、珠江流域水生态系统、入海河口等生态保护，大力保护生物多样性。积极推动深圳前海、广州南沙、珠海横琴等区域重大战略平台发展；引导电子信息、汽车制造、先进材料等战略性支柱产业绿色转型升级发展，已有石化工业区控制规模，实现绿色化、智能化、集约化发展；加快发展半导体与集成电路、高端装备制造、前沿新材料、区块链与量子信息等战略性新兴产业。禁止新建、扩建燃煤燃油火电机组和企业自备电站，推进现有服役期满及落后老旧的燃煤火电机组有序退出；原则上不再新建燃煤锅炉，逐步淘汰生物质锅炉、集中供热管网覆盖区域内的分散供热锅炉，逐步推动高污染燃料禁燃区全覆盖；禁止新建、扩建水泥、平板玻璃、化学制浆、生皮制革以及国家规划外的钢铁、原油加工等项目。推广应用低挥发性有机物原辅材料，严格限制新建生产和使用高挥发性有机物原辅材料的项目，鼓励建设挥发性有机物共性工厂。除金、银等贵金属，地热、矿泉水，以及建筑用石矿可适度开发外，限制其他矿种开采。</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eastAsia="宋体"/>
                      <w:b w:val="0"/>
                      <w:bCs w:val="0"/>
                      <w:color w:val="auto"/>
                      <w:sz w:val="21"/>
                      <w:szCs w:val="24"/>
                      <w:highlight w:val="none"/>
                      <w:lang w:eastAsia="zh-CN"/>
                    </w:rPr>
                  </w:pPr>
                  <w:r>
                    <w:rPr>
                      <w:rFonts w:hint="eastAsia"/>
                      <w:b w:val="0"/>
                      <w:bCs w:val="0"/>
                      <w:color w:val="auto"/>
                      <w:sz w:val="21"/>
                      <w:szCs w:val="24"/>
                      <w:highlight w:val="none"/>
                    </w:rPr>
                    <w:t>项目位于</w:t>
                  </w:r>
                  <w:r>
                    <w:rPr>
                      <w:rFonts w:hint="eastAsia"/>
                      <w:color w:val="auto"/>
                      <w:szCs w:val="21"/>
                      <w:highlight w:val="none"/>
                    </w:rPr>
                    <w:t>清远市清新区龙颈镇珠坑村委会牛掩村自编001号</w:t>
                  </w:r>
                  <w:r>
                    <w:rPr>
                      <w:rFonts w:hint="eastAsia"/>
                      <w:b w:val="0"/>
                      <w:bCs w:val="0"/>
                      <w:color w:val="auto"/>
                      <w:sz w:val="21"/>
                      <w:szCs w:val="24"/>
                      <w:highlight w:val="none"/>
                    </w:rPr>
                    <w:t>，</w:t>
                  </w:r>
                  <w:r>
                    <w:rPr>
                      <w:rFonts w:hint="eastAsia"/>
                      <w:b w:val="0"/>
                      <w:bCs w:val="0"/>
                      <w:color w:val="auto"/>
                      <w:sz w:val="21"/>
                      <w:szCs w:val="24"/>
                      <w:highlight w:val="none"/>
                      <w:lang w:val="en-US" w:eastAsia="zh-CN"/>
                    </w:rPr>
                    <w:t>生产氢氧化钙、氧化钙</w:t>
                  </w:r>
                  <w:r>
                    <w:rPr>
                      <w:rFonts w:hint="eastAsia"/>
                      <w:b w:val="0"/>
                      <w:bCs w:val="0"/>
                      <w:color w:val="auto"/>
                      <w:sz w:val="21"/>
                      <w:szCs w:val="24"/>
                      <w:highlight w:val="none"/>
                    </w:rPr>
                    <w:t>。项目生产过程中无需使用锅炉及其相应燃料，不属于水泥、平板玻璃、化学制浆、生皮制革行业。</w:t>
                  </w:r>
                  <w:r>
                    <w:rPr>
                      <w:rFonts w:hint="eastAsia"/>
                      <w:b w:val="0"/>
                      <w:bCs w:val="0"/>
                      <w:color w:val="auto"/>
                      <w:sz w:val="21"/>
                      <w:szCs w:val="24"/>
                      <w:highlight w:val="none"/>
                      <w:lang w:val="en-US" w:eastAsia="zh-CN"/>
                    </w:rPr>
                    <w:t>无</w:t>
                  </w:r>
                  <w:r>
                    <w:rPr>
                      <w:rFonts w:hint="eastAsia"/>
                      <w:b w:val="0"/>
                      <w:bCs w:val="0"/>
                      <w:color w:val="auto"/>
                      <w:sz w:val="21"/>
                      <w:szCs w:val="24"/>
                      <w:highlight w:val="none"/>
                      <w:lang w:eastAsia="zh-CN"/>
                    </w:rPr>
                    <w:t>使用</w:t>
                  </w:r>
                  <w:r>
                    <w:rPr>
                      <w:rFonts w:hint="eastAsia"/>
                      <w:b w:val="0"/>
                      <w:bCs w:val="0"/>
                      <w:color w:val="auto"/>
                      <w:sz w:val="21"/>
                      <w:szCs w:val="24"/>
                      <w:highlight w:val="none"/>
                    </w:rPr>
                    <w:t>挥发性有机物原辅材料</w:t>
                  </w:r>
                  <w:r>
                    <w:rPr>
                      <w:rFonts w:hint="eastAsia"/>
                      <w:b w:val="0"/>
                      <w:bCs w:val="0"/>
                      <w:color w:val="auto"/>
                      <w:sz w:val="21"/>
                      <w:szCs w:val="24"/>
                      <w:highlight w:val="none"/>
                      <w:lang w:eastAsia="zh-CN"/>
                    </w:rPr>
                    <w:t>、符合文件要求。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能源</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资源</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利用</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要求</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科学实施能源消费总量和强度“双控”，新建高能耗项目单位产品（产值）能耗达到国际国内先进水平，实现煤炭消费总量负增长。率先探索建立二氧化碳总量管理制度，加快实现碳排放达峰。依法依规科学合理优化调整储油库、加油站布局，加快充电桩、加气站、加氢站以及综合性能源补给站建设，积极推动机动车和非道路移动机械电动化（或实现清洁燃料替代）。大力推进绿色港口和公用码头建设，提升岸电使用率；有序推动船舶、港作机械等“油改气”“油改电”，降低港口柴油使用比例。鼓励天然气企业对城市燃气公司和大工业用户直供，降低供气成本。推进工业节水减排，重点在高耗水行业开展节水改造，提高工业用水效率。加强江河湖库水量调度，保障生态流量。盘活存量建设用地，控制新增建设用地规模。</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项目生产过程中</w:t>
                  </w:r>
                  <w:r>
                    <w:rPr>
                      <w:rFonts w:hint="eastAsia"/>
                      <w:b w:val="0"/>
                      <w:bCs w:val="0"/>
                      <w:color w:val="auto"/>
                      <w:sz w:val="21"/>
                      <w:szCs w:val="24"/>
                      <w:highlight w:val="none"/>
                      <w:lang w:eastAsia="zh-CN"/>
                    </w:rPr>
                    <w:t>设备均使用电能，</w:t>
                  </w:r>
                  <w:r>
                    <w:rPr>
                      <w:rFonts w:hint="eastAsia"/>
                      <w:b w:val="0"/>
                      <w:bCs w:val="0"/>
                      <w:color w:val="auto"/>
                      <w:sz w:val="21"/>
                      <w:szCs w:val="24"/>
                      <w:highlight w:val="none"/>
                    </w:rPr>
                    <w:t>不使用</w:t>
                  </w:r>
                  <w:r>
                    <w:rPr>
                      <w:rFonts w:hint="eastAsia"/>
                      <w:b w:val="0"/>
                      <w:bCs w:val="0"/>
                      <w:color w:val="auto"/>
                      <w:sz w:val="21"/>
                      <w:szCs w:val="24"/>
                      <w:highlight w:val="none"/>
                      <w:lang w:eastAsia="zh-CN"/>
                    </w:rPr>
                    <w:t>其他</w:t>
                  </w:r>
                  <w:r>
                    <w:rPr>
                      <w:rFonts w:hint="eastAsia"/>
                      <w:b w:val="0"/>
                      <w:bCs w:val="0"/>
                      <w:color w:val="auto"/>
                      <w:sz w:val="21"/>
                      <w:szCs w:val="24"/>
                      <w:highlight w:val="none"/>
                    </w:rPr>
                    <w:t>燃料</w:t>
                  </w:r>
                  <w:r>
                    <w:rPr>
                      <w:rFonts w:hint="eastAsia"/>
                      <w:b w:val="0"/>
                      <w:bCs w:val="0"/>
                      <w:color w:val="auto"/>
                      <w:sz w:val="21"/>
                      <w:szCs w:val="24"/>
                      <w:highlight w:val="none"/>
                      <w:lang w:eastAsia="zh-CN"/>
                    </w:rPr>
                    <w:t>。</w:t>
                  </w:r>
                  <w:r>
                    <w:rPr>
                      <w:rFonts w:hint="eastAsia"/>
                      <w:b w:val="0"/>
                      <w:bCs w:val="0"/>
                      <w:color w:val="auto"/>
                      <w:sz w:val="21"/>
                      <w:szCs w:val="24"/>
                      <w:highlight w:val="none"/>
                    </w:rPr>
                    <w:t>项目无生产性废水产生与排放。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环境</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风险</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防控</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要求</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逐步构建城市多水源联网供水格局，建立完善突发环境事件应急管理体系。加强惠州大亚湾石化区、广州石化、珠海高栏港、珠西新材料集聚区等石化、化工重点园区环境风险防控，建立完善污染源在线监控系统，开展有毒有害气体监测，落实环境风险应急预案。提升危险废物监管能力，利用信息化手段，推进全过程跟踪管理；健全危险废物收集体系，推进危险废物利用处置能力结构优化。</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项目位于</w:t>
                  </w:r>
                  <w:r>
                    <w:rPr>
                      <w:rFonts w:hint="eastAsia"/>
                      <w:color w:val="auto"/>
                      <w:szCs w:val="21"/>
                      <w:highlight w:val="none"/>
                    </w:rPr>
                    <w:t>清远市清新区龙颈镇珠坑村委会牛掩村自编001号</w:t>
                  </w:r>
                  <w:r>
                    <w:rPr>
                      <w:rFonts w:hint="eastAsia"/>
                      <w:b w:val="0"/>
                      <w:bCs w:val="0"/>
                      <w:color w:val="auto"/>
                      <w:sz w:val="21"/>
                      <w:szCs w:val="24"/>
                      <w:highlight w:val="none"/>
                      <w:lang w:eastAsia="zh-CN"/>
                    </w:rPr>
                    <w:t>，属于园区外建设项。</w:t>
                  </w:r>
                  <w:r>
                    <w:rPr>
                      <w:rFonts w:hint="eastAsia"/>
                      <w:b w:val="0"/>
                      <w:bCs w:val="0"/>
                      <w:color w:val="auto"/>
                      <w:sz w:val="21"/>
                      <w:szCs w:val="24"/>
                      <w:highlight w:val="none"/>
                    </w:rPr>
                    <w:t>生产过程中会产生</w:t>
                  </w:r>
                  <w:r>
                    <w:rPr>
                      <w:rFonts w:hint="eastAsia"/>
                      <w:b w:val="0"/>
                      <w:bCs w:val="0"/>
                      <w:color w:val="auto"/>
                      <w:sz w:val="21"/>
                      <w:szCs w:val="24"/>
                      <w:highlight w:val="none"/>
                      <w:lang w:eastAsia="zh-CN"/>
                    </w:rPr>
                    <w:t>少量</w:t>
                  </w:r>
                  <w:r>
                    <w:rPr>
                      <w:rFonts w:hint="eastAsia"/>
                      <w:b w:val="0"/>
                      <w:bCs w:val="0"/>
                      <w:color w:val="auto"/>
                      <w:sz w:val="21"/>
                      <w:szCs w:val="24"/>
                      <w:highlight w:val="none"/>
                      <w:lang w:val="en-US" w:eastAsia="zh-CN"/>
                    </w:rPr>
                    <w:t>颗粒物</w:t>
                  </w:r>
                  <w:r>
                    <w:rPr>
                      <w:rFonts w:hint="eastAsia"/>
                      <w:b w:val="0"/>
                      <w:bCs w:val="0"/>
                      <w:color w:val="auto"/>
                      <w:sz w:val="21"/>
                      <w:szCs w:val="24"/>
                      <w:highlight w:val="none"/>
                      <w:lang w:eastAsia="zh-CN"/>
                    </w:rPr>
                    <w:t>，经收集处理后达标排放</w:t>
                  </w:r>
                  <w:r>
                    <w:rPr>
                      <w:rFonts w:hint="eastAsia"/>
                      <w:b w:val="0"/>
                      <w:bCs w:val="0"/>
                      <w:color w:val="auto"/>
                      <w:sz w:val="21"/>
                      <w:szCs w:val="24"/>
                      <w:highlight w:val="none"/>
                    </w:rPr>
                    <w:t>。</w:t>
                  </w:r>
                  <w:r>
                    <w:rPr>
                      <w:rFonts w:hint="eastAsia"/>
                      <w:b w:val="0"/>
                      <w:bCs w:val="0"/>
                      <w:color w:val="auto"/>
                      <w:sz w:val="21"/>
                      <w:szCs w:val="24"/>
                      <w:highlight w:val="none"/>
                      <w:lang w:eastAsia="zh-CN"/>
                    </w:rPr>
                    <w:t>项目产生的</w:t>
                  </w:r>
                  <w:r>
                    <w:rPr>
                      <w:rFonts w:hint="eastAsia"/>
                      <w:b w:val="0"/>
                      <w:bCs w:val="0"/>
                      <w:color w:val="auto"/>
                      <w:sz w:val="21"/>
                      <w:szCs w:val="24"/>
                      <w:highlight w:val="none"/>
                    </w:rPr>
                    <w:t>危险废物</w:t>
                  </w:r>
                  <w:r>
                    <w:rPr>
                      <w:rFonts w:hint="eastAsia"/>
                      <w:b w:val="0"/>
                      <w:bCs w:val="0"/>
                      <w:color w:val="auto"/>
                      <w:sz w:val="21"/>
                      <w:szCs w:val="24"/>
                      <w:highlight w:val="none"/>
                      <w:lang w:eastAsia="zh-CN"/>
                    </w:rPr>
                    <w:t>交由有资质单位处理</w:t>
                  </w:r>
                  <w:r>
                    <w:rPr>
                      <w:rFonts w:hint="eastAsia"/>
                      <w:b w:val="0"/>
                      <w:bCs w:val="0"/>
                      <w:color w:val="auto"/>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类别</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环境管控单元总体管控要求</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项目对照分析情况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Merge w:val="restart"/>
                  <w:tcBorders>
                    <w:top w:val="single" w:color="auto" w:sz="4" w:space="0"/>
                    <w:left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重点</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管控</w:t>
                  </w:r>
                </w:p>
                <w:p>
                  <w:pPr>
                    <w:pStyle w:val="55"/>
                    <w:spacing w:beforeLines="0" w:afterLines="0"/>
                    <w:rPr>
                      <w:rFonts w:hint="eastAsia"/>
                      <w:b w:val="0"/>
                      <w:bCs w:val="0"/>
                      <w:color w:val="auto"/>
                      <w:sz w:val="21"/>
                      <w:szCs w:val="24"/>
                      <w:highlight w:val="none"/>
                      <w:lang w:eastAsia="zh-CN"/>
                    </w:rPr>
                  </w:pPr>
                  <w:r>
                    <w:rPr>
                      <w:rFonts w:hint="eastAsia"/>
                      <w:b w:val="0"/>
                      <w:bCs w:val="0"/>
                      <w:color w:val="auto"/>
                      <w:sz w:val="21"/>
                      <w:szCs w:val="24"/>
                      <w:highlight w:val="none"/>
                      <w:lang w:eastAsia="zh-CN"/>
                    </w:rPr>
                    <w:t>单元</w:t>
                  </w: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省级以上工业园区重点管控单元。依法开展园区规划环评，严格落实规划环评管理要求，开展环境质量跟踪监测，发布环境管理状况公告，制定并实施园区突发环境事件应急预案，定期开展环境安全隐患排查，提升风险防控及应急处置能力。周边1公里范围内涉及生态保护红线、自然保护地、饮用水水源地等生态环境敏感区域的园区，应优化产业布局，控制开发强度，优先引进无污染或轻污染的产业和项目，防止侵占生态空间。纳污水体水质超标的园区，应实施污水深度处理，新建、改建、扩建项目应实行重点污染物排放等量或减量替代。造纸、电镀、印染、鞣革等专业园区或基地应不断提升工艺水平，提高水回用率，逐步削减污染物排放总量；石化园区加快绿色智能升级改造，强化环保投入和管理，构建高效、清洁、低碳、循环的绿色制造体系。</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本项目位于</w:t>
                  </w:r>
                  <w:r>
                    <w:rPr>
                      <w:rFonts w:hint="eastAsia"/>
                      <w:color w:val="auto"/>
                      <w:szCs w:val="21"/>
                      <w:highlight w:val="none"/>
                    </w:rPr>
                    <w:t>清远市清新区龙颈镇珠坑村委会牛掩村自编001号</w:t>
                  </w:r>
                  <w:r>
                    <w:rPr>
                      <w:rFonts w:hint="eastAsia"/>
                      <w:b w:val="0"/>
                      <w:bCs w:val="0"/>
                      <w:color w:val="auto"/>
                      <w:sz w:val="21"/>
                      <w:szCs w:val="24"/>
                      <w:highlight w:val="none"/>
                    </w:rPr>
                    <w:t>，不属于省级以上工业园区（开展规划环评的园区），不属于省级以上工业园区重点管控单元。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Merge w:val="continue"/>
                  <w:tcBorders>
                    <w:left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lang w:eastAsia="zh-CN"/>
                    </w:rPr>
                  </w:pP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水环境质量超标类重点管控单元。加强山水林田湖草系统治理，开展江河、湖泊、水库、湿地保护与修复，提升流域生态环境承载力。严格控制耗水量大、污染物排放强度高的行业发展，新建、改建、扩建项目实施重点水污染物减量替代。以城镇生活污染为主的单元，加快推进城镇生活污水有效收集处理，重点完善污水处理设施配套管网建设，加快实施雨污分流改造，推动提升污水处理设施进水水量和浓度，充分发挥污水处理设施治污效能。以农业污染为主的单元，大力推进畜禽养殖生态化转型及水产养殖业绿色发展，实施种植业“肥药双控”，加强畜禽养殖废弃物资源化利用，加快规模化畜禽养殖场粪便污水贮存、处理与利用配套设施建设，强化水产养殖尾水治理。</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项目生活污水经预处理后</w:t>
                  </w:r>
                  <w:r>
                    <w:rPr>
                      <w:rFonts w:hint="eastAsia"/>
                      <w:b w:val="0"/>
                      <w:bCs w:val="0"/>
                      <w:color w:val="auto"/>
                      <w:sz w:val="21"/>
                      <w:szCs w:val="24"/>
                      <w:highlight w:val="none"/>
                      <w:lang w:val="en-US" w:eastAsia="zh-CN"/>
                    </w:rPr>
                    <w:t>回用于厂区绿化，不外排。</w:t>
                  </w:r>
                  <w:r>
                    <w:rPr>
                      <w:rFonts w:hint="eastAsia"/>
                      <w:b w:val="0"/>
                      <w:bCs w:val="0"/>
                      <w:color w:val="auto"/>
                      <w:sz w:val="21"/>
                      <w:szCs w:val="24"/>
                      <w:highlight w:val="none"/>
                    </w:rPr>
                    <w:t>项目生产过程中无生产性废水排放。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7" w:type="pct"/>
                  <w:vMerge w:val="continue"/>
                  <w:tcBorders>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lang w:eastAsia="zh-CN"/>
                    </w:rPr>
                  </w:pPr>
                </w:p>
              </w:tc>
              <w:tc>
                <w:tcPr>
                  <w:tcW w:w="2906"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大气环境受体敏感类重点管控单元。严格限制新建钢铁、燃煤燃油火电、石化、储油库等项目，产生和排放有毒有害大气污染物项目，以及使用溶剂型油墨、涂料、清洗剂、胶黏剂等高挥发性有机物原辅材料的项目；鼓励现有该类项目逐步搬迁退出。</w:t>
                  </w:r>
                </w:p>
              </w:tc>
              <w:tc>
                <w:tcPr>
                  <w:tcW w:w="1725" w:type="pct"/>
                  <w:tcBorders>
                    <w:top w:val="single" w:color="auto" w:sz="4" w:space="0"/>
                    <w:left w:val="single" w:color="auto" w:sz="4" w:space="0"/>
                    <w:bottom w:val="single" w:color="auto" w:sz="4" w:space="0"/>
                    <w:right w:val="single" w:color="auto" w:sz="4" w:space="0"/>
                    <w:tl2br w:val="nil"/>
                    <w:tr2bl w:val="nil"/>
                  </w:tcBorders>
                  <w:noWrap w:val="0"/>
                  <w:vAlign w:val="center"/>
                </w:tcPr>
                <w:p>
                  <w:pPr>
                    <w:pStyle w:val="55"/>
                    <w:spacing w:beforeLines="0" w:afterLines="0"/>
                    <w:rPr>
                      <w:rFonts w:hint="eastAsia"/>
                      <w:b w:val="0"/>
                      <w:bCs w:val="0"/>
                      <w:color w:val="auto"/>
                      <w:sz w:val="21"/>
                      <w:szCs w:val="24"/>
                      <w:highlight w:val="none"/>
                    </w:rPr>
                  </w:pPr>
                  <w:r>
                    <w:rPr>
                      <w:rFonts w:hint="eastAsia"/>
                      <w:b w:val="0"/>
                      <w:bCs w:val="0"/>
                      <w:color w:val="auto"/>
                      <w:sz w:val="21"/>
                      <w:szCs w:val="24"/>
                      <w:highlight w:val="none"/>
                    </w:rPr>
                    <w:t>本项目所在区域属于环境空气二类功能区，评价范围内无环境空气一类功能区，</w:t>
                  </w:r>
                  <w:r>
                    <w:rPr>
                      <w:rFonts w:hint="eastAsia"/>
                      <w:b w:val="0"/>
                      <w:bCs w:val="0"/>
                      <w:color w:val="auto"/>
                      <w:sz w:val="21"/>
                      <w:szCs w:val="24"/>
                      <w:highlight w:val="none"/>
                      <w:lang w:val="en-US" w:eastAsia="zh-CN"/>
                    </w:rPr>
                    <w:t>项目无使用VOCs原辅料</w:t>
                  </w:r>
                  <w:r>
                    <w:rPr>
                      <w:rFonts w:hint="eastAsia"/>
                      <w:b w:val="0"/>
                      <w:bCs w:val="0"/>
                      <w:color w:val="auto"/>
                      <w:sz w:val="21"/>
                      <w:szCs w:val="24"/>
                      <w:highlight w:val="none"/>
                    </w:rPr>
                    <w:t>，本项目不属于大气环境受体敏感类重点管控单元。</w:t>
                  </w:r>
                </w:p>
              </w:tc>
            </w:tr>
          </w:tbl>
          <w:p>
            <w:pPr>
              <w:ind w:firstLine="420" w:firstLineChars="200"/>
              <w:rPr>
                <w:color w:val="auto"/>
                <w:kern w:val="0"/>
                <w:szCs w:val="21"/>
                <w:highlight w:val="none"/>
              </w:rPr>
            </w:pPr>
            <w:r>
              <w:rPr>
                <w:rFonts w:hint="eastAsia"/>
                <w:color w:val="auto"/>
                <w:kern w:val="0"/>
                <w:szCs w:val="21"/>
                <w:highlight w:val="none"/>
              </w:rPr>
              <w:t>本项目符合《广东省人民政府关于印发广东省“三线一单”生态环境分区管控方案的通知》（粤府[2020]71号）的相关要求</w:t>
            </w:r>
            <w:r>
              <w:rPr>
                <w:rFonts w:hint="eastAsia"/>
                <w:color w:val="auto"/>
                <w:highlight w:val="none"/>
              </w:rPr>
              <w:t>。</w:t>
            </w:r>
          </w:p>
          <w:p>
            <w:pPr>
              <w:ind w:firstLine="420" w:firstLineChars="200"/>
              <w:rPr>
                <w:color w:val="auto"/>
                <w:kern w:val="0"/>
                <w:highlight w:val="none"/>
              </w:rPr>
            </w:pPr>
            <w:r>
              <w:rPr>
                <w:rFonts w:hint="eastAsia"/>
                <w:color w:val="auto"/>
                <w:kern w:val="0"/>
                <w:highlight w:val="none"/>
              </w:rPr>
              <w:t>②与《清远市“三线一单”生态环境分区管控方案》相符性分析</w:t>
            </w:r>
          </w:p>
          <w:p>
            <w:pPr>
              <w:ind w:firstLine="420" w:firstLineChars="200"/>
              <w:jc w:val="both"/>
              <w:rPr>
                <w:color w:val="auto"/>
                <w:kern w:val="0"/>
                <w:highlight w:val="none"/>
              </w:rPr>
            </w:pPr>
            <w:r>
              <w:rPr>
                <w:rFonts w:hint="eastAsia"/>
                <w:color w:val="auto"/>
                <w:kern w:val="0"/>
                <w:highlight w:val="none"/>
              </w:rPr>
              <w:t>项目所在区域属于清新区龙颈镇一般管控单元（管控单元编号：ZH44180330002）。与《清远市“三线一单”生态环境分区管控方案》（</w:t>
            </w:r>
            <w:r>
              <w:rPr>
                <w:rFonts w:hint="eastAsia"/>
                <w:color w:val="auto"/>
                <w:highlight w:val="none"/>
              </w:rPr>
              <w:t>清府〔2021〕22号</w:t>
            </w:r>
            <w:r>
              <w:rPr>
                <w:rFonts w:hint="eastAsia"/>
                <w:color w:val="auto"/>
                <w:kern w:val="0"/>
                <w:highlight w:val="none"/>
              </w:rPr>
              <w:t>）相符性分析见下表。</w:t>
            </w:r>
          </w:p>
          <w:p>
            <w:pPr>
              <w:pStyle w:val="46"/>
              <w:numPr>
                <w:ilvl w:val="8"/>
                <w:numId w:val="3"/>
              </w:numPr>
              <w:autoSpaceDE w:val="0"/>
              <w:autoSpaceDN w:val="0"/>
              <w:adjustRightInd w:val="0"/>
              <w:snapToGrid w:val="0"/>
              <w:spacing w:line="240" w:lineRule="auto"/>
              <w:ind w:firstLineChars="0"/>
              <w:jc w:val="center"/>
              <w:rPr>
                <w:b/>
                <w:color w:val="auto"/>
                <w:highlight w:val="none"/>
              </w:rPr>
            </w:pPr>
            <w:r>
              <w:rPr>
                <w:rFonts w:hint="eastAsia"/>
                <w:b/>
                <w:color w:val="auto"/>
                <w:highlight w:val="none"/>
              </w:rPr>
              <w:t>项目与</w:t>
            </w:r>
            <w:r>
              <w:rPr>
                <w:rFonts w:hint="eastAsia"/>
                <w:b/>
                <w:bCs/>
                <w:color w:val="auto"/>
                <w:highlight w:val="none"/>
              </w:rPr>
              <w:t>清府〔2021〕22号</w:t>
            </w:r>
            <w:r>
              <w:rPr>
                <w:rFonts w:hint="eastAsia"/>
                <w:b/>
                <w:color w:val="auto"/>
                <w:highlight w:val="none"/>
              </w:rPr>
              <w:t>相符性分析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478"/>
              <w:gridCol w:w="4391"/>
              <w:gridCol w:w="1988"/>
              <w:gridCol w:w="55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86" w:type="dxa"/>
                  <w:vAlign w:val="center"/>
                </w:tcPr>
                <w:p>
                  <w:pPr>
                    <w:spacing w:line="240" w:lineRule="auto"/>
                    <w:jc w:val="center"/>
                    <w:rPr>
                      <w:color w:val="auto"/>
                      <w:szCs w:val="21"/>
                      <w:highlight w:val="none"/>
                    </w:rPr>
                  </w:pPr>
                  <w:r>
                    <w:rPr>
                      <w:rFonts w:hint="eastAsia"/>
                      <w:color w:val="auto"/>
                      <w:szCs w:val="21"/>
                      <w:highlight w:val="none"/>
                    </w:rPr>
                    <w:t>管控纬度</w:t>
                  </w:r>
                </w:p>
              </w:tc>
              <w:tc>
                <w:tcPr>
                  <w:tcW w:w="3548" w:type="dxa"/>
                  <w:vAlign w:val="center"/>
                </w:tcPr>
                <w:p>
                  <w:pPr>
                    <w:spacing w:line="240" w:lineRule="auto"/>
                    <w:jc w:val="center"/>
                    <w:rPr>
                      <w:color w:val="auto"/>
                      <w:szCs w:val="21"/>
                      <w:highlight w:val="none"/>
                    </w:rPr>
                  </w:pPr>
                  <w:r>
                    <w:rPr>
                      <w:rFonts w:hint="eastAsia"/>
                      <w:color w:val="auto"/>
                      <w:szCs w:val="21"/>
                      <w:highlight w:val="none"/>
                    </w:rPr>
                    <w:t>管控要求</w:t>
                  </w:r>
                </w:p>
              </w:tc>
              <w:tc>
                <w:tcPr>
                  <w:tcW w:w="1606" w:type="dxa"/>
                  <w:vAlign w:val="center"/>
                </w:tcPr>
                <w:p>
                  <w:pPr>
                    <w:spacing w:line="240" w:lineRule="auto"/>
                    <w:jc w:val="center"/>
                    <w:rPr>
                      <w:color w:val="auto"/>
                      <w:szCs w:val="21"/>
                      <w:highlight w:val="none"/>
                    </w:rPr>
                  </w:pPr>
                  <w:r>
                    <w:rPr>
                      <w:rFonts w:hint="eastAsia"/>
                      <w:color w:val="auto"/>
                      <w:szCs w:val="21"/>
                      <w:highlight w:val="none"/>
                    </w:rPr>
                    <w:t>本项目</w:t>
                  </w:r>
                </w:p>
              </w:tc>
              <w:tc>
                <w:tcPr>
                  <w:tcW w:w="448" w:type="dxa"/>
                  <w:vAlign w:val="center"/>
                </w:tcPr>
                <w:p>
                  <w:pPr>
                    <w:spacing w:line="240" w:lineRule="auto"/>
                    <w:jc w:val="center"/>
                    <w:rPr>
                      <w:color w:val="auto"/>
                      <w:szCs w:val="21"/>
                      <w:highlight w:val="none"/>
                    </w:rPr>
                  </w:pPr>
                  <w:r>
                    <w:rPr>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386" w:type="dxa"/>
                  <w:vAlign w:val="center"/>
                </w:tcPr>
                <w:p>
                  <w:pPr>
                    <w:spacing w:line="240" w:lineRule="auto"/>
                    <w:jc w:val="center"/>
                    <w:rPr>
                      <w:color w:val="auto"/>
                      <w:szCs w:val="21"/>
                      <w:highlight w:val="none"/>
                    </w:rPr>
                  </w:pPr>
                  <w:r>
                    <w:rPr>
                      <w:color w:val="auto"/>
                      <w:szCs w:val="21"/>
                      <w:highlight w:val="none"/>
                    </w:rPr>
                    <w:t>区域布局管控</w:t>
                  </w:r>
                </w:p>
              </w:tc>
              <w:tc>
                <w:tcPr>
                  <w:tcW w:w="3548" w:type="dxa"/>
                  <w:vAlign w:val="center"/>
                </w:tcPr>
                <w:p>
                  <w:pPr>
                    <w:pStyle w:val="3"/>
                    <w:tabs>
                      <w:tab w:val="left" w:pos="0"/>
                      <w:tab w:val="left" w:pos="420"/>
                    </w:tabs>
                    <w:spacing w:line="240" w:lineRule="auto"/>
                    <w:ind w:firstLine="420" w:firstLineChars="200"/>
                    <w:jc w:val="both"/>
                    <w:rPr>
                      <w:rFonts w:ascii="Times New Roman" w:hAnsi="Times New Roman" w:cs="Times New Roman"/>
                      <w:b w:val="0"/>
                      <w:bCs/>
                      <w:color w:val="auto"/>
                      <w:kern w:val="0"/>
                      <w:sz w:val="21"/>
                      <w:szCs w:val="21"/>
                      <w:highlight w:val="none"/>
                    </w:rPr>
                  </w:pPr>
                  <w:r>
                    <w:rPr>
                      <w:rFonts w:ascii="Times New Roman" w:hAnsi="Times New Roman" w:cs="Times New Roman"/>
                      <w:b w:val="0"/>
                      <w:bCs/>
                      <w:color w:val="auto"/>
                      <w:kern w:val="0"/>
                      <w:sz w:val="21"/>
                      <w:szCs w:val="21"/>
                      <w:highlight w:val="none"/>
                    </w:rPr>
                    <w:t>1-1.【产业/综合类】石坎镇圩在执行区域生态环境保护的基本要求上允许保留传统工业（电工陶瓷）。</w:t>
                  </w:r>
                </w:p>
                <w:p>
                  <w:pPr>
                    <w:pStyle w:val="3"/>
                    <w:tabs>
                      <w:tab w:val="left" w:pos="0"/>
                      <w:tab w:val="left" w:pos="420"/>
                    </w:tabs>
                    <w:spacing w:line="240" w:lineRule="auto"/>
                    <w:ind w:firstLine="420" w:firstLineChars="200"/>
                    <w:jc w:val="both"/>
                    <w:rPr>
                      <w:rFonts w:ascii="Times New Roman" w:hAnsi="Times New Roman" w:cs="Times New Roman"/>
                      <w:b w:val="0"/>
                      <w:bCs/>
                      <w:color w:val="auto"/>
                      <w:kern w:val="0"/>
                      <w:sz w:val="21"/>
                      <w:szCs w:val="21"/>
                      <w:highlight w:val="none"/>
                    </w:rPr>
                  </w:pPr>
                  <w:r>
                    <w:rPr>
                      <w:rFonts w:ascii="Times New Roman" w:hAnsi="Times New Roman" w:cs="Times New Roman"/>
                      <w:b w:val="0"/>
                      <w:bCs/>
                      <w:color w:val="auto"/>
                      <w:kern w:val="0"/>
                      <w:sz w:val="21"/>
                      <w:szCs w:val="21"/>
                      <w:highlight w:val="none"/>
                    </w:rPr>
                    <w:t>1-2.【生态/综合类】一般生态空间内，可开展生态保护红线内允许的活动；在不影响主导生态功能的前提下，还可开展国家和省规定不纳入环评管理的项目建设，和生态旅游、畜禽养殖、基础设施建设、村庄建设等人为活动，以及依法进行的人工商品林采伐和树种更新等经营活动。</w:t>
                  </w:r>
                </w:p>
                <w:p>
                  <w:pPr>
                    <w:pStyle w:val="3"/>
                    <w:tabs>
                      <w:tab w:val="left" w:pos="0"/>
                      <w:tab w:val="left" w:pos="420"/>
                    </w:tabs>
                    <w:spacing w:line="240" w:lineRule="auto"/>
                    <w:ind w:firstLine="420" w:firstLineChars="200"/>
                    <w:jc w:val="both"/>
                    <w:rPr>
                      <w:rFonts w:ascii="Times New Roman" w:hAnsi="Times New Roman" w:cs="Times New Roman"/>
                      <w:b w:val="0"/>
                      <w:bCs/>
                      <w:color w:val="auto"/>
                      <w:kern w:val="0"/>
                      <w:sz w:val="21"/>
                      <w:szCs w:val="21"/>
                      <w:highlight w:val="none"/>
                    </w:rPr>
                  </w:pPr>
                  <w:r>
                    <w:rPr>
                      <w:rFonts w:ascii="Times New Roman" w:hAnsi="Times New Roman" w:cs="Times New Roman"/>
                      <w:b w:val="0"/>
                      <w:bCs/>
                      <w:color w:val="auto"/>
                      <w:kern w:val="0"/>
                      <w:sz w:val="21"/>
                      <w:szCs w:val="21"/>
                      <w:highlight w:val="none"/>
                    </w:rPr>
                    <w:t>1-3.【大气/鼓励引导类】引导工业项目向工业集聚区落地集聚发展，大气环境高排放重点管控区内加强污染物达标监管，有序推进行业企业提标改造。</w:t>
                  </w:r>
                </w:p>
                <w:p>
                  <w:pPr>
                    <w:pStyle w:val="3"/>
                    <w:tabs>
                      <w:tab w:val="left" w:pos="0"/>
                      <w:tab w:val="left" w:pos="420"/>
                    </w:tabs>
                    <w:spacing w:line="240" w:lineRule="auto"/>
                    <w:ind w:firstLine="420" w:firstLineChars="200"/>
                    <w:jc w:val="both"/>
                    <w:rPr>
                      <w:rFonts w:ascii="Times New Roman" w:hAnsi="Times New Roman" w:cs="Times New Roman"/>
                      <w:b w:val="0"/>
                      <w:bCs/>
                      <w:color w:val="auto"/>
                      <w:kern w:val="0"/>
                      <w:sz w:val="21"/>
                      <w:szCs w:val="21"/>
                      <w:highlight w:val="none"/>
                    </w:rPr>
                  </w:pPr>
                  <w:r>
                    <w:rPr>
                      <w:rFonts w:ascii="Times New Roman" w:hAnsi="Times New Roman" w:cs="Times New Roman"/>
                      <w:b w:val="0"/>
                      <w:bCs/>
                      <w:color w:val="auto"/>
                      <w:kern w:val="0"/>
                      <w:sz w:val="21"/>
                      <w:szCs w:val="21"/>
                      <w:highlight w:val="none"/>
                    </w:rPr>
                    <w:t>1-4.【大气/限制类】大气环境弱扩散重点管控区内，限制引入大气污染物排放较大的建设项目。</w:t>
                  </w:r>
                </w:p>
                <w:p>
                  <w:pPr>
                    <w:pStyle w:val="3"/>
                    <w:tabs>
                      <w:tab w:val="left" w:pos="0"/>
                      <w:tab w:val="left" w:pos="420"/>
                    </w:tabs>
                    <w:spacing w:line="240" w:lineRule="auto"/>
                    <w:ind w:firstLine="420" w:firstLineChars="200"/>
                    <w:jc w:val="both"/>
                    <w:rPr>
                      <w:color w:val="auto"/>
                      <w:sz w:val="21"/>
                      <w:szCs w:val="21"/>
                      <w:highlight w:val="none"/>
                    </w:rPr>
                  </w:pPr>
                  <w:r>
                    <w:rPr>
                      <w:rFonts w:ascii="Times New Roman" w:hAnsi="Times New Roman" w:cs="Times New Roman"/>
                      <w:b w:val="0"/>
                      <w:bCs/>
                      <w:color w:val="auto"/>
                      <w:kern w:val="0"/>
                      <w:sz w:val="21"/>
                      <w:szCs w:val="21"/>
                      <w:highlight w:val="none"/>
                    </w:rPr>
                    <w:t>1-5.【其他/综合类】根据资源环境承载能力，引导产业科学布局，合理控制开发强度，维护生态环境功能稳定。</w:t>
                  </w:r>
                </w:p>
              </w:tc>
              <w:tc>
                <w:tcPr>
                  <w:tcW w:w="1606" w:type="dxa"/>
                  <w:vAlign w:val="center"/>
                </w:tcPr>
                <w:p>
                  <w:pPr>
                    <w:spacing w:line="240" w:lineRule="auto"/>
                    <w:ind w:firstLine="420" w:firstLineChars="200"/>
                    <w:rPr>
                      <w:color w:val="auto"/>
                      <w:highlight w:val="none"/>
                    </w:rPr>
                  </w:pPr>
                  <w:r>
                    <w:rPr>
                      <w:rFonts w:hint="eastAsia"/>
                      <w:color w:val="auto"/>
                      <w:highlight w:val="none"/>
                    </w:rPr>
                    <w:t>1-1.本项目位于清远市清新区龙颈镇珠坑村委会牛掩村自编001号，不属于</w:t>
                  </w:r>
                  <w:r>
                    <w:rPr>
                      <w:color w:val="auto"/>
                      <w:highlight w:val="none"/>
                    </w:rPr>
                    <w:t>石坎镇圩</w:t>
                  </w:r>
                  <w:r>
                    <w:rPr>
                      <w:rFonts w:hint="eastAsia"/>
                      <w:color w:val="auto"/>
                      <w:highlight w:val="none"/>
                    </w:rPr>
                    <w:t>；</w:t>
                  </w:r>
                </w:p>
                <w:p>
                  <w:pPr>
                    <w:spacing w:line="240" w:lineRule="auto"/>
                    <w:ind w:firstLine="420" w:firstLineChars="200"/>
                    <w:rPr>
                      <w:bCs/>
                      <w:color w:val="auto"/>
                      <w:kern w:val="0"/>
                      <w:szCs w:val="21"/>
                      <w:highlight w:val="none"/>
                    </w:rPr>
                  </w:pPr>
                  <w:r>
                    <w:rPr>
                      <w:rFonts w:hint="eastAsia"/>
                      <w:color w:val="auto"/>
                      <w:highlight w:val="none"/>
                    </w:rPr>
                    <w:t>1-2.本项目不属于</w:t>
                  </w:r>
                  <w:r>
                    <w:rPr>
                      <w:bCs/>
                      <w:color w:val="auto"/>
                      <w:kern w:val="0"/>
                      <w:szCs w:val="21"/>
                      <w:highlight w:val="none"/>
                    </w:rPr>
                    <w:t>不纳入环评管理的项目</w:t>
                  </w:r>
                  <w:r>
                    <w:rPr>
                      <w:rFonts w:hint="eastAsia"/>
                      <w:bCs/>
                      <w:color w:val="auto"/>
                      <w:kern w:val="0"/>
                      <w:szCs w:val="21"/>
                      <w:highlight w:val="none"/>
                    </w:rPr>
                    <w:t>；</w:t>
                  </w:r>
                </w:p>
                <w:p>
                  <w:pPr>
                    <w:spacing w:line="240" w:lineRule="auto"/>
                    <w:ind w:firstLine="420" w:firstLineChars="200"/>
                    <w:rPr>
                      <w:bCs/>
                      <w:color w:val="auto"/>
                      <w:kern w:val="0"/>
                      <w:szCs w:val="21"/>
                      <w:highlight w:val="none"/>
                    </w:rPr>
                  </w:pPr>
                  <w:r>
                    <w:rPr>
                      <w:rFonts w:hint="eastAsia"/>
                      <w:bCs/>
                      <w:color w:val="auto"/>
                      <w:kern w:val="0"/>
                      <w:szCs w:val="21"/>
                      <w:highlight w:val="none"/>
                    </w:rPr>
                    <w:t>1-3.本项目不属于</w:t>
                  </w:r>
                  <w:r>
                    <w:rPr>
                      <w:bCs/>
                      <w:color w:val="auto"/>
                      <w:kern w:val="0"/>
                      <w:szCs w:val="21"/>
                      <w:highlight w:val="none"/>
                    </w:rPr>
                    <w:t>大气环境高排放重点管控区</w:t>
                  </w:r>
                  <w:r>
                    <w:rPr>
                      <w:rFonts w:hint="eastAsia"/>
                      <w:bCs/>
                      <w:color w:val="auto"/>
                      <w:kern w:val="0"/>
                      <w:szCs w:val="21"/>
                      <w:highlight w:val="none"/>
                    </w:rPr>
                    <w:t>；</w:t>
                  </w:r>
                </w:p>
                <w:p>
                  <w:pPr>
                    <w:spacing w:line="240" w:lineRule="auto"/>
                    <w:ind w:firstLine="420" w:firstLineChars="200"/>
                    <w:rPr>
                      <w:bCs/>
                      <w:color w:val="auto"/>
                      <w:kern w:val="0"/>
                      <w:szCs w:val="21"/>
                      <w:highlight w:val="none"/>
                    </w:rPr>
                  </w:pPr>
                  <w:r>
                    <w:rPr>
                      <w:rFonts w:hint="eastAsia"/>
                      <w:bCs/>
                      <w:color w:val="auto"/>
                      <w:kern w:val="0"/>
                      <w:szCs w:val="21"/>
                      <w:highlight w:val="none"/>
                    </w:rPr>
                    <w:t>1-4.</w:t>
                  </w:r>
                  <w:r>
                    <w:rPr>
                      <w:bCs/>
                      <w:color w:val="auto"/>
                      <w:kern w:val="0"/>
                      <w:szCs w:val="21"/>
                      <w:highlight w:val="none"/>
                    </w:rPr>
                    <w:t>大气环境弱扩散重点管控区</w:t>
                  </w:r>
                  <w:r>
                    <w:rPr>
                      <w:rFonts w:hint="eastAsia"/>
                      <w:bCs/>
                      <w:color w:val="auto"/>
                      <w:kern w:val="0"/>
                      <w:szCs w:val="21"/>
                      <w:highlight w:val="none"/>
                    </w:rPr>
                    <w:t>；</w:t>
                  </w:r>
                </w:p>
                <w:p>
                  <w:pPr>
                    <w:spacing w:line="240" w:lineRule="auto"/>
                    <w:ind w:firstLine="420" w:firstLineChars="200"/>
                    <w:rPr>
                      <w:color w:val="auto"/>
                      <w:szCs w:val="21"/>
                      <w:highlight w:val="none"/>
                    </w:rPr>
                  </w:pPr>
                  <w:r>
                    <w:rPr>
                      <w:rFonts w:hint="eastAsia"/>
                      <w:bCs/>
                      <w:color w:val="auto"/>
                      <w:kern w:val="0"/>
                      <w:szCs w:val="21"/>
                      <w:highlight w:val="none"/>
                    </w:rPr>
                    <w:t>1-5.</w:t>
                  </w:r>
                  <w:r>
                    <w:rPr>
                      <w:rFonts w:hint="eastAsia"/>
                      <w:color w:val="auto"/>
                      <w:highlight w:val="none"/>
                    </w:rPr>
                    <w:t>建设不会影响生态；本项目废气主要为颗粒物，排放量较小，不会对周边环境造成影响。</w:t>
                  </w:r>
                </w:p>
              </w:tc>
              <w:tc>
                <w:tcPr>
                  <w:tcW w:w="448" w:type="dxa"/>
                  <w:vAlign w:val="center"/>
                </w:tcPr>
                <w:p>
                  <w:pPr>
                    <w:spacing w:line="240" w:lineRule="auto"/>
                    <w:jc w:val="center"/>
                    <w:rPr>
                      <w:color w:val="auto"/>
                      <w:szCs w:val="21"/>
                      <w:highlight w:val="none"/>
                    </w:rPr>
                  </w:pPr>
                  <w:r>
                    <w:rPr>
                      <w:rFonts w:hint="eastAsia"/>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386" w:type="dxa"/>
                  <w:vAlign w:val="center"/>
                </w:tcPr>
                <w:p>
                  <w:pPr>
                    <w:spacing w:line="240" w:lineRule="auto"/>
                    <w:jc w:val="center"/>
                    <w:rPr>
                      <w:color w:val="auto"/>
                      <w:szCs w:val="21"/>
                      <w:highlight w:val="none"/>
                    </w:rPr>
                  </w:pPr>
                  <w:r>
                    <w:rPr>
                      <w:rFonts w:hint="eastAsia"/>
                      <w:color w:val="auto"/>
                      <w:szCs w:val="21"/>
                      <w:highlight w:val="none"/>
                    </w:rPr>
                    <w:t>能源资源利用</w:t>
                  </w:r>
                </w:p>
              </w:tc>
              <w:tc>
                <w:tcPr>
                  <w:tcW w:w="3548" w:type="dxa"/>
                  <w:vAlign w:val="center"/>
                </w:tcPr>
                <w:p>
                  <w:pPr>
                    <w:spacing w:line="240" w:lineRule="auto"/>
                    <w:ind w:firstLine="420" w:firstLineChars="200"/>
                    <w:jc w:val="both"/>
                    <w:textAlignment w:val="center"/>
                    <w:rPr>
                      <w:color w:val="auto"/>
                      <w:kern w:val="0"/>
                      <w:szCs w:val="21"/>
                      <w:highlight w:val="none"/>
                    </w:rPr>
                  </w:pPr>
                  <w:r>
                    <w:rPr>
                      <w:rFonts w:hint="eastAsia"/>
                      <w:color w:val="auto"/>
                      <w:kern w:val="0"/>
                      <w:szCs w:val="21"/>
                      <w:highlight w:val="none"/>
                    </w:rPr>
                    <w:t>2-1.【能源/综合类】逐步淘汰燃生物质锅炉。</w:t>
                  </w:r>
                </w:p>
                <w:p>
                  <w:pPr>
                    <w:spacing w:line="240" w:lineRule="auto"/>
                    <w:ind w:firstLine="420" w:firstLineChars="200"/>
                    <w:jc w:val="both"/>
                    <w:textAlignment w:val="center"/>
                    <w:rPr>
                      <w:color w:val="auto"/>
                      <w:kern w:val="0"/>
                      <w:szCs w:val="21"/>
                      <w:highlight w:val="none"/>
                    </w:rPr>
                  </w:pPr>
                  <w:r>
                    <w:rPr>
                      <w:rFonts w:hint="eastAsia"/>
                      <w:color w:val="auto"/>
                      <w:kern w:val="0"/>
                      <w:szCs w:val="21"/>
                      <w:highlight w:val="none"/>
                    </w:rPr>
                    <w:t>2-2.【矿产/限制类】新建矿山全部达到绿色矿山建设要求，生产矿山加快改造升级，逐步达到要求。</w:t>
                  </w:r>
                </w:p>
                <w:p>
                  <w:pPr>
                    <w:spacing w:line="240" w:lineRule="auto"/>
                    <w:ind w:firstLine="420" w:firstLineChars="200"/>
                    <w:jc w:val="both"/>
                    <w:textAlignment w:val="center"/>
                    <w:rPr>
                      <w:color w:val="auto"/>
                      <w:szCs w:val="21"/>
                      <w:highlight w:val="none"/>
                    </w:rPr>
                  </w:pPr>
                  <w:r>
                    <w:rPr>
                      <w:rFonts w:hint="eastAsia"/>
                      <w:color w:val="auto"/>
                      <w:kern w:val="0"/>
                      <w:szCs w:val="21"/>
                      <w:highlight w:val="none"/>
                    </w:rPr>
                    <w:t>2-3.【岸线/综合类】严格水域岸线用途管制，土地开发利用应按照有关法律法规和技术标准要求，留足河道、湖泊的管理和保护范围，非法挤占的应限期退出。</w:t>
                  </w:r>
                </w:p>
              </w:tc>
              <w:tc>
                <w:tcPr>
                  <w:tcW w:w="1606" w:type="dxa"/>
                  <w:vAlign w:val="center"/>
                </w:tcPr>
                <w:p>
                  <w:pPr>
                    <w:pStyle w:val="20"/>
                    <w:spacing w:line="240" w:lineRule="auto"/>
                    <w:jc w:val="both"/>
                    <w:rPr>
                      <w:color w:val="auto"/>
                      <w:szCs w:val="21"/>
                      <w:highlight w:val="none"/>
                    </w:rPr>
                  </w:pPr>
                  <w:r>
                    <w:rPr>
                      <w:rFonts w:hint="eastAsia"/>
                      <w:color w:val="auto"/>
                      <w:szCs w:val="21"/>
                      <w:highlight w:val="none"/>
                    </w:rPr>
                    <w:t>2</w:t>
                  </w:r>
                  <w:r>
                    <w:rPr>
                      <w:color w:val="auto"/>
                      <w:szCs w:val="21"/>
                      <w:highlight w:val="none"/>
                    </w:rPr>
                    <w:t>-1</w:t>
                  </w:r>
                  <w:r>
                    <w:rPr>
                      <w:rFonts w:hint="eastAsia"/>
                      <w:color w:val="auto"/>
                      <w:szCs w:val="21"/>
                      <w:highlight w:val="none"/>
                    </w:rPr>
                    <w:t>.本项目不使用燃生物质锅炉；</w:t>
                  </w:r>
                </w:p>
                <w:p>
                  <w:pPr>
                    <w:pStyle w:val="20"/>
                    <w:spacing w:line="240" w:lineRule="auto"/>
                    <w:jc w:val="both"/>
                    <w:rPr>
                      <w:color w:val="auto"/>
                      <w:szCs w:val="21"/>
                      <w:highlight w:val="none"/>
                    </w:rPr>
                  </w:pPr>
                  <w:r>
                    <w:rPr>
                      <w:rFonts w:hint="eastAsia"/>
                      <w:color w:val="auto"/>
                      <w:szCs w:val="21"/>
                      <w:highlight w:val="none"/>
                    </w:rPr>
                    <w:t>2</w:t>
                  </w:r>
                  <w:r>
                    <w:rPr>
                      <w:color w:val="auto"/>
                      <w:szCs w:val="21"/>
                      <w:highlight w:val="none"/>
                    </w:rPr>
                    <w:t>-2.</w:t>
                  </w:r>
                  <w:r>
                    <w:rPr>
                      <w:rFonts w:hint="eastAsia"/>
                      <w:color w:val="auto"/>
                      <w:szCs w:val="21"/>
                      <w:highlight w:val="none"/>
                    </w:rPr>
                    <w:t>本项目生产氢氧化钙、氧化钙，不属于矿山类项目。</w:t>
                  </w:r>
                </w:p>
              </w:tc>
              <w:tc>
                <w:tcPr>
                  <w:tcW w:w="448" w:type="dxa"/>
                  <w:vAlign w:val="center"/>
                </w:tcPr>
                <w:p>
                  <w:pPr>
                    <w:spacing w:line="240" w:lineRule="auto"/>
                    <w:jc w:val="center"/>
                    <w:rPr>
                      <w:color w:val="auto"/>
                      <w:szCs w:val="21"/>
                      <w:highlight w:val="none"/>
                    </w:rPr>
                  </w:pPr>
                  <w:r>
                    <w:rPr>
                      <w:rFonts w:hint="eastAsia"/>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86" w:type="dxa"/>
                  <w:vAlign w:val="center"/>
                </w:tcPr>
                <w:p>
                  <w:pPr>
                    <w:spacing w:line="240" w:lineRule="auto"/>
                    <w:jc w:val="center"/>
                    <w:rPr>
                      <w:color w:val="auto"/>
                      <w:szCs w:val="21"/>
                      <w:highlight w:val="none"/>
                    </w:rPr>
                  </w:pPr>
                  <w:r>
                    <w:rPr>
                      <w:rFonts w:hint="eastAsia"/>
                      <w:color w:val="auto"/>
                      <w:szCs w:val="21"/>
                      <w:highlight w:val="none"/>
                    </w:rPr>
                    <w:t>污染物排放管控</w:t>
                  </w:r>
                </w:p>
              </w:tc>
              <w:tc>
                <w:tcPr>
                  <w:tcW w:w="3548" w:type="dxa"/>
                  <w:vAlign w:val="center"/>
                </w:tcPr>
                <w:p>
                  <w:pPr>
                    <w:spacing w:line="240" w:lineRule="auto"/>
                    <w:ind w:firstLine="420" w:firstLineChars="200"/>
                    <w:jc w:val="both"/>
                    <w:textAlignment w:val="center"/>
                    <w:rPr>
                      <w:color w:val="auto"/>
                      <w:kern w:val="0"/>
                      <w:szCs w:val="21"/>
                      <w:highlight w:val="none"/>
                    </w:rPr>
                  </w:pPr>
                  <w:r>
                    <w:rPr>
                      <w:rFonts w:hint="eastAsia"/>
                      <w:color w:val="auto"/>
                      <w:kern w:val="0"/>
                      <w:szCs w:val="21"/>
                      <w:highlight w:val="none"/>
                    </w:rPr>
                    <w:t>3-1.【水/综合类】规模以上畜禽养殖场、养殖小区应当依法对畜禽养殖废弃物实施综合利用和无害化处理。养殖专业户应当采取有效措施，防止畜禽粪便、污水渗漏、溢流、散落。</w:t>
                  </w:r>
                </w:p>
                <w:p>
                  <w:pPr>
                    <w:spacing w:line="240" w:lineRule="auto"/>
                    <w:ind w:firstLine="420" w:firstLineChars="200"/>
                    <w:jc w:val="both"/>
                    <w:textAlignment w:val="center"/>
                    <w:rPr>
                      <w:color w:val="auto"/>
                      <w:szCs w:val="21"/>
                      <w:highlight w:val="none"/>
                    </w:rPr>
                  </w:pPr>
                  <w:r>
                    <w:rPr>
                      <w:rFonts w:hint="eastAsia"/>
                      <w:color w:val="auto"/>
                      <w:kern w:val="0"/>
                      <w:szCs w:val="21"/>
                      <w:highlight w:val="none"/>
                    </w:rPr>
                    <w:t>3-2.【大气/综合类】加强对矿山生产全过程的无组织排放管控，采取必要的降尘抑尘措施，如喷雾、洒水、湿式凿岩、加设除尘装置、破碎加工机组车间全封闭等措施，减少矿区扬尘。</w:t>
                  </w:r>
                </w:p>
              </w:tc>
              <w:tc>
                <w:tcPr>
                  <w:tcW w:w="1606" w:type="dxa"/>
                  <w:vAlign w:val="center"/>
                </w:tcPr>
                <w:p>
                  <w:pPr>
                    <w:pStyle w:val="24"/>
                    <w:pBdr>
                      <w:bottom w:val="none" w:color="auto" w:sz="0" w:space="0"/>
                    </w:pBdr>
                    <w:snapToGrid/>
                    <w:spacing w:line="240" w:lineRule="auto"/>
                    <w:jc w:val="both"/>
                    <w:rPr>
                      <w:color w:val="auto"/>
                      <w:sz w:val="21"/>
                      <w:szCs w:val="21"/>
                      <w:highlight w:val="none"/>
                    </w:rPr>
                  </w:pPr>
                  <w:r>
                    <w:rPr>
                      <w:rFonts w:hint="eastAsia"/>
                      <w:color w:val="auto"/>
                      <w:sz w:val="21"/>
                      <w:szCs w:val="21"/>
                      <w:highlight w:val="none"/>
                    </w:rPr>
                    <w:t>本项目生产氢氧化钙、氧化钙，不属于养殖类，不属于矿山类项目。</w:t>
                  </w:r>
                </w:p>
                <w:p>
                  <w:pPr>
                    <w:pStyle w:val="24"/>
                    <w:pBdr>
                      <w:bottom w:val="none" w:color="auto" w:sz="0" w:space="0"/>
                    </w:pBdr>
                    <w:snapToGrid/>
                    <w:spacing w:line="240" w:lineRule="auto"/>
                    <w:jc w:val="both"/>
                    <w:rPr>
                      <w:color w:val="auto"/>
                      <w:sz w:val="21"/>
                      <w:szCs w:val="21"/>
                      <w:highlight w:val="none"/>
                    </w:rPr>
                  </w:pPr>
                </w:p>
              </w:tc>
              <w:tc>
                <w:tcPr>
                  <w:tcW w:w="448" w:type="dxa"/>
                  <w:vAlign w:val="center"/>
                </w:tcPr>
                <w:p>
                  <w:pPr>
                    <w:spacing w:line="240" w:lineRule="auto"/>
                    <w:jc w:val="center"/>
                    <w:rPr>
                      <w:color w:val="auto"/>
                      <w:szCs w:val="21"/>
                      <w:highlight w:val="none"/>
                    </w:rPr>
                  </w:pPr>
                  <w:r>
                    <w:rPr>
                      <w:rFonts w:hint="eastAsia"/>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86" w:type="dxa"/>
                  <w:vAlign w:val="center"/>
                </w:tcPr>
                <w:p>
                  <w:pPr>
                    <w:spacing w:line="240" w:lineRule="auto"/>
                    <w:jc w:val="center"/>
                    <w:rPr>
                      <w:color w:val="auto"/>
                      <w:szCs w:val="21"/>
                      <w:highlight w:val="none"/>
                    </w:rPr>
                  </w:pPr>
                  <w:r>
                    <w:rPr>
                      <w:rFonts w:hint="eastAsia"/>
                      <w:color w:val="auto"/>
                      <w:szCs w:val="21"/>
                      <w:highlight w:val="none"/>
                    </w:rPr>
                    <w:t>环境风险防控</w:t>
                  </w:r>
                </w:p>
              </w:tc>
              <w:tc>
                <w:tcPr>
                  <w:tcW w:w="3548" w:type="dxa"/>
                  <w:vAlign w:val="center"/>
                </w:tcPr>
                <w:p>
                  <w:pPr>
                    <w:spacing w:line="240" w:lineRule="auto"/>
                    <w:jc w:val="center"/>
                    <w:textAlignment w:val="center"/>
                    <w:rPr>
                      <w:color w:val="auto"/>
                      <w:szCs w:val="21"/>
                      <w:highlight w:val="none"/>
                    </w:rPr>
                  </w:pPr>
                  <w:r>
                    <w:rPr>
                      <w:rFonts w:hint="eastAsia"/>
                      <w:color w:val="auto"/>
                      <w:kern w:val="0"/>
                      <w:szCs w:val="21"/>
                      <w:highlight w:val="none"/>
                    </w:rPr>
                    <w:t>/</w:t>
                  </w:r>
                </w:p>
              </w:tc>
              <w:tc>
                <w:tcPr>
                  <w:tcW w:w="1606" w:type="dxa"/>
                  <w:vAlign w:val="center"/>
                </w:tcPr>
                <w:p>
                  <w:pPr>
                    <w:pStyle w:val="24"/>
                    <w:pBdr>
                      <w:bottom w:val="none" w:color="auto" w:sz="0" w:space="0"/>
                    </w:pBdr>
                    <w:snapToGrid/>
                    <w:spacing w:line="240" w:lineRule="auto"/>
                    <w:rPr>
                      <w:color w:val="auto"/>
                      <w:sz w:val="21"/>
                      <w:szCs w:val="21"/>
                      <w:highlight w:val="none"/>
                    </w:rPr>
                  </w:pPr>
                  <w:r>
                    <w:rPr>
                      <w:rFonts w:hint="eastAsia"/>
                      <w:color w:val="auto"/>
                      <w:szCs w:val="21"/>
                      <w:highlight w:val="none"/>
                    </w:rPr>
                    <w:t>/</w:t>
                  </w:r>
                </w:p>
              </w:tc>
              <w:tc>
                <w:tcPr>
                  <w:tcW w:w="448" w:type="dxa"/>
                  <w:vAlign w:val="center"/>
                </w:tcPr>
                <w:p>
                  <w:pPr>
                    <w:spacing w:line="240" w:lineRule="auto"/>
                    <w:jc w:val="center"/>
                    <w:rPr>
                      <w:color w:val="auto"/>
                      <w:szCs w:val="21"/>
                      <w:highlight w:val="none"/>
                    </w:rPr>
                  </w:pPr>
                  <w:r>
                    <w:rPr>
                      <w:rFonts w:hint="eastAsia"/>
                      <w:color w:val="auto"/>
                      <w:szCs w:val="21"/>
                      <w:highlight w:val="none"/>
                    </w:rPr>
                    <w:t>/</w:t>
                  </w:r>
                </w:p>
              </w:tc>
            </w:tr>
          </w:tbl>
          <w:p>
            <w:pPr>
              <w:ind w:firstLine="420" w:firstLineChars="200"/>
              <w:jc w:val="both"/>
              <w:rPr>
                <w:color w:val="auto"/>
                <w:kern w:val="0"/>
                <w:szCs w:val="21"/>
                <w:highlight w:val="none"/>
              </w:rPr>
            </w:pPr>
            <w:r>
              <w:rPr>
                <w:color w:val="auto"/>
                <w:kern w:val="0"/>
                <w:szCs w:val="21"/>
                <w:highlight w:val="none"/>
              </w:rPr>
              <w:t>因此，本项目建设符合</w:t>
            </w:r>
            <w:r>
              <w:rPr>
                <w:rFonts w:hint="eastAsia"/>
                <w:color w:val="auto"/>
                <w:kern w:val="0"/>
                <w:highlight w:val="none"/>
              </w:rPr>
              <w:t>《清远市“三线一单”生态环境分区管控方案》</w:t>
            </w:r>
            <w:r>
              <w:rPr>
                <w:rFonts w:hint="eastAsia"/>
                <w:color w:val="auto"/>
                <w:highlight w:val="none"/>
              </w:rPr>
              <w:t>（清府〔2021〕22号）</w:t>
            </w:r>
            <w:r>
              <w:rPr>
                <w:color w:val="auto"/>
                <w:kern w:val="0"/>
                <w:szCs w:val="21"/>
                <w:highlight w:val="none"/>
              </w:rPr>
              <w:t>的要求。</w:t>
            </w:r>
          </w:p>
          <w:p>
            <w:pPr>
              <w:ind w:firstLine="420" w:firstLineChars="200"/>
              <w:jc w:val="both"/>
              <w:rPr>
                <w:color w:val="auto"/>
                <w:kern w:val="0"/>
                <w:szCs w:val="21"/>
                <w:highlight w:val="none"/>
              </w:rPr>
            </w:pPr>
            <w:r>
              <w:rPr>
                <w:color w:val="auto"/>
                <w:kern w:val="0"/>
                <w:szCs w:val="21"/>
                <w:highlight w:val="none"/>
              </w:rPr>
              <w:t>（2）产业政策的符合性分析</w:t>
            </w:r>
          </w:p>
          <w:p>
            <w:pPr>
              <w:tabs>
                <w:tab w:val="left" w:pos="3510"/>
              </w:tabs>
              <w:adjustRightInd w:val="0"/>
              <w:ind w:firstLine="420" w:firstLineChars="200"/>
              <w:jc w:val="both"/>
              <w:rPr>
                <w:color w:val="auto"/>
                <w:kern w:val="0"/>
                <w:szCs w:val="21"/>
                <w:highlight w:val="none"/>
              </w:rPr>
            </w:pPr>
            <w:r>
              <w:rPr>
                <w:rFonts w:hint="eastAsia"/>
                <w:color w:val="auto"/>
                <w:kern w:val="0"/>
                <w:szCs w:val="21"/>
                <w:highlight w:val="none"/>
              </w:rPr>
              <w:t>①与《产业结构调整指导目录(2019年本)》相符性分析</w:t>
            </w:r>
          </w:p>
          <w:p>
            <w:pPr>
              <w:tabs>
                <w:tab w:val="left" w:pos="3510"/>
              </w:tabs>
              <w:adjustRightInd w:val="0"/>
              <w:ind w:firstLine="420" w:firstLineChars="200"/>
              <w:jc w:val="both"/>
              <w:rPr>
                <w:rFonts w:hAnsi="宋体"/>
                <w:color w:val="auto"/>
                <w:szCs w:val="21"/>
                <w:highlight w:val="none"/>
              </w:rPr>
            </w:pPr>
            <w:r>
              <w:rPr>
                <w:rFonts w:hint="eastAsia" w:hAnsi="宋体"/>
                <w:color w:val="auto"/>
                <w:szCs w:val="21"/>
                <w:highlight w:val="none"/>
              </w:rPr>
              <w:t>本项目</w:t>
            </w:r>
            <w:r>
              <w:rPr>
                <w:bCs/>
                <w:color w:val="auto"/>
                <w:szCs w:val="21"/>
                <w:highlight w:val="none"/>
              </w:rPr>
              <w:t>主要经营项目为</w:t>
            </w:r>
            <w:r>
              <w:rPr>
                <w:rFonts w:hint="eastAsia"/>
                <w:bCs/>
                <w:color w:val="auto"/>
                <w:szCs w:val="21"/>
                <w:highlight w:val="none"/>
              </w:rPr>
              <w:t>氢氧化钙、氧化钙</w:t>
            </w:r>
            <w:r>
              <w:rPr>
                <w:bCs/>
                <w:color w:val="auto"/>
                <w:szCs w:val="21"/>
                <w:highlight w:val="none"/>
              </w:rPr>
              <w:t>的生产</w:t>
            </w:r>
            <w:r>
              <w:rPr>
                <w:rFonts w:hint="eastAsia" w:hAnsi="宋体"/>
                <w:color w:val="auto"/>
                <w:szCs w:val="21"/>
                <w:highlight w:val="none"/>
              </w:rPr>
              <w:t>，经检索《产业结构调整指导目录(2019年本)》，本项目不属于其中的限制类及淘汰类，属于允许类，符合国家相关产业政策。</w:t>
            </w:r>
          </w:p>
          <w:p>
            <w:pPr>
              <w:tabs>
                <w:tab w:val="left" w:pos="3510"/>
              </w:tabs>
              <w:adjustRightInd w:val="0"/>
              <w:ind w:firstLine="420" w:firstLineChars="200"/>
              <w:jc w:val="both"/>
              <w:rPr>
                <w:rFonts w:hAnsi="宋体"/>
                <w:color w:val="auto"/>
                <w:szCs w:val="21"/>
                <w:highlight w:val="none"/>
              </w:rPr>
            </w:pPr>
            <w:r>
              <w:rPr>
                <w:rFonts w:hint="eastAsia" w:hAnsi="宋体"/>
                <w:color w:val="auto"/>
                <w:szCs w:val="21"/>
                <w:highlight w:val="none"/>
              </w:rPr>
              <w:t>②与《市场准入负面清单》(2020年版)相符性分析</w:t>
            </w:r>
          </w:p>
          <w:p>
            <w:pPr>
              <w:autoSpaceDE w:val="0"/>
              <w:autoSpaceDN w:val="0"/>
              <w:ind w:firstLine="420" w:firstLineChars="200"/>
              <w:jc w:val="both"/>
              <w:rPr>
                <w:rFonts w:hAnsi="宋体"/>
                <w:color w:val="auto"/>
                <w:szCs w:val="21"/>
                <w:highlight w:val="none"/>
              </w:rPr>
            </w:pPr>
            <w:r>
              <w:rPr>
                <w:rFonts w:hint="eastAsia" w:hAnsi="宋体"/>
                <w:color w:val="auto"/>
                <w:szCs w:val="21"/>
                <w:highlight w:val="none"/>
              </w:rPr>
              <w:t>经检索《市场准入负面清单》（2020年版），本项目不属于其中的禁止准入类或许可准入类，符合国家负面清单要求。</w:t>
            </w:r>
          </w:p>
          <w:p>
            <w:pPr>
              <w:ind w:firstLine="420" w:firstLineChars="200"/>
              <w:jc w:val="both"/>
              <w:rPr>
                <w:color w:val="auto"/>
                <w:kern w:val="0"/>
                <w:szCs w:val="21"/>
                <w:highlight w:val="none"/>
              </w:rPr>
            </w:pPr>
            <w:r>
              <w:rPr>
                <w:rFonts w:hint="eastAsia"/>
                <w:color w:val="auto"/>
                <w:kern w:val="0"/>
                <w:szCs w:val="21"/>
                <w:highlight w:val="none"/>
              </w:rPr>
              <w:t>（3）与环境保护相关规划的相符性分析</w:t>
            </w:r>
          </w:p>
          <w:p>
            <w:pPr>
              <w:pStyle w:val="20"/>
              <w:ind w:firstLine="420" w:firstLineChars="200"/>
              <w:jc w:val="both"/>
              <w:rPr>
                <w:color w:val="auto"/>
                <w:highlight w:val="none"/>
              </w:rPr>
            </w:pPr>
            <w:r>
              <w:rPr>
                <w:rFonts w:hint="eastAsia"/>
                <w:color w:val="auto"/>
                <w:highlight w:val="none"/>
              </w:rPr>
              <w:t>①与《广东省打赢蓝天保卫战实施方案（2018-2020年）》、《清远市打赢蓝天保卫战实施方案（2019-2020年）》的相符性分析</w:t>
            </w:r>
          </w:p>
          <w:p>
            <w:pPr>
              <w:pStyle w:val="20"/>
              <w:ind w:firstLine="420" w:firstLineChars="200"/>
              <w:jc w:val="both"/>
              <w:rPr>
                <w:color w:val="auto"/>
                <w:highlight w:val="none"/>
              </w:rPr>
            </w:pPr>
            <w:r>
              <w:rPr>
                <w:rFonts w:hint="eastAsia"/>
                <w:color w:val="auto"/>
                <w:highlight w:val="none"/>
              </w:rPr>
              <w:t>根据《广东省打赢蓝天保卫战实施方案（2018-2020年）》、《清远市打赢蓝天保卫战实施方案（2019-2020年）》的要求：“重点清查钢铁、有色、水泥、玻璃、陶瓷、化工、造纸、印刷、石材加工和其它涉VOCs排放等行业能耗、环保达不到标准的企业。重点推广使用低VOCs含量、低反应活性的原辅材料和产品，到2</w:t>
            </w:r>
            <w:r>
              <w:rPr>
                <w:color w:val="auto"/>
                <w:highlight w:val="none"/>
              </w:rPr>
              <w:t>020</w:t>
            </w:r>
            <w:r>
              <w:rPr>
                <w:rFonts w:hint="eastAsia"/>
                <w:color w:val="auto"/>
                <w:highlight w:val="none"/>
              </w:rPr>
              <w:t>年，印刷、家具制造、工业涂装重点工业的低毒、低（无）VOCs含量、高固份原辅材料使用比例大幅提升”</w:t>
            </w:r>
          </w:p>
          <w:p>
            <w:pPr>
              <w:pStyle w:val="20"/>
              <w:ind w:firstLine="420" w:firstLineChars="200"/>
              <w:jc w:val="both"/>
              <w:rPr>
                <w:color w:val="auto"/>
                <w:highlight w:val="none"/>
              </w:rPr>
            </w:pPr>
            <w:r>
              <w:rPr>
                <w:rFonts w:hint="eastAsia"/>
                <w:color w:val="auto"/>
                <w:highlight w:val="none"/>
              </w:rPr>
              <w:t>本项目</w:t>
            </w:r>
            <w:r>
              <w:rPr>
                <w:bCs/>
                <w:color w:val="auto"/>
                <w:szCs w:val="21"/>
                <w:highlight w:val="none"/>
              </w:rPr>
              <w:t>主要经营项目为</w:t>
            </w:r>
            <w:r>
              <w:rPr>
                <w:rFonts w:hint="eastAsia"/>
                <w:bCs/>
                <w:color w:val="auto"/>
                <w:szCs w:val="21"/>
                <w:highlight w:val="none"/>
              </w:rPr>
              <w:t>氢氧化钙、氧化钙</w:t>
            </w:r>
            <w:r>
              <w:rPr>
                <w:bCs/>
                <w:color w:val="auto"/>
                <w:szCs w:val="21"/>
                <w:highlight w:val="none"/>
              </w:rPr>
              <w:t>的生产</w:t>
            </w:r>
            <w:r>
              <w:rPr>
                <w:rFonts w:hint="eastAsia"/>
                <w:bCs/>
                <w:color w:val="auto"/>
                <w:szCs w:val="21"/>
                <w:highlight w:val="none"/>
              </w:rPr>
              <w:t>，</w:t>
            </w:r>
            <w:r>
              <w:rPr>
                <w:rFonts w:hint="eastAsia"/>
                <w:color w:val="auto"/>
                <w:highlight w:val="none"/>
              </w:rPr>
              <w:t>不属于钢铁、有色、水泥、玻璃、陶瓷、化工、造纸、印刷、石材加工等行业，生产过程中产生不产生VOCs。本项目与《广东省打赢蓝天保卫战实施方案（2018-2020年）》、《清远市打赢蓝天保卫战实施方案（2019-2020年）》相符。</w:t>
            </w:r>
          </w:p>
          <w:p>
            <w:pPr>
              <w:pStyle w:val="20"/>
              <w:ind w:firstLine="420" w:firstLineChars="200"/>
              <w:jc w:val="both"/>
              <w:rPr>
                <w:rFonts w:hint="default" w:eastAsia="宋体"/>
                <w:color w:val="auto"/>
                <w:kern w:val="0"/>
                <w:szCs w:val="21"/>
                <w:highlight w:val="none"/>
                <w:lang w:val="en-US" w:eastAsia="zh-CN"/>
              </w:rPr>
            </w:pPr>
            <w:r>
              <w:rPr>
                <w:rFonts w:hint="eastAsia"/>
                <w:color w:val="auto"/>
                <w:kern w:val="0"/>
                <w:szCs w:val="21"/>
                <w:highlight w:val="none"/>
                <w:lang w:eastAsia="zh-CN"/>
              </w:rPr>
              <w:t>②</w:t>
            </w:r>
            <w:r>
              <w:rPr>
                <w:rFonts w:hint="eastAsia"/>
                <w:color w:val="auto"/>
                <w:highlight w:val="none"/>
                <w:lang w:val="en-US" w:eastAsia="zh-CN"/>
              </w:rPr>
              <w:t>与广东省发展改革委关于印发《广东省坚决遏制“两高”项目盲目发展的实施方案》的通知</w:t>
            </w:r>
            <w:r>
              <w:rPr>
                <w:rFonts w:hint="eastAsia"/>
                <w:color w:val="auto"/>
                <w:highlight w:val="none"/>
              </w:rPr>
              <w:t>相符性分析</w:t>
            </w:r>
          </w:p>
          <w:p>
            <w:pPr>
              <w:pStyle w:val="20"/>
              <w:ind w:firstLine="420" w:firstLineChars="200"/>
              <w:jc w:val="both"/>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两高”项目范围暂定为年综合能源消费类1万吨标准煤以上的煤电、石化、化工、钢铁、有色金属、建材、煤化工、焦化等8各行业的项目，对上述行业的项目纳入“两高”项目管理台账，后续国家对“两高”项目范围如有明确规定，从其规定。</w:t>
            </w:r>
          </w:p>
          <w:p>
            <w:pPr>
              <w:pStyle w:val="20"/>
              <w:ind w:firstLine="420" w:firstLineChars="200"/>
              <w:jc w:val="both"/>
              <w:rPr>
                <w:rFonts w:hint="default" w:eastAsia="宋体"/>
                <w:color w:val="auto"/>
                <w:kern w:val="0"/>
                <w:szCs w:val="21"/>
                <w:highlight w:val="none"/>
                <w:lang w:val="en-US" w:eastAsia="zh-CN"/>
              </w:rPr>
            </w:pPr>
            <w:r>
              <w:rPr>
                <w:rFonts w:hint="eastAsia"/>
                <w:color w:val="auto"/>
                <w:highlight w:val="none"/>
              </w:rPr>
              <w:t>本项目</w:t>
            </w:r>
            <w:r>
              <w:rPr>
                <w:bCs/>
                <w:color w:val="auto"/>
                <w:szCs w:val="21"/>
                <w:highlight w:val="none"/>
              </w:rPr>
              <w:t>主要经营项目为</w:t>
            </w:r>
            <w:r>
              <w:rPr>
                <w:rFonts w:hint="eastAsia"/>
                <w:bCs/>
                <w:color w:val="auto"/>
                <w:szCs w:val="21"/>
                <w:highlight w:val="none"/>
              </w:rPr>
              <w:t>氢氧化钙、氧化钙</w:t>
            </w:r>
            <w:r>
              <w:rPr>
                <w:bCs/>
                <w:color w:val="auto"/>
                <w:szCs w:val="21"/>
                <w:highlight w:val="none"/>
              </w:rPr>
              <w:t>的生产</w:t>
            </w:r>
            <w:r>
              <w:rPr>
                <w:rFonts w:hint="eastAsia"/>
                <w:bCs/>
                <w:color w:val="auto"/>
                <w:szCs w:val="21"/>
                <w:highlight w:val="none"/>
                <w:lang w:eastAsia="zh-CN"/>
              </w:rPr>
              <w:t>，</w:t>
            </w:r>
            <w:r>
              <w:rPr>
                <w:rFonts w:hint="eastAsia"/>
                <w:bCs/>
                <w:color w:val="auto"/>
                <w:szCs w:val="21"/>
                <w:highlight w:val="none"/>
                <w:lang w:val="en-US" w:eastAsia="zh-CN"/>
              </w:rPr>
              <w:t>属于石灰行业，电折标煤系数 0.1229kgce/kWh，本项目不使用煤，用电量为100kWh，折算为标煤为122.9kgce，不属于</w:t>
            </w:r>
            <w:r>
              <w:rPr>
                <w:rFonts w:hint="eastAsia"/>
                <w:color w:val="auto"/>
                <w:highlight w:val="none"/>
                <w:lang w:val="en-US" w:eastAsia="zh-CN"/>
              </w:rPr>
              <w:t>年综合能源消费类1万吨标准煤以上的项目，故本项目与广东省发展改革委关于印发《广东省坚决遏制“两高”项目盲目发展的实施方案》的通知相符。</w:t>
            </w:r>
          </w:p>
          <w:p>
            <w:pPr>
              <w:pStyle w:val="20"/>
              <w:ind w:firstLine="420" w:firstLineChars="200"/>
              <w:jc w:val="both"/>
              <w:rPr>
                <w:rFonts w:hint="eastAsia" w:eastAsia="宋体"/>
                <w:color w:val="auto"/>
                <w:highlight w:val="none"/>
                <w:lang w:val="en-US" w:eastAsia="zh-CN"/>
              </w:rPr>
            </w:pPr>
            <w:r>
              <w:rPr>
                <w:rFonts w:hint="eastAsia"/>
                <w:color w:val="auto"/>
                <w:kern w:val="0"/>
                <w:szCs w:val="21"/>
                <w:highlight w:val="none"/>
              </w:rPr>
              <w:t>（</w:t>
            </w:r>
            <w:r>
              <w:rPr>
                <w:rFonts w:hint="eastAsia"/>
                <w:color w:val="auto"/>
                <w:kern w:val="0"/>
                <w:szCs w:val="21"/>
                <w:highlight w:val="none"/>
                <w:lang w:val="en-US" w:eastAsia="zh-CN"/>
              </w:rPr>
              <w:t>4</w:t>
            </w:r>
            <w:r>
              <w:rPr>
                <w:rFonts w:hint="eastAsia"/>
                <w:color w:val="auto"/>
                <w:kern w:val="0"/>
                <w:szCs w:val="21"/>
                <w:highlight w:val="none"/>
              </w:rPr>
              <w:t>）</w:t>
            </w:r>
            <w:r>
              <w:rPr>
                <w:color w:val="auto"/>
                <w:highlight w:val="none"/>
              </w:rPr>
              <w:t>项目选址合理性分析</w:t>
            </w:r>
            <w:r>
              <w:rPr>
                <w:rFonts w:hint="eastAsia"/>
                <w:color w:val="auto"/>
                <w:highlight w:val="none"/>
                <w:lang w:eastAsia="zh-CN"/>
              </w:rPr>
              <w:t>、</w:t>
            </w:r>
            <w:r>
              <w:rPr>
                <w:rFonts w:hint="eastAsia"/>
                <w:bCs/>
                <w:color w:val="auto"/>
                <w:szCs w:val="21"/>
                <w:highlight w:val="none"/>
              </w:rPr>
              <w:t>与</w:t>
            </w:r>
            <w:r>
              <w:rPr>
                <w:bCs/>
                <w:color w:val="auto"/>
                <w:szCs w:val="21"/>
                <w:highlight w:val="none"/>
              </w:rPr>
              <w:t>《清远市</w:t>
            </w:r>
            <w:r>
              <w:rPr>
                <w:rFonts w:hint="eastAsia"/>
                <w:bCs/>
                <w:color w:val="auto"/>
                <w:szCs w:val="21"/>
                <w:highlight w:val="none"/>
              </w:rPr>
              <w:t>清新区龙颈镇</w:t>
            </w:r>
            <w:r>
              <w:rPr>
                <w:bCs/>
                <w:color w:val="auto"/>
                <w:szCs w:val="21"/>
                <w:highlight w:val="none"/>
              </w:rPr>
              <w:t>总体规划（201</w:t>
            </w:r>
            <w:r>
              <w:rPr>
                <w:rFonts w:hint="eastAsia"/>
                <w:bCs/>
                <w:color w:val="auto"/>
                <w:szCs w:val="21"/>
                <w:highlight w:val="none"/>
              </w:rPr>
              <w:t>6</w:t>
            </w:r>
            <w:r>
              <w:rPr>
                <w:bCs/>
                <w:color w:val="auto"/>
                <w:szCs w:val="21"/>
                <w:highlight w:val="none"/>
              </w:rPr>
              <w:t>-203</w:t>
            </w:r>
            <w:r>
              <w:rPr>
                <w:rFonts w:hint="eastAsia"/>
                <w:bCs/>
                <w:color w:val="auto"/>
                <w:szCs w:val="21"/>
                <w:highlight w:val="none"/>
              </w:rPr>
              <w:t>5</w:t>
            </w:r>
            <w:r>
              <w:rPr>
                <w:bCs/>
                <w:color w:val="auto"/>
                <w:szCs w:val="21"/>
                <w:highlight w:val="none"/>
              </w:rPr>
              <w:t>）》</w:t>
            </w:r>
            <w:r>
              <w:rPr>
                <w:rFonts w:hint="eastAsia"/>
                <w:bCs/>
                <w:color w:val="auto"/>
                <w:szCs w:val="21"/>
                <w:highlight w:val="none"/>
              </w:rPr>
              <w:t>相符性分析</w:t>
            </w:r>
          </w:p>
          <w:p>
            <w:pPr>
              <w:pStyle w:val="20"/>
              <w:ind w:firstLine="420" w:firstLineChars="200"/>
              <w:jc w:val="both"/>
              <w:rPr>
                <w:rFonts w:hint="eastAsia" w:eastAsia="宋体"/>
                <w:color w:val="auto"/>
                <w:highlight w:val="none"/>
                <w:lang w:val="en-US" w:eastAsia="zh-CN"/>
              </w:rPr>
            </w:pPr>
            <w:r>
              <w:rPr>
                <w:rFonts w:hint="eastAsia"/>
                <w:color w:val="auto"/>
                <w:kern w:val="0"/>
                <w:szCs w:val="21"/>
                <w:highlight w:val="none"/>
              </w:rPr>
              <w:t>本项目位于</w:t>
            </w:r>
            <w:r>
              <w:rPr>
                <w:rFonts w:hint="eastAsia"/>
                <w:color w:val="auto"/>
                <w:highlight w:val="none"/>
              </w:rPr>
              <w:t>清远市清新区龙颈镇珠坑村委会牛掩村自编001号</w:t>
            </w:r>
            <w:r>
              <w:rPr>
                <w:rFonts w:hint="eastAsia"/>
                <w:color w:val="auto"/>
                <w:szCs w:val="21"/>
                <w:highlight w:val="none"/>
              </w:rPr>
              <w:t>，对照</w:t>
            </w:r>
            <w:r>
              <w:rPr>
                <w:bCs/>
                <w:color w:val="auto"/>
                <w:szCs w:val="21"/>
                <w:highlight w:val="none"/>
              </w:rPr>
              <w:t>《清远市</w:t>
            </w:r>
            <w:r>
              <w:rPr>
                <w:rFonts w:hint="eastAsia"/>
                <w:bCs/>
                <w:color w:val="auto"/>
                <w:szCs w:val="21"/>
                <w:highlight w:val="none"/>
              </w:rPr>
              <w:t>清新区龙颈镇</w:t>
            </w:r>
            <w:r>
              <w:rPr>
                <w:bCs/>
                <w:color w:val="auto"/>
                <w:szCs w:val="21"/>
                <w:highlight w:val="none"/>
              </w:rPr>
              <w:t>总体规划（201</w:t>
            </w:r>
            <w:r>
              <w:rPr>
                <w:rFonts w:hint="eastAsia"/>
                <w:bCs/>
                <w:color w:val="auto"/>
                <w:szCs w:val="21"/>
                <w:highlight w:val="none"/>
              </w:rPr>
              <w:t>6</w:t>
            </w:r>
            <w:r>
              <w:rPr>
                <w:bCs/>
                <w:color w:val="auto"/>
                <w:szCs w:val="21"/>
                <w:highlight w:val="none"/>
              </w:rPr>
              <w:t>-203</w:t>
            </w:r>
            <w:r>
              <w:rPr>
                <w:rFonts w:hint="eastAsia"/>
                <w:bCs/>
                <w:color w:val="auto"/>
                <w:szCs w:val="21"/>
                <w:highlight w:val="none"/>
              </w:rPr>
              <w:t>5</w:t>
            </w:r>
            <w:r>
              <w:rPr>
                <w:bCs/>
                <w:color w:val="auto"/>
                <w:szCs w:val="21"/>
                <w:highlight w:val="none"/>
              </w:rPr>
              <w:t>）》</w:t>
            </w:r>
            <w:r>
              <w:rPr>
                <w:rFonts w:hint="eastAsia"/>
                <w:bCs/>
                <w:color w:val="auto"/>
                <w:szCs w:val="21"/>
                <w:highlight w:val="none"/>
              </w:rPr>
              <w:t>（见附图6），本项目用地属于规划中的村庄建设用地，根据清远市自然资源局清新分局龙颈镇自然资源所出具的用地证明（附件4），项目所在地块为村庄建设用地，项目不涉及占用基本农田、饮用水源、自然保护区等敏感区，符合土地利用总体规划</w:t>
            </w:r>
            <w:r>
              <w:rPr>
                <w:rFonts w:hint="eastAsia"/>
                <w:bCs/>
                <w:color w:val="auto"/>
                <w:szCs w:val="21"/>
                <w:highlight w:val="none"/>
                <w:lang w:eastAsia="zh-CN"/>
              </w:rPr>
              <w:t>。</w:t>
            </w:r>
          </w:p>
          <w:p>
            <w:pPr>
              <w:pStyle w:val="20"/>
              <w:keepNext w:val="0"/>
              <w:keepLines w:val="0"/>
              <w:pageBreakBefore w:val="0"/>
              <w:widowControl/>
              <w:numPr>
                <w:ilvl w:val="0"/>
                <w:numId w:val="0"/>
              </w:numPr>
              <w:kinsoku/>
              <w:wordWrap/>
              <w:overflowPunct/>
              <w:topLinePunct w:val="0"/>
              <w:autoSpaceDE/>
              <w:autoSpaceDN/>
              <w:bidi w:val="0"/>
              <w:adjustRightInd/>
              <w:snapToGrid/>
              <w:ind w:firstLine="420" w:firstLineChars="200"/>
              <w:jc w:val="both"/>
              <w:textAlignment w:val="auto"/>
              <w:rPr>
                <w:color w:val="auto"/>
                <w:highlight w:val="none"/>
              </w:rPr>
            </w:pPr>
            <w:r>
              <w:rPr>
                <w:rFonts w:hint="eastAsia"/>
                <w:color w:val="auto"/>
                <w:highlight w:val="none"/>
                <w:lang w:eastAsia="zh-CN"/>
              </w:rPr>
              <w:t>（</w:t>
            </w:r>
            <w:r>
              <w:rPr>
                <w:rFonts w:hint="eastAsia"/>
                <w:color w:val="auto"/>
                <w:highlight w:val="none"/>
                <w:lang w:val="en-US" w:eastAsia="zh-CN"/>
              </w:rPr>
              <w:t>5）</w:t>
            </w:r>
            <w:r>
              <w:rPr>
                <w:color w:val="auto"/>
                <w:highlight w:val="none"/>
              </w:rPr>
              <w:t>周边企业相容性分析</w:t>
            </w:r>
          </w:p>
          <w:p>
            <w:pPr>
              <w:pStyle w:val="20"/>
              <w:keepNext w:val="0"/>
              <w:keepLines w:val="0"/>
              <w:pageBreakBefore w:val="0"/>
              <w:widowControl/>
              <w:numPr>
                <w:ilvl w:val="0"/>
                <w:numId w:val="0"/>
              </w:numPr>
              <w:kinsoku/>
              <w:wordWrap/>
              <w:overflowPunct/>
              <w:topLinePunct w:val="0"/>
              <w:autoSpaceDE/>
              <w:autoSpaceDN/>
              <w:bidi w:val="0"/>
              <w:adjustRightInd/>
              <w:snapToGrid/>
              <w:ind w:firstLine="420" w:firstLineChars="200"/>
              <w:jc w:val="both"/>
              <w:textAlignment w:val="auto"/>
              <w:rPr>
                <w:rFonts w:hint="default" w:eastAsia="宋体"/>
                <w:color w:val="auto"/>
                <w:highlight w:val="none"/>
                <w:lang w:val="en-US" w:eastAsia="zh-CN"/>
              </w:rPr>
            </w:pPr>
            <w:r>
              <w:rPr>
                <w:rFonts w:hint="eastAsia"/>
                <w:color w:val="auto"/>
                <w:kern w:val="0"/>
                <w:szCs w:val="21"/>
                <w:highlight w:val="none"/>
              </w:rPr>
              <w:t>本项目位于</w:t>
            </w:r>
            <w:r>
              <w:rPr>
                <w:rFonts w:hint="eastAsia"/>
                <w:color w:val="auto"/>
                <w:highlight w:val="none"/>
              </w:rPr>
              <w:t>清远市清新区龙颈镇珠坑村委会牛掩村自编001号</w:t>
            </w:r>
            <w:r>
              <w:rPr>
                <w:rFonts w:hint="eastAsia"/>
                <w:color w:val="auto"/>
                <w:highlight w:val="none"/>
                <w:lang w:eastAsia="zh-CN"/>
              </w:rPr>
              <w:t>，</w:t>
            </w:r>
            <w:r>
              <w:rPr>
                <w:rFonts w:hint="eastAsia"/>
                <w:color w:val="auto"/>
                <w:highlight w:val="none"/>
                <w:lang w:val="en-US" w:eastAsia="zh-CN"/>
              </w:rPr>
              <w:t>南边为</w:t>
            </w:r>
            <w:r>
              <w:rPr>
                <w:rFonts w:hint="eastAsia"/>
                <w:bCs/>
                <w:color w:val="auto"/>
                <w:kern w:val="0"/>
                <w:szCs w:val="21"/>
                <w:highlight w:val="none"/>
              </w:rPr>
              <w:t>清远市展鸿环保科技有限公司</w:t>
            </w:r>
            <w:r>
              <w:rPr>
                <w:rFonts w:hint="eastAsia"/>
                <w:bCs/>
                <w:color w:val="auto"/>
                <w:kern w:val="0"/>
                <w:szCs w:val="21"/>
                <w:highlight w:val="none"/>
                <w:lang w:eastAsia="zh-CN"/>
              </w:rPr>
              <w:t>，</w:t>
            </w:r>
            <w:r>
              <w:rPr>
                <w:rFonts w:hint="eastAsia"/>
                <w:bCs/>
                <w:color w:val="auto"/>
                <w:kern w:val="0"/>
                <w:szCs w:val="21"/>
                <w:highlight w:val="none"/>
                <w:lang w:val="en-US" w:eastAsia="zh-CN"/>
              </w:rPr>
              <w:t>本项目厂房、设施不与</w:t>
            </w:r>
            <w:r>
              <w:rPr>
                <w:rFonts w:hint="eastAsia"/>
                <w:bCs/>
                <w:color w:val="auto"/>
                <w:kern w:val="0"/>
                <w:szCs w:val="21"/>
                <w:highlight w:val="none"/>
              </w:rPr>
              <w:t>清远市展鸿环保科技有限公司</w:t>
            </w:r>
            <w:r>
              <w:rPr>
                <w:rFonts w:hint="eastAsia"/>
                <w:bCs/>
                <w:color w:val="auto"/>
                <w:kern w:val="0"/>
                <w:szCs w:val="21"/>
                <w:highlight w:val="none"/>
                <w:lang w:val="en-US" w:eastAsia="zh-CN"/>
              </w:rPr>
              <w:t>共用，办公区总面积为300平方米，本项目办公室占200平方米。总平面布置图中空置办公室为</w:t>
            </w:r>
            <w:r>
              <w:rPr>
                <w:rFonts w:hint="eastAsia"/>
                <w:bCs/>
                <w:color w:val="auto"/>
                <w:kern w:val="0"/>
                <w:szCs w:val="21"/>
                <w:highlight w:val="none"/>
              </w:rPr>
              <w:t>清远市展鸿环保科技有限公司</w:t>
            </w:r>
            <w:r>
              <w:rPr>
                <w:rFonts w:hint="eastAsia"/>
                <w:bCs/>
                <w:color w:val="auto"/>
                <w:kern w:val="0"/>
                <w:szCs w:val="21"/>
                <w:highlight w:val="none"/>
                <w:lang w:val="en-US" w:eastAsia="zh-CN"/>
              </w:rPr>
              <w:t>所有。</w:t>
            </w:r>
          </w:p>
          <w:p>
            <w:pPr>
              <w:pStyle w:val="20"/>
              <w:ind w:firstLine="420" w:firstLineChars="200"/>
              <w:jc w:val="both"/>
              <w:rPr>
                <w:rFonts w:hint="default" w:eastAsia="宋体"/>
                <w:color w:val="auto"/>
                <w:highlight w:val="none"/>
                <w:lang w:val="en-US" w:eastAsia="zh-CN"/>
              </w:rPr>
            </w:pPr>
            <w:r>
              <w:rPr>
                <w:rFonts w:hint="eastAsia"/>
                <w:color w:val="auto"/>
                <w:highlight w:val="none"/>
                <w:lang w:val="en-US" w:eastAsia="zh-CN"/>
              </w:rPr>
              <w:t>由于清远市展鸿环保科技有限公司年综合利用10万吨铝灰建设项目在本厂房内已取得环评批复但尚未启动，故因经济发展需要，厂房变更为租赁给清远市华钙环保科技有限公司（即本公司），本公司与承租方黄志盛、牛掩村民小组、清远市展鸿环保科技有限公司友好协商，展鸿公司厂房位置及面积发生变化（详见附图2），并签订场地使用协议（附件10），如后续展鸿公司项目启动，需取得承租方黄志盛、牛掩村民小组、清远市华钙环保科技有限公司三方同意。</w:t>
            </w:r>
            <w:bookmarkStart w:id="5" w:name="_GoBack"/>
            <w:bookmarkEnd w:id="5"/>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rFonts w:hint="eastAsia"/>
                <w:color w:val="auto"/>
                <w:highlight w:val="none"/>
                <w:lang w:val="en-US" w:eastAsia="zh-CN"/>
              </w:rPr>
            </w:pPr>
          </w:p>
          <w:p>
            <w:pPr>
              <w:pStyle w:val="20"/>
              <w:ind w:firstLine="420" w:firstLineChars="200"/>
              <w:jc w:val="both"/>
              <w:rPr>
                <w:color w:val="auto"/>
                <w:highlight w:val="none"/>
              </w:rPr>
            </w:pPr>
          </w:p>
          <w:p>
            <w:pPr>
              <w:pStyle w:val="20"/>
              <w:ind w:firstLine="420" w:firstLineChars="200"/>
              <w:jc w:val="both"/>
              <w:rPr>
                <w:color w:val="auto"/>
                <w:highlight w:val="none"/>
              </w:rPr>
            </w:pPr>
          </w:p>
        </w:tc>
      </w:tr>
    </w:tbl>
    <w:p>
      <w:pPr>
        <w:adjustRightInd w:val="0"/>
        <w:snapToGrid w:val="0"/>
        <w:spacing w:line="288" w:lineRule="auto"/>
        <w:jc w:val="center"/>
        <w:rPr>
          <w:color w:val="auto"/>
          <w:sz w:val="36"/>
          <w:szCs w:val="36"/>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pPr>
        <w:pStyle w:val="25"/>
        <w:jc w:val="center"/>
        <w:outlineLvl w:val="0"/>
        <w:rPr>
          <w:rFonts w:ascii="Times New Roman" w:hAnsi="Times New Roman"/>
          <w:snapToGrid w:val="0"/>
          <w:color w:val="auto"/>
          <w:sz w:val="30"/>
          <w:szCs w:val="30"/>
          <w:highlight w:val="none"/>
        </w:rPr>
      </w:pPr>
      <w:r>
        <w:rPr>
          <w:rFonts w:ascii="Times New Roman" w:hAnsi="Times New Roman"/>
          <w:snapToGrid w:val="0"/>
          <w:color w:val="auto"/>
          <w:sz w:val="30"/>
          <w:szCs w:val="30"/>
          <w:highlight w:val="none"/>
        </w:rPr>
        <w:t>二、建设项目工程分析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288" w:lineRule="auto"/>
              <w:jc w:val="center"/>
              <w:rPr>
                <w:color w:val="auto"/>
                <w:kern w:val="0"/>
                <w:sz w:val="20"/>
                <w:szCs w:val="21"/>
                <w:highlight w:val="none"/>
              </w:rPr>
            </w:pPr>
            <w:r>
              <w:rPr>
                <w:rFonts w:hint="eastAsia"/>
                <w:color w:val="auto"/>
                <w:kern w:val="0"/>
                <w:szCs w:val="21"/>
                <w:highlight w:val="none"/>
              </w:rPr>
              <w:t>建设内容</w:t>
            </w:r>
          </w:p>
        </w:tc>
        <w:tc>
          <w:tcPr>
            <w:tcW w:w="7621" w:type="dxa"/>
            <w:tcBorders>
              <w:bottom w:val="single" w:color="auto" w:sz="4" w:space="0"/>
            </w:tcBorders>
          </w:tcPr>
          <w:p>
            <w:pPr>
              <w:pStyle w:val="46"/>
              <w:adjustRightInd w:val="0"/>
              <w:snapToGrid w:val="0"/>
              <w:ind w:left="420" w:leftChars="200" w:firstLine="0" w:firstLineChars="0"/>
              <w:rPr>
                <w:b/>
                <w:color w:val="auto"/>
                <w:kern w:val="0"/>
                <w:szCs w:val="21"/>
                <w:highlight w:val="none"/>
              </w:rPr>
            </w:pPr>
            <w:r>
              <w:rPr>
                <w:rFonts w:hint="eastAsia"/>
                <w:b/>
                <w:color w:val="auto"/>
                <w:kern w:val="0"/>
                <w:szCs w:val="21"/>
                <w:highlight w:val="none"/>
              </w:rPr>
              <w:t>一、建设内容及规模</w:t>
            </w:r>
          </w:p>
          <w:p>
            <w:pPr>
              <w:pStyle w:val="2"/>
              <w:ind w:firstLine="420" w:firstLineChars="200"/>
              <w:rPr>
                <w:rFonts w:hint="eastAsia" w:eastAsia="宋体" w:cs="Times New Roman"/>
                <w:color w:val="auto"/>
                <w:kern w:val="0"/>
                <w:highlight w:val="none"/>
                <w:lang w:eastAsia="zh-CN"/>
              </w:rPr>
            </w:pPr>
            <w:r>
              <w:rPr>
                <w:rFonts w:cs="Times New Roman"/>
                <w:color w:val="auto"/>
                <w:kern w:val="0"/>
                <w:highlight w:val="none"/>
              </w:rPr>
              <w:t>本项目位于</w:t>
            </w:r>
            <w:r>
              <w:rPr>
                <w:rFonts w:hint="eastAsia" w:cs="Times New Roman"/>
                <w:color w:val="auto"/>
                <w:kern w:val="0"/>
                <w:highlight w:val="none"/>
              </w:rPr>
              <w:t>清远市清新区龙颈镇珠坑村委会牛掩村自编001号</w:t>
            </w:r>
            <w:r>
              <w:rPr>
                <w:rFonts w:cs="Times New Roman"/>
                <w:color w:val="auto"/>
                <w:kern w:val="0"/>
                <w:highlight w:val="none"/>
              </w:rPr>
              <w:t>，</w:t>
            </w:r>
            <w:r>
              <w:rPr>
                <w:rFonts w:cs="Times New Roman"/>
                <w:color w:val="auto"/>
                <w:kern w:val="0"/>
                <w:szCs w:val="21"/>
                <w:highlight w:val="none"/>
              </w:rPr>
              <w:t>中心地理坐标：</w:t>
            </w:r>
            <w:r>
              <w:rPr>
                <w:rFonts w:cs="Times New Roman"/>
                <w:color w:val="auto"/>
                <w:highlight w:val="none"/>
              </w:rPr>
              <w:t>112°5</w:t>
            </w:r>
            <w:r>
              <w:rPr>
                <w:rFonts w:hint="eastAsia" w:cs="Times New Roman"/>
                <w:color w:val="auto"/>
                <w:highlight w:val="none"/>
              </w:rPr>
              <w:t>4</w:t>
            </w:r>
            <w:r>
              <w:rPr>
                <w:rFonts w:cs="Times New Roman"/>
                <w:color w:val="auto"/>
                <w:highlight w:val="none"/>
              </w:rPr>
              <w:t>′</w:t>
            </w:r>
            <w:r>
              <w:rPr>
                <w:rFonts w:hint="eastAsia" w:cs="Times New Roman"/>
                <w:color w:val="auto"/>
                <w:highlight w:val="none"/>
              </w:rPr>
              <w:t>58.491</w:t>
            </w:r>
            <w:r>
              <w:rPr>
                <w:rFonts w:cs="Times New Roman"/>
                <w:color w:val="auto"/>
                <w:highlight w:val="none"/>
              </w:rPr>
              <w:t>″E，23°49′</w:t>
            </w:r>
            <w:r>
              <w:rPr>
                <w:rFonts w:hint="eastAsia" w:cs="Times New Roman"/>
                <w:color w:val="auto"/>
                <w:highlight w:val="none"/>
              </w:rPr>
              <w:t>54.775</w:t>
            </w:r>
            <w:r>
              <w:rPr>
                <w:rFonts w:cs="Times New Roman"/>
                <w:color w:val="auto"/>
                <w:highlight w:val="none"/>
              </w:rPr>
              <w:t>″N</w:t>
            </w:r>
            <w:r>
              <w:rPr>
                <w:rFonts w:cs="Times New Roman"/>
                <w:color w:val="auto"/>
                <w:kern w:val="0"/>
                <w:szCs w:val="21"/>
                <w:highlight w:val="none"/>
              </w:rPr>
              <w:t>。</w:t>
            </w:r>
            <w:r>
              <w:rPr>
                <w:rFonts w:hint="eastAsia"/>
                <w:color w:val="auto"/>
                <w:highlight w:val="none"/>
              </w:rPr>
              <w:t>项目主要设置3条生产线，主要包括2条氢氧化钙生产线和1条氧化钙生产线，氢氧化钙生产线</w:t>
            </w:r>
            <w:r>
              <w:rPr>
                <w:rFonts w:hint="eastAsia"/>
                <w:color w:val="auto"/>
                <w:highlight w:val="none"/>
                <w:lang w:val="en-US" w:eastAsia="zh-CN"/>
              </w:rPr>
              <w:t>年产</w:t>
            </w:r>
            <w:r>
              <w:rPr>
                <w:rFonts w:hint="eastAsia"/>
                <w:color w:val="auto"/>
                <w:highlight w:val="none"/>
              </w:rPr>
              <w:t>氢氧化钙</w:t>
            </w:r>
            <w:r>
              <w:rPr>
                <w:rFonts w:hint="eastAsia"/>
                <w:color w:val="auto"/>
                <w:highlight w:val="none"/>
                <w:lang w:val="en-US" w:eastAsia="zh-CN"/>
              </w:rPr>
              <w:t>10万吨（每条</w:t>
            </w:r>
            <w:r>
              <w:rPr>
                <w:rFonts w:hint="eastAsia"/>
                <w:color w:val="auto"/>
                <w:highlight w:val="none"/>
              </w:rPr>
              <w:t>5万吨</w:t>
            </w:r>
            <w:r>
              <w:rPr>
                <w:rFonts w:hint="eastAsia"/>
                <w:color w:val="auto"/>
                <w:highlight w:val="none"/>
                <w:lang w:eastAsia="zh-CN"/>
              </w:rPr>
              <w:t>）</w:t>
            </w:r>
            <w:r>
              <w:rPr>
                <w:rFonts w:hint="eastAsia"/>
                <w:color w:val="auto"/>
                <w:highlight w:val="none"/>
              </w:rPr>
              <w:t>，氧化钙生产线年产氧化钙5万吨。</w:t>
            </w:r>
            <w:r>
              <w:rPr>
                <w:rFonts w:hint="eastAsia"/>
                <w:color w:val="auto"/>
                <w:kern w:val="10"/>
                <w:szCs w:val="21"/>
                <w:highlight w:val="none"/>
              </w:rPr>
              <w:t>本项目占地面积为5445m</w:t>
            </w:r>
            <w:r>
              <w:rPr>
                <w:color w:val="auto"/>
                <w:kern w:val="10"/>
                <w:szCs w:val="21"/>
                <w:highlight w:val="none"/>
                <w:vertAlign w:val="superscript"/>
              </w:rPr>
              <w:t>2</w:t>
            </w:r>
            <w:r>
              <w:rPr>
                <w:rFonts w:hint="eastAsia"/>
                <w:color w:val="auto"/>
                <w:kern w:val="10"/>
                <w:szCs w:val="21"/>
                <w:highlight w:val="none"/>
              </w:rPr>
              <w:t>，建筑面积为1749m</w:t>
            </w:r>
            <w:r>
              <w:rPr>
                <w:color w:val="auto"/>
                <w:kern w:val="10"/>
                <w:szCs w:val="21"/>
                <w:highlight w:val="none"/>
                <w:vertAlign w:val="superscript"/>
              </w:rPr>
              <w:t>2</w:t>
            </w:r>
            <w:r>
              <w:rPr>
                <w:rFonts w:hint="eastAsia"/>
                <w:color w:val="auto"/>
                <w:kern w:val="10"/>
                <w:szCs w:val="21"/>
                <w:highlight w:val="none"/>
              </w:rPr>
              <w:t>。</w:t>
            </w:r>
            <w:r>
              <w:rPr>
                <w:rFonts w:hint="eastAsia"/>
                <w:color w:val="auto"/>
                <w:kern w:val="10"/>
                <w:highlight w:val="none"/>
              </w:rPr>
              <w:t>本项目总投资1</w:t>
            </w:r>
            <w:r>
              <w:rPr>
                <w:color w:val="auto"/>
                <w:kern w:val="10"/>
                <w:highlight w:val="none"/>
              </w:rPr>
              <w:t>000</w:t>
            </w:r>
            <w:r>
              <w:rPr>
                <w:rFonts w:hint="eastAsia"/>
                <w:color w:val="auto"/>
                <w:kern w:val="10"/>
                <w:highlight w:val="none"/>
              </w:rPr>
              <w:t>万元，环保投资15</w:t>
            </w:r>
            <w:r>
              <w:rPr>
                <w:color w:val="auto"/>
                <w:kern w:val="10"/>
                <w:highlight w:val="none"/>
              </w:rPr>
              <w:t>0</w:t>
            </w:r>
            <w:r>
              <w:rPr>
                <w:rFonts w:hint="eastAsia"/>
                <w:color w:val="auto"/>
                <w:kern w:val="10"/>
                <w:highlight w:val="none"/>
              </w:rPr>
              <w:t>万元。</w:t>
            </w:r>
            <w:r>
              <w:rPr>
                <w:rFonts w:hint="eastAsia"/>
                <w:color w:val="auto"/>
                <w:kern w:val="10"/>
                <w:highlight w:val="none"/>
                <w:lang w:val="en-US" w:eastAsia="zh-CN"/>
              </w:rPr>
              <w:t>本项目建成后</w:t>
            </w:r>
            <w:r>
              <w:rPr>
                <w:rFonts w:hint="eastAsia"/>
                <w:color w:val="auto"/>
                <w:highlight w:val="none"/>
                <w:lang w:val="en-US" w:eastAsia="zh-CN"/>
              </w:rPr>
              <w:t>年产</w:t>
            </w:r>
            <w:r>
              <w:rPr>
                <w:rFonts w:hint="eastAsia"/>
                <w:color w:val="auto"/>
                <w:highlight w:val="none"/>
              </w:rPr>
              <w:t>氢氧化钙</w:t>
            </w:r>
            <w:r>
              <w:rPr>
                <w:rFonts w:hint="eastAsia"/>
                <w:color w:val="auto"/>
                <w:highlight w:val="none"/>
                <w:lang w:val="en-US" w:eastAsia="zh-CN"/>
              </w:rPr>
              <w:t>10万吨</w:t>
            </w:r>
            <w:r>
              <w:rPr>
                <w:rFonts w:hint="eastAsia"/>
                <w:color w:val="auto"/>
                <w:highlight w:val="none"/>
              </w:rPr>
              <w:t>，氧化钙5万吨</w:t>
            </w:r>
            <w:r>
              <w:rPr>
                <w:rFonts w:hint="eastAsia"/>
                <w:color w:val="auto"/>
                <w:highlight w:val="none"/>
                <w:lang w:eastAsia="zh-CN"/>
              </w:rPr>
              <w:t>。</w:t>
            </w:r>
          </w:p>
          <w:p>
            <w:pPr>
              <w:ind w:firstLine="420" w:firstLineChars="200"/>
              <w:rPr>
                <w:color w:val="auto"/>
                <w:kern w:val="0"/>
                <w:szCs w:val="21"/>
                <w:highlight w:val="none"/>
              </w:rPr>
            </w:pPr>
            <w:r>
              <w:rPr>
                <w:rFonts w:hint="eastAsia"/>
                <w:color w:val="auto"/>
                <w:kern w:val="0"/>
                <w:szCs w:val="21"/>
                <w:highlight w:val="none"/>
              </w:rPr>
              <w:t>工程组成表见下：</w:t>
            </w:r>
          </w:p>
          <w:p>
            <w:pPr>
              <w:pStyle w:val="46"/>
              <w:numPr>
                <w:ilvl w:val="8"/>
                <w:numId w:val="3"/>
              </w:numPr>
              <w:autoSpaceDE w:val="0"/>
              <w:autoSpaceDN w:val="0"/>
              <w:adjustRightInd w:val="0"/>
              <w:snapToGrid w:val="0"/>
              <w:spacing w:line="240" w:lineRule="auto"/>
              <w:ind w:firstLineChars="0"/>
              <w:jc w:val="center"/>
              <w:rPr>
                <w:b/>
                <w:bCs/>
                <w:color w:val="auto"/>
                <w:kern w:val="0"/>
                <w:szCs w:val="21"/>
                <w:highlight w:val="none"/>
              </w:rPr>
            </w:pPr>
            <w:r>
              <w:rPr>
                <w:rFonts w:hint="eastAsia"/>
                <w:b/>
                <w:bCs/>
                <w:color w:val="auto"/>
                <w:kern w:val="0"/>
                <w:szCs w:val="21"/>
                <w:highlight w:val="none"/>
              </w:rPr>
              <w:t>建构筑物情况一览表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346"/>
              <w:gridCol w:w="1144"/>
              <w:gridCol w:w="906"/>
              <w:gridCol w:w="127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353" w:type="dxa"/>
                  <w:vAlign w:val="center"/>
                </w:tcPr>
                <w:p>
                  <w:pPr>
                    <w:spacing w:line="240" w:lineRule="auto"/>
                    <w:jc w:val="center"/>
                    <w:rPr>
                      <w:color w:val="auto"/>
                      <w:highlight w:val="none"/>
                    </w:rPr>
                  </w:pPr>
                  <w:r>
                    <w:rPr>
                      <w:rFonts w:hint="eastAsia"/>
                      <w:color w:val="auto"/>
                      <w:highlight w:val="none"/>
                    </w:rPr>
                    <w:t>建筑物</w:t>
                  </w:r>
                </w:p>
              </w:tc>
              <w:tc>
                <w:tcPr>
                  <w:tcW w:w="1346" w:type="dxa"/>
                  <w:vAlign w:val="center"/>
                </w:tcPr>
                <w:p>
                  <w:pPr>
                    <w:spacing w:line="240" w:lineRule="auto"/>
                    <w:jc w:val="center"/>
                    <w:rPr>
                      <w:rFonts w:hint="eastAsia" w:eastAsia="宋体"/>
                      <w:color w:val="auto"/>
                      <w:highlight w:val="none"/>
                      <w:lang w:val="en-US" w:eastAsia="zh-CN"/>
                    </w:rPr>
                  </w:pPr>
                  <w:r>
                    <w:rPr>
                      <w:color w:val="auto"/>
                      <w:highlight w:val="none"/>
                    </w:rPr>
                    <w:t>建构筑物</w:t>
                  </w:r>
                  <w:r>
                    <w:rPr>
                      <w:rFonts w:hint="eastAsia"/>
                      <w:color w:val="auto"/>
                      <w:highlight w:val="none"/>
                    </w:rPr>
                    <w:t>结构</w:t>
                  </w:r>
                  <w:r>
                    <w:rPr>
                      <w:rFonts w:hint="eastAsia"/>
                      <w:color w:val="auto"/>
                      <w:highlight w:val="none"/>
                      <w:lang w:val="en-US" w:eastAsia="zh-CN"/>
                    </w:rPr>
                    <w:t>类型</w:t>
                  </w:r>
                </w:p>
              </w:tc>
              <w:tc>
                <w:tcPr>
                  <w:tcW w:w="1144" w:type="dxa"/>
                  <w:vAlign w:val="center"/>
                </w:tcPr>
                <w:p>
                  <w:pPr>
                    <w:spacing w:line="240" w:lineRule="auto"/>
                    <w:jc w:val="center"/>
                    <w:rPr>
                      <w:color w:val="auto"/>
                      <w:highlight w:val="none"/>
                    </w:rPr>
                  </w:pPr>
                  <w:r>
                    <w:rPr>
                      <w:rFonts w:hint="eastAsia"/>
                      <w:color w:val="auto"/>
                      <w:highlight w:val="none"/>
                    </w:rPr>
                    <w:t>层数</w:t>
                  </w:r>
                </w:p>
              </w:tc>
              <w:tc>
                <w:tcPr>
                  <w:tcW w:w="906" w:type="dxa"/>
                  <w:vAlign w:val="center"/>
                </w:tcPr>
                <w:p>
                  <w:pPr>
                    <w:spacing w:line="240" w:lineRule="auto"/>
                    <w:jc w:val="center"/>
                    <w:rPr>
                      <w:rFonts w:hint="eastAsia" w:eastAsia="宋体"/>
                      <w:color w:val="auto"/>
                      <w:highlight w:val="none"/>
                      <w:lang w:val="en-US" w:eastAsia="zh-CN"/>
                    </w:rPr>
                  </w:pPr>
                  <w:r>
                    <w:rPr>
                      <w:rFonts w:hint="eastAsia"/>
                      <w:color w:val="auto"/>
                      <w:highlight w:val="none"/>
                      <w:lang w:val="en-US" w:eastAsia="zh-CN"/>
                    </w:rPr>
                    <w:t>高度</w:t>
                  </w:r>
                </w:p>
              </w:tc>
              <w:tc>
                <w:tcPr>
                  <w:tcW w:w="1277" w:type="dxa"/>
                  <w:vAlign w:val="center"/>
                </w:tcPr>
                <w:p>
                  <w:pPr>
                    <w:spacing w:line="240" w:lineRule="auto"/>
                    <w:jc w:val="center"/>
                    <w:rPr>
                      <w:color w:val="auto"/>
                      <w:highlight w:val="none"/>
                    </w:rPr>
                  </w:pPr>
                  <w:r>
                    <w:rPr>
                      <w:rFonts w:hint="eastAsia"/>
                      <w:color w:val="auto"/>
                      <w:highlight w:val="none"/>
                    </w:rPr>
                    <w:t>占地面积</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p>
              </w:tc>
              <w:tc>
                <w:tcPr>
                  <w:tcW w:w="1369" w:type="dxa"/>
                  <w:vAlign w:val="center"/>
                </w:tcPr>
                <w:p>
                  <w:pPr>
                    <w:spacing w:line="240" w:lineRule="auto"/>
                    <w:jc w:val="center"/>
                    <w:rPr>
                      <w:color w:val="auto"/>
                      <w:highlight w:val="none"/>
                    </w:rPr>
                  </w:pPr>
                  <w:r>
                    <w:rPr>
                      <w:rFonts w:hint="eastAsia"/>
                      <w:color w:val="auto"/>
                      <w:highlight w:val="none"/>
                    </w:rPr>
                    <w:t>建筑面积</w:t>
                  </w:r>
                  <w:r>
                    <w:rPr>
                      <w:rFonts w:hint="eastAsia"/>
                      <w:color w:val="auto"/>
                      <w:kern w:val="0"/>
                      <w:szCs w:val="21"/>
                      <w:highlight w:val="none"/>
                    </w:rPr>
                    <w:t>（m</w:t>
                  </w:r>
                  <w:r>
                    <w:rPr>
                      <w:color w:val="auto"/>
                      <w:kern w:val="0"/>
                      <w:szCs w:val="21"/>
                      <w:highlight w:val="none"/>
                      <w:vertAlign w:val="superscript"/>
                    </w:rPr>
                    <w:t>2</w:t>
                  </w:r>
                  <w:r>
                    <w:rPr>
                      <w:rFonts w:hint="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spacing w:line="240" w:lineRule="auto"/>
                    <w:jc w:val="center"/>
                    <w:rPr>
                      <w:color w:val="auto"/>
                      <w:highlight w:val="none"/>
                    </w:rPr>
                  </w:pPr>
                  <w:r>
                    <w:rPr>
                      <w:rFonts w:hint="eastAsia"/>
                      <w:color w:val="auto"/>
                      <w:highlight w:val="none"/>
                    </w:rPr>
                    <w:t>生产车间</w:t>
                  </w:r>
                </w:p>
              </w:tc>
              <w:tc>
                <w:tcPr>
                  <w:tcW w:w="1346" w:type="dxa"/>
                  <w:vAlign w:val="center"/>
                </w:tcPr>
                <w:p>
                  <w:pPr>
                    <w:spacing w:line="240" w:lineRule="auto"/>
                    <w:jc w:val="center"/>
                    <w:rPr>
                      <w:rFonts w:hint="eastAsia"/>
                      <w:color w:val="auto"/>
                      <w:highlight w:val="none"/>
                    </w:rPr>
                  </w:pPr>
                  <w:r>
                    <w:rPr>
                      <w:rFonts w:hint="eastAsia"/>
                      <w:color w:val="auto"/>
                      <w:highlight w:val="none"/>
                    </w:rPr>
                    <w:t>钢混结构</w:t>
                  </w:r>
                </w:p>
              </w:tc>
              <w:tc>
                <w:tcPr>
                  <w:tcW w:w="1144" w:type="dxa"/>
                  <w:vAlign w:val="center"/>
                </w:tcPr>
                <w:p>
                  <w:pPr>
                    <w:spacing w:line="240" w:lineRule="auto"/>
                    <w:jc w:val="center"/>
                    <w:rPr>
                      <w:rFonts w:hint="eastAsia" w:eastAsia="宋体"/>
                      <w:color w:val="auto"/>
                      <w:highlight w:val="none"/>
                      <w:lang w:eastAsia="zh-CN"/>
                    </w:rPr>
                  </w:pPr>
                  <w:r>
                    <w:rPr>
                      <w:rFonts w:hint="eastAsia"/>
                      <w:color w:val="auto"/>
                      <w:highlight w:val="none"/>
                      <w:lang w:val="en-US" w:eastAsia="zh-CN"/>
                    </w:rPr>
                    <w:t>2</w:t>
                  </w:r>
                </w:p>
              </w:tc>
              <w:tc>
                <w:tcPr>
                  <w:tcW w:w="906" w:type="dxa"/>
                  <w:vAlign w:val="center"/>
                </w:tcPr>
                <w:p>
                  <w:pPr>
                    <w:spacing w:line="240" w:lineRule="auto"/>
                    <w:jc w:val="center"/>
                    <w:rPr>
                      <w:rFonts w:hint="default"/>
                      <w:color w:val="auto"/>
                      <w:highlight w:val="none"/>
                      <w:lang w:val="en-US" w:eastAsia="zh-CN"/>
                    </w:rPr>
                  </w:pPr>
                  <w:r>
                    <w:rPr>
                      <w:rFonts w:hint="eastAsia"/>
                      <w:color w:val="auto"/>
                      <w:highlight w:val="none"/>
                      <w:lang w:val="en-US" w:eastAsia="zh-CN"/>
                    </w:rPr>
                    <w:t>15m</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700</w:t>
                  </w:r>
                </w:p>
              </w:tc>
              <w:tc>
                <w:tcPr>
                  <w:tcW w:w="1369" w:type="dxa"/>
                  <w:vAlign w:val="center"/>
                </w:tcPr>
                <w:p>
                  <w:pPr>
                    <w:pStyle w:val="24"/>
                    <w:pBdr>
                      <w:bottom w:val="none" w:color="auto" w:sz="0" w:space="0"/>
                    </w:pBdr>
                    <w:spacing w:line="240" w:lineRule="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spacing w:line="240" w:lineRule="auto"/>
                    <w:jc w:val="center"/>
                    <w:rPr>
                      <w:color w:val="auto"/>
                      <w:highlight w:val="none"/>
                    </w:rPr>
                  </w:pPr>
                  <w:r>
                    <w:rPr>
                      <w:rFonts w:hint="eastAsia"/>
                      <w:color w:val="auto"/>
                      <w:highlight w:val="none"/>
                    </w:rPr>
                    <w:t>原料堆料仓</w:t>
                  </w:r>
                </w:p>
              </w:tc>
              <w:tc>
                <w:tcPr>
                  <w:tcW w:w="1346" w:type="dxa"/>
                  <w:vAlign w:val="center"/>
                </w:tcPr>
                <w:p>
                  <w:pPr>
                    <w:spacing w:line="240" w:lineRule="auto"/>
                    <w:jc w:val="center"/>
                    <w:rPr>
                      <w:rFonts w:hint="eastAsia"/>
                      <w:color w:val="auto"/>
                      <w:highlight w:val="none"/>
                    </w:rPr>
                  </w:pPr>
                  <w:r>
                    <w:rPr>
                      <w:rFonts w:hint="eastAsia"/>
                      <w:color w:val="auto"/>
                      <w:highlight w:val="none"/>
                    </w:rPr>
                    <w:t>钢混结构</w:t>
                  </w:r>
                </w:p>
              </w:tc>
              <w:tc>
                <w:tcPr>
                  <w:tcW w:w="1144" w:type="dxa"/>
                  <w:vAlign w:val="center"/>
                </w:tcPr>
                <w:p>
                  <w:pPr>
                    <w:spacing w:line="240" w:lineRule="auto"/>
                    <w:jc w:val="center"/>
                    <w:rPr>
                      <w:color w:val="auto"/>
                      <w:highlight w:val="none"/>
                    </w:rPr>
                  </w:pPr>
                  <w:r>
                    <w:rPr>
                      <w:rFonts w:hint="eastAsia"/>
                      <w:color w:val="auto"/>
                      <w:highlight w:val="none"/>
                    </w:rPr>
                    <w:t>1</w:t>
                  </w:r>
                </w:p>
              </w:tc>
              <w:tc>
                <w:tcPr>
                  <w:tcW w:w="906" w:type="dxa"/>
                  <w:vAlign w:val="center"/>
                </w:tcPr>
                <w:p>
                  <w:pPr>
                    <w:spacing w:line="240" w:lineRule="auto"/>
                    <w:jc w:val="center"/>
                    <w:rPr>
                      <w:rFonts w:hint="eastAsia" w:eastAsia="宋体"/>
                      <w:color w:val="auto"/>
                      <w:highlight w:val="none"/>
                      <w:lang w:val="en-US" w:eastAsia="zh-CN"/>
                    </w:rPr>
                  </w:pPr>
                  <w:r>
                    <w:rPr>
                      <w:rFonts w:hint="eastAsia"/>
                      <w:color w:val="auto"/>
                      <w:highlight w:val="none"/>
                      <w:lang w:val="en-US" w:eastAsia="zh-CN"/>
                    </w:rPr>
                    <w:t>8</w:t>
                  </w:r>
                  <w:r>
                    <w:rPr>
                      <w:rFonts w:hint="eastAsia"/>
                      <w:color w:val="auto"/>
                      <w:kern w:val="0"/>
                      <w:szCs w:val="21"/>
                      <w:highlight w:val="none"/>
                    </w:rPr>
                    <w:t>m</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240</w:t>
                  </w:r>
                </w:p>
              </w:tc>
              <w:tc>
                <w:tcPr>
                  <w:tcW w:w="136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spacing w:line="240" w:lineRule="auto"/>
                    <w:jc w:val="center"/>
                    <w:rPr>
                      <w:color w:val="auto"/>
                      <w:highlight w:val="none"/>
                    </w:rPr>
                  </w:pPr>
                  <w:r>
                    <w:rPr>
                      <w:rFonts w:hint="eastAsia"/>
                      <w:color w:val="auto"/>
                      <w:highlight w:val="none"/>
                    </w:rPr>
                    <w:t>办公室</w:t>
                  </w:r>
                </w:p>
              </w:tc>
              <w:tc>
                <w:tcPr>
                  <w:tcW w:w="1346" w:type="dxa"/>
                  <w:vAlign w:val="center"/>
                </w:tcPr>
                <w:p>
                  <w:pPr>
                    <w:spacing w:line="240" w:lineRule="auto"/>
                    <w:jc w:val="center"/>
                    <w:rPr>
                      <w:rFonts w:hint="eastAsia"/>
                      <w:color w:val="auto"/>
                      <w:highlight w:val="none"/>
                    </w:rPr>
                  </w:pPr>
                  <w:r>
                    <w:rPr>
                      <w:rFonts w:hint="eastAsia"/>
                      <w:color w:val="auto"/>
                      <w:highlight w:val="none"/>
                    </w:rPr>
                    <w:t>钢混结构</w:t>
                  </w:r>
                </w:p>
              </w:tc>
              <w:tc>
                <w:tcPr>
                  <w:tcW w:w="1144" w:type="dxa"/>
                  <w:vAlign w:val="center"/>
                </w:tcPr>
                <w:p>
                  <w:pPr>
                    <w:spacing w:line="240" w:lineRule="auto"/>
                    <w:jc w:val="center"/>
                    <w:rPr>
                      <w:rFonts w:hint="eastAsia" w:eastAsia="宋体"/>
                      <w:color w:val="auto"/>
                      <w:highlight w:val="none"/>
                      <w:lang w:eastAsia="zh-CN"/>
                    </w:rPr>
                  </w:pPr>
                  <w:r>
                    <w:rPr>
                      <w:rFonts w:hint="eastAsia"/>
                      <w:color w:val="auto"/>
                      <w:highlight w:val="none"/>
                      <w:lang w:val="en-US" w:eastAsia="zh-CN"/>
                    </w:rPr>
                    <w:t>2</w:t>
                  </w:r>
                </w:p>
              </w:tc>
              <w:tc>
                <w:tcPr>
                  <w:tcW w:w="906" w:type="dxa"/>
                  <w:vAlign w:val="center"/>
                </w:tcPr>
                <w:p>
                  <w:pPr>
                    <w:spacing w:line="240" w:lineRule="auto"/>
                    <w:jc w:val="center"/>
                    <w:rPr>
                      <w:rFonts w:hint="default"/>
                      <w:color w:val="auto"/>
                      <w:highlight w:val="none"/>
                      <w:lang w:val="en-US" w:eastAsia="zh-CN"/>
                    </w:rPr>
                  </w:pPr>
                  <w:r>
                    <w:rPr>
                      <w:rFonts w:hint="eastAsia"/>
                      <w:color w:val="auto"/>
                      <w:highlight w:val="none"/>
                      <w:lang w:val="en-US" w:eastAsia="zh-CN"/>
                    </w:rPr>
                    <w:t>/</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200</w:t>
                  </w:r>
                </w:p>
              </w:tc>
              <w:tc>
                <w:tcPr>
                  <w:tcW w:w="136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spacing w:line="240" w:lineRule="auto"/>
                    <w:jc w:val="center"/>
                    <w:rPr>
                      <w:color w:val="auto"/>
                      <w:highlight w:val="none"/>
                    </w:rPr>
                  </w:pPr>
                  <w:r>
                    <w:rPr>
                      <w:rFonts w:hint="eastAsia"/>
                      <w:color w:val="auto"/>
                      <w:highlight w:val="none"/>
                    </w:rPr>
                    <w:t>成品罐区</w:t>
                  </w:r>
                </w:p>
              </w:tc>
              <w:tc>
                <w:tcPr>
                  <w:tcW w:w="1346" w:type="dxa"/>
                  <w:vAlign w:val="center"/>
                </w:tcPr>
                <w:p>
                  <w:pPr>
                    <w:spacing w:line="240" w:lineRule="auto"/>
                    <w:jc w:val="center"/>
                    <w:rPr>
                      <w:rFonts w:hint="eastAsia"/>
                      <w:color w:val="auto"/>
                      <w:highlight w:val="none"/>
                    </w:rPr>
                  </w:pPr>
                  <w:r>
                    <w:rPr>
                      <w:rFonts w:hint="eastAsia"/>
                      <w:color w:val="auto"/>
                      <w:kern w:val="0"/>
                      <w:sz w:val="21"/>
                      <w:szCs w:val="21"/>
                      <w:highlight w:val="none"/>
                    </w:rPr>
                    <w:t>钢棚结构</w:t>
                  </w:r>
                </w:p>
              </w:tc>
              <w:tc>
                <w:tcPr>
                  <w:tcW w:w="1144" w:type="dxa"/>
                  <w:vAlign w:val="center"/>
                </w:tcPr>
                <w:p>
                  <w:pPr>
                    <w:spacing w:line="240" w:lineRule="auto"/>
                    <w:jc w:val="center"/>
                    <w:rPr>
                      <w:color w:val="auto"/>
                      <w:highlight w:val="none"/>
                    </w:rPr>
                  </w:pPr>
                  <w:r>
                    <w:rPr>
                      <w:rFonts w:hint="eastAsia"/>
                      <w:color w:val="auto"/>
                      <w:highlight w:val="none"/>
                    </w:rPr>
                    <w:t>1</w:t>
                  </w:r>
                </w:p>
              </w:tc>
              <w:tc>
                <w:tcPr>
                  <w:tcW w:w="906" w:type="dxa"/>
                  <w:vAlign w:val="center"/>
                </w:tcPr>
                <w:p>
                  <w:pPr>
                    <w:spacing w:line="240" w:lineRule="auto"/>
                    <w:jc w:val="center"/>
                    <w:rPr>
                      <w:rFonts w:hint="eastAsia" w:eastAsia="宋体"/>
                      <w:color w:val="auto"/>
                      <w:highlight w:val="none"/>
                      <w:lang w:val="en-US" w:eastAsia="zh-CN"/>
                    </w:rPr>
                  </w:pPr>
                  <w:r>
                    <w:rPr>
                      <w:rFonts w:hint="eastAsia"/>
                      <w:color w:val="auto"/>
                      <w:highlight w:val="none"/>
                      <w:lang w:val="en-US" w:eastAsia="zh-CN"/>
                    </w:rPr>
                    <w:t>/</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270</w:t>
                  </w:r>
                </w:p>
              </w:tc>
              <w:tc>
                <w:tcPr>
                  <w:tcW w:w="136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spacing w:line="240" w:lineRule="auto"/>
                    <w:jc w:val="center"/>
                    <w:rPr>
                      <w:color w:val="auto"/>
                      <w:highlight w:val="none"/>
                    </w:rPr>
                  </w:pPr>
                  <w:r>
                    <w:rPr>
                      <w:rFonts w:hint="eastAsia"/>
                      <w:color w:val="auto"/>
                      <w:highlight w:val="none"/>
                    </w:rPr>
                    <w:t>半成品罐区</w:t>
                  </w:r>
                </w:p>
              </w:tc>
              <w:tc>
                <w:tcPr>
                  <w:tcW w:w="1346" w:type="dxa"/>
                  <w:vAlign w:val="center"/>
                </w:tcPr>
                <w:p>
                  <w:pPr>
                    <w:spacing w:line="240" w:lineRule="auto"/>
                    <w:jc w:val="center"/>
                    <w:rPr>
                      <w:rFonts w:hint="eastAsia"/>
                      <w:color w:val="auto"/>
                      <w:highlight w:val="none"/>
                    </w:rPr>
                  </w:pPr>
                  <w:r>
                    <w:rPr>
                      <w:rFonts w:hint="eastAsia"/>
                      <w:color w:val="auto"/>
                      <w:kern w:val="0"/>
                      <w:sz w:val="21"/>
                      <w:szCs w:val="21"/>
                      <w:highlight w:val="none"/>
                    </w:rPr>
                    <w:t>钢棚结构</w:t>
                  </w:r>
                </w:p>
              </w:tc>
              <w:tc>
                <w:tcPr>
                  <w:tcW w:w="1144" w:type="dxa"/>
                  <w:vAlign w:val="center"/>
                </w:tcPr>
                <w:p>
                  <w:pPr>
                    <w:spacing w:line="240" w:lineRule="auto"/>
                    <w:jc w:val="center"/>
                    <w:rPr>
                      <w:color w:val="auto"/>
                      <w:highlight w:val="none"/>
                    </w:rPr>
                  </w:pPr>
                  <w:r>
                    <w:rPr>
                      <w:rFonts w:hint="eastAsia"/>
                      <w:color w:val="auto"/>
                      <w:highlight w:val="none"/>
                    </w:rPr>
                    <w:t>1</w:t>
                  </w:r>
                </w:p>
              </w:tc>
              <w:tc>
                <w:tcPr>
                  <w:tcW w:w="906" w:type="dxa"/>
                  <w:vAlign w:val="center"/>
                </w:tcPr>
                <w:p>
                  <w:pPr>
                    <w:spacing w:line="240" w:lineRule="auto"/>
                    <w:jc w:val="center"/>
                    <w:rPr>
                      <w:rFonts w:hint="eastAsia" w:eastAsia="宋体"/>
                      <w:color w:val="auto"/>
                      <w:highlight w:val="none"/>
                      <w:lang w:val="en-US" w:eastAsia="zh-CN"/>
                    </w:rPr>
                  </w:pPr>
                  <w:r>
                    <w:rPr>
                      <w:rFonts w:hint="eastAsia"/>
                      <w:color w:val="auto"/>
                      <w:highlight w:val="none"/>
                      <w:lang w:val="en-US" w:eastAsia="zh-CN"/>
                    </w:rPr>
                    <w:t>/</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64</w:t>
                  </w:r>
                </w:p>
              </w:tc>
              <w:tc>
                <w:tcPr>
                  <w:tcW w:w="136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spacing w:line="240" w:lineRule="auto"/>
                    <w:jc w:val="center"/>
                    <w:rPr>
                      <w:color w:val="auto"/>
                      <w:highlight w:val="none"/>
                    </w:rPr>
                  </w:pPr>
                  <w:r>
                    <w:rPr>
                      <w:rFonts w:hint="eastAsia" w:cs="宋体"/>
                      <w:color w:val="auto"/>
                      <w:highlight w:val="none"/>
                    </w:rPr>
                    <w:t>危废间</w:t>
                  </w:r>
                </w:p>
              </w:tc>
              <w:tc>
                <w:tcPr>
                  <w:tcW w:w="1346" w:type="dxa"/>
                  <w:vAlign w:val="center"/>
                </w:tcPr>
                <w:p>
                  <w:pPr>
                    <w:spacing w:line="240" w:lineRule="auto"/>
                    <w:jc w:val="center"/>
                    <w:rPr>
                      <w:rFonts w:hint="eastAsia" w:cs="宋体"/>
                      <w:color w:val="auto"/>
                      <w:highlight w:val="none"/>
                    </w:rPr>
                  </w:pPr>
                  <w:r>
                    <w:rPr>
                      <w:rFonts w:hint="eastAsia"/>
                      <w:color w:val="auto"/>
                      <w:kern w:val="0"/>
                      <w:sz w:val="21"/>
                      <w:szCs w:val="21"/>
                      <w:highlight w:val="none"/>
                    </w:rPr>
                    <w:t>钢棚结构</w:t>
                  </w:r>
                </w:p>
              </w:tc>
              <w:tc>
                <w:tcPr>
                  <w:tcW w:w="1144" w:type="dxa"/>
                  <w:vAlign w:val="center"/>
                </w:tcPr>
                <w:p>
                  <w:pPr>
                    <w:spacing w:line="240" w:lineRule="auto"/>
                    <w:jc w:val="center"/>
                    <w:rPr>
                      <w:color w:val="auto"/>
                      <w:highlight w:val="none"/>
                    </w:rPr>
                  </w:pPr>
                  <w:r>
                    <w:rPr>
                      <w:rFonts w:hint="eastAsia"/>
                      <w:color w:val="auto"/>
                      <w:highlight w:val="none"/>
                    </w:rPr>
                    <w:t>1</w:t>
                  </w:r>
                </w:p>
              </w:tc>
              <w:tc>
                <w:tcPr>
                  <w:tcW w:w="906" w:type="dxa"/>
                  <w:vAlign w:val="center"/>
                </w:tcPr>
                <w:p>
                  <w:pPr>
                    <w:spacing w:line="240" w:lineRule="auto"/>
                    <w:jc w:val="center"/>
                    <w:rPr>
                      <w:rFonts w:hint="eastAsia"/>
                      <w:color w:val="auto"/>
                      <w:highlight w:val="none"/>
                    </w:rPr>
                  </w:pPr>
                  <w:r>
                    <w:rPr>
                      <w:rFonts w:hint="eastAsia"/>
                      <w:color w:val="auto"/>
                      <w:kern w:val="0"/>
                      <w:szCs w:val="21"/>
                      <w:highlight w:val="none"/>
                      <w:lang w:val="en-US" w:eastAsia="zh-CN"/>
                    </w:rPr>
                    <w:t>6</w:t>
                  </w:r>
                  <w:r>
                    <w:rPr>
                      <w:rFonts w:hint="eastAsia"/>
                      <w:color w:val="auto"/>
                      <w:kern w:val="0"/>
                      <w:szCs w:val="21"/>
                      <w:highlight w:val="none"/>
                    </w:rPr>
                    <w:t>m</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10</w:t>
                  </w:r>
                </w:p>
              </w:tc>
              <w:tc>
                <w:tcPr>
                  <w:tcW w:w="136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pStyle w:val="24"/>
                    <w:pBdr>
                      <w:bottom w:val="none" w:color="auto" w:sz="0" w:space="0"/>
                    </w:pBdr>
                    <w:spacing w:line="240" w:lineRule="auto"/>
                    <w:rPr>
                      <w:rFonts w:cs="宋体"/>
                      <w:color w:val="auto"/>
                      <w:highlight w:val="none"/>
                    </w:rPr>
                  </w:pPr>
                  <w:r>
                    <w:rPr>
                      <w:rFonts w:hint="eastAsia"/>
                      <w:color w:val="auto"/>
                      <w:kern w:val="0"/>
                      <w:sz w:val="21"/>
                      <w:szCs w:val="21"/>
                      <w:highlight w:val="none"/>
                    </w:rPr>
                    <w:t>门卫室</w:t>
                  </w:r>
                </w:p>
              </w:tc>
              <w:tc>
                <w:tcPr>
                  <w:tcW w:w="1346" w:type="dxa"/>
                  <w:vAlign w:val="center"/>
                </w:tcPr>
                <w:p>
                  <w:pPr>
                    <w:pStyle w:val="24"/>
                    <w:pBdr>
                      <w:bottom w:val="none" w:color="auto" w:sz="0" w:space="0"/>
                    </w:pBdr>
                    <w:spacing w:line="240" w:lineRule="auto"/>
                    <w:rPr>
                      <w:rFonts w:hint="eastAsia"/>
                      <w:color w:val="auto"/>
                      <w:kern w:val="0"/>
                      <w:sz w:val="21"/>
                      <w:szCs w:val="21"/>
                      <w:highlight w:val="none"/>
                    </w:rPr>
                  </w:pPr>
                  <w:r>
                    <w:rPr>
                      <w:rFonts w:hint="eastAsia"/>
                      <w:color w:val="auto"/>
                      <w:sz w:val="21"/>
                      <w:szCs w:val="21"/>
                      <w:highlight w:val="none"/>
                    </w:rPr>
                    <w:t>钢混结构</w:t>
                  </w:r>
                </w:p>
              </w:tc>
              <w:tc>
                <w:tcPr>
                  <w:tcW w:w="1144" w:type="dxa"/>
                  <w:vAlign w:val="center"/>
                </w:tcPr>
                <w:p>
                  <w:pPr>
                    <w:spacing w:line="240" w:lineRule="auto"/>
                    <w:jc w:val="center"/>
                    <w:rPr>
                      <w:color w:val="auto"/>
                      <w:highlight w:val="none"/>
                    </w:rPr>
                  </w:pPr>
                  <w:r>
                    <w:rPr>
                      <w:rFonts w:hint="eastAsia"/>
                      <w:color w:val="auto"/>
                      <w:highlight w:val="none"/>
                    </w:rPr>
                    <w:t>1</w:t>
                  </w:r>
                </w:p>
              </w:tc>
              <w:tc>
                <w:tcPr>
                  <w:tcW w:w="906" w:type="dxa"/>
                  <w:vAlign w:val="center"/>
                </w:tcPr>
                <w:p>
                  <w:pPr>
                    <w:spacing w:line="240" w:lineRule="auto"/>
                    <w:jc w:val="center"/>
                    <w:rPr>
                      <w:rFonts w:hint="default" w:eastAsia="宋体"/>
                      <w:color w:val="auto"/>
                      <w:highlight w:val="none"/>
                      <w:lang w:val="en-US" w:eastAsia="zh-CN"/>
                    </w:rPr>
                  </w:pPr>
                  <w:r>
                    <w:rPr>
                      <w:rFonts w:hint="eastAsia"/>
                      <w:color w:val="auto"/>
                      <w:highlight w:val="none"/>
                      <w:lang w:val="en-US" w:eastAsia="zh-CN"/>
                    </w:rPr>
                    <w:t>/</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25</w:t>
                  </w:r>
                </w:p>
              </w:tc>
              <w:tc>
                <w:tcPr>
                  <w:tcW w:w="136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53" w:type="dxa"/>
                  <w:vAlign w:val="center"/>
                </w:tcPr>
                <w:p>
                  <w:pPr>
                    <w:pStyle w:val="24"/>
                    <w:pBdr>
                      <w:bottom w:val="none" w:color="auto" w:sz="0" w:space="0"/>
                    </w:pBdr>
                    <w:spacing w:line="240" w:lineRule="auto"/>
                    <w:rPr>
                      <w:rFonts w:cs="宋体"/>
                      <w:color w:val="auto"/>
                      <w:highlight w:val="none"/>
                    </w:rPr>
                  </w:pPr>
                  <w:r>
                    <w:rPr>
                      <w:rFonts w:hint="eastAsia"/>
                      <w:color w:val="auto"/>
                      <w:kern w:val="0"/>
                      <w:sz w:val="21"/>
                      <w:szCs w:val="21"/>
                      <w:highlight w:val="none"/>
                    </w:rPr>
                    <w:t>停车棚</w:t>
                  </w:r>
                </w:p>
              </w:tc>
              <w:tc>
                <w:tcPr>
                  <w:tcW w:w="1346" w:type="dxa"/>
                  <w:vAlign w:val="center"/>
                </w:tcPr>
                <w:p>
                  <w:pPr>
                    <w:pStyle w:val="24"/>
                    <w:pBdr>
                      <w:bottom w:val="none" w:color="auto" w:sz="0" w:space="0"/>
                    </w:pBdr>
                    <w:spacing w:line="240" w:lineRule="auto"/>
                    <w:rPr>
                      <w:rFonts w:hint="eastAsia"/>
                      <w:color w:val="auto"/>
                      <w:kern w:val="0"/>
                      <w:sz w:val="21"/>
                      <w:szCs w:val="21"/>
                      <w:highlight w:val="none"/>
                    </w:rPr>
                  </w:pPr>
                  <w:r>
                    <w:rPr>
                      <w:rFonts w:hint="eastAsia"/>
                      <w:color w:val="auto"/>
                      <w:kern w:val="0"/>
                      <w:sz w:val="21"/>
                      <w:szCs w:val="21"/>
                      <w:highlight w:val="none"/>
                    </w:rPr>
                    <w:t>钢棚结构</w:t>
                  </w:r>
                </w:p>
              </w:tc>
              <w:tc>
                <w:tcPr>
                  <w:tcW w:w="1144" w:type="dxa"/>
                  <w:vAlign w:val="center"/>
                </w:tcPr>
                <w:p>
                  <w:pPr>
                    <w:spacing w:line="240" w:lineRule="auto"/>
                    <w:jc w:val="center"/>
                    <w:rPr>
                      <w:color w:val="auto"/>
                      <w:highlight w:val="none"/>
                    </w:rPr>
                  </w:pPr>
                  <w:r>
                    <w:rPr>
                      <w:rFonts w:hint="eastAsia"/>
                      <w:color w:val="auto"/>
                      <w:highlight w:val="none"/>
                    </w:rPr>
                    <w:t>1</w:t>
                  </w:r>
                </w:p>
              </w:tc>
              <w:tc>
                <w:tcPr>
                  <w:tcW w:w="906" w:type="dxa"/>
                  <w:vAlign w:val="center"/>
                </w:tcPr>
                <w:p>
                  <w:pPr>
                    <w:spacing w:line="240" w:lineRule="auto"/>
                    <w:jc w:val="center"/>
                    <w:rPr>
                      <w:rFonts w:hint="eastAsia"/>
                      <w:color w:val="auto"/>
                      <w:highlight w:val="none"/>
                    </w:rPr>
                  </w:pPr>
                  <w:r>
                    <w:rPr>
                      <w:rFonts w:hint="eastAsia"/>
                      <w:color w:val="auto"/>
                      <w:highlight w:val="none"/>
                      <w:lang w:val="en-US" w:eastAsia="zh-CN"/>
                    </w:rPr>
                    <w:t>/</w:t>
                  </w:r>
                </w:p>
              </w:tc>
              <w:tc>
                <w:tcPr>
                  <w:tcW w:w="1277"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240</w:t>
                  </w:r>
                </w:p>
              </w:tc>
              <w:tc>
                <w:tcPr>
                  <w:tcW w:w="136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240</w:t>
                  </w:r>
                </w:p>
              </w:tc>
            </w:tr>
          </w:tbl>
          <w:p>
            <w:pPr>
              <w:pStyle w:val="46"/>
              <w:numPr>
                <w:ilvl w:val="0"/>
                <w:numId w:val="0"/>
              </w:numPr>
              <w:autoSpaceDE w:val="0"/>
              <w:autoSpaceDN w:val="0"/>
              <w:adjustRightInd w:val="0"/>
              <w:snapToGrid w:val="0"/>
              <w:spacing w:line="240" w:lineRule="auto"/>
              <w:ind w:leftChars="0"/>
              <w:jc w:val="both"/>
              <w:rPr>
                <w:rFonts w:hint="default" w:eastAsia="宋体"/>
                <w:b w:val="0"/>
                <w:bCs/>
                <w:color w:val="auto"/>
                <w:kern w:val="0"/>
                <w:szCs w:val="21"/>
                <w:highlight w:val="none"/>
                <w:lang w:val="en-US" w:eastAsia="zh-CN"/>
              </w:rPr>
            </w:pPr>
            <w:r>
              <w:rPr>
                <w:rFonts w:hint="eastAsia"/>
                <w:b w:val="0"/>
                <w:bCs/>
                <w:color w:val="auto"/>
                <w:kern w:val="0"/>
                <w:szCs w:val="21"/>
                <w:highlight w:val="none"/>
                <w:lang w:val="en-US" w:eastAsia="zh-CN"/>
              </w:rPr>
              <w:t>注：租赁合同中面积为20亩（13333</w:t>
            </w:r>
            <w:r>
              <w:rPr>
                <w:rFonts w:hint="eastAsia"/>
                <w:color w:val="auto"/>
                <w:kern w:val="10"/>
                <w:szCs w:val="21"/>
                <w:highlight w:val="none"/>
              </w:rPr>
              <w:t>m</w:t>
            </w:r>
            <w:r>
              <w:rPr>
                <w:color w:val="auto"/>
                <w:kern w:val="10"/>
                <w:szCs w:val="21"/>
                <w:highlight w:val="none"/>
                <w:vertAlign w:val="superscript"/>
              </w:rPr>
              <w:t>2</w:t>
            </w:r>
            <w:r>
              <w:rPr>
                <w:rFonts w:hint="eastAsia"/>
                <w:b w:val="0"/>
                <w:bCs/>
                <w:color w:val="auto"/>
                <w:kern w:val="0"/>
                <w:szCs w:val="21"/>
                <w:highlight w:val="none"/>
                <w:lang w:val="en-US" w:eastAsia="zh-CN"/>
              </w:rPr>
              <w:t>），由于高速公路50m范围不可使用，除去高速公路距离厂区50m部分，剩下面积为10000</w:t>
            </w:r>
            <w:r>
              <w:rPr>
                <w:rFonts w:hint="eastAsia"/>
                <w:color w:val="auto"/>
                <w:kern w:val="10"/>
                <w:szCs w:val="21"/>
                <w:highlight w:val="none"/>
              </w:rPr>
              <w:t>m</w:t>
            </w:r>
            <w:r>
              <w:rPr>
                <w:color w:val="auto"/>
                <w:kern w:val="10"/>
                <w:szCs w:val="21"/>
                <w:highlight w:val="none"/>
                <w:vertAlign w:val="superscript"/>
              </w:rPr>
              <w:t>2</w:t>
            </w:r>
            <w:r>
              <w:rPr>
                <w:rFonts w:hint="eastAsia"/>
                <w:b w:val="0"/>
                <w:bCs/>
                <w:color w:val="auto"/>
                <w:kern w:val="0"/>
                <w:szCs w:val="21"/>
                <w:highlight w:val="none"/>
                <w:lang w:val="en-US" w:eastAsia="zh-CN"/>
              </w:rPr>
              <w:t>，本项目只占用5445</w:t>
            </w:r>
            <w:r>
              <w:rPr>
                <w:rFonts w:hint="eastAsia"/>
                <w:color w:val="auto"/>
                <w:kern w:val="10"/>
                <w:szCs w:val="21"/>
                <w:highlight w:val="none"/>
              </w:rPr>
              <w:t>m</w:t>
            </w:r>
            <w:r>
              <w:rPr>
                <w:color w:val="auto"/>
                <w:kern w:val="10"/>
                <w:szCs w:val="21"/>
                <w:highlight w:val="none"/>
                <w:vertAlign w:val="superscript"/>
              </w:rPr>
              <w:t>2</w:t>
            </w:r>
            <w:r>
              <w:rPr>
                <w:rFonts w:hint="eastAsia"/>
                <w:color w:val="auto"/>
                <w:kern w:val="10"/>
                <w:szCs w:val="21"/>
                <w:highlight w:val="none"/>
                <w:vertAlign w:val="baseline"/>
                <w:lang w:eastAsia="zh-CN"/>
              </w:rPr>
              <w:t>，</w:t>
            </w:r>
            <w:r>
              <w:rPr>
                <w:rFonts w:hint="eastAsia"/>
                <w:color w:val="auto"/>
                <w:kern w:val="10"/>
                <w:szCs w:val="21"/>
                <w:highlight w:val="none"/>
                <w:vertAlign w:val="baseline"/>
                <w:lang w:val="en-US" w:eastAsia="zh-CN"/>
              </w:rPr>
              <w:t>其余面积留给</w:t>
            </w:r>
            <w:r>
              <w:rPr>
                <w:rFonts w:hint="eastAsia"/>
                <w:bCs/>
                <w:color w:val="auto"/>
                <w:kern w:val="0"/>
                <w:szCs w:val="21"/>
                <w:highlight w:val="none"/>
                <w:lang w:val="en-US" w:eastAsia="zh-CN"/>
              </w:rPr>
              <w:t>清远市</w:t>
            </w:r>
            <w:r>
              <w:rPr>
                <w:rFonts w:hint="eastAsia"/>
                <w:bCs/>
                <w:color w:val="auto"/>
                <w:kern w:val="0"/>
                <w:szCs w:val="21"/>
                <w:highlight w:val="none"/>
              </w:rPr>
              <w:t>展鸿环保科技有限公司</w:t>
            </w:r>
            <w:r>
              <w:rPr>
                <w:rFonts w:hint="eastAsia"/>
                <w:bCs/>
                <w:color w:val="auto"/>
                <w:kern w:val="0"/>
                <w:szCs w:val="21"/>
                <w:highlight w:val="none"/>
                <w:lang w:eastAsia="zh-CN"/>
              </w:rPr>
              <w:t>。</w:t>
            </w:r>
            <w:r>
              <w:rPr>
                <w:rFonts w:hint="eastAsia"/>
                <w:color w:val="auto"/>
                <w:kern w:val="10"/>
                <w:szCs w:val="21"/>
                <w:highlight w:val="none"/>
                <w:vertAlign w:val="baseline"/>
                <w:lang w:val="en-US" w:eastAsia="zh-CN"/>
              </w:rPr>
              <w:t>由于</w:t>
            </w:r>
            <w:r>
              <w:rPr>
                <w:rFonts w:hint="eastAsia"/>
                <w:bCs/>
                <w:color w:val="auto"/>
                <w:kern w:val="0"/>
                <w:szCs w:val="21"/>
                <w:highlight w:val="none"/>
              </w:rPr>
              <w:t>展鸿环保科技有限公司</w:t>
            </w:r>
            <w:r>
              <w:rPr>
                <w:rFonts w:hint="eastAsia"/>
                <w:bCs/>
                <w:color w:val="auto"/>
                <w:kern w:val="0"/>
                <w:szCs w:val="21"/>
                <w:highlight w:val="none"/>
                <w:lang w:val="en-US" w:eastAsia="zh-CN"/>
              </w:rPr>
              <w:t>尚未投产，如后续清远市</w:t>
            </w:r>
            <w:r>
              <w:rPr>
                <w:rFonts w:hint="eastAsia"/>
                <w:bCs/>
                <w:color w:val="auto"/>
                <w:kern w:val="0"/>
                <w:szCs w:val="21"/>
                <w:highlight w:val="none"/>
              </w:rPr>
              <w:t>展鸿环保科技有限公司</w:t>
            </w:r>
            <w:r>
              <w:rPr>
                <w:rFonts w:hint="eastAsia"/>
                <w:bCs/>
                <w:color w:val="auto"/>
                <w:kern w:val="0"/>
                <w:szCs w:val="21"/>
                <w:highlight w:val="none"/>
                <w:lang w:val="en-US" w:eastAsia="zh-CN"/>
              </w:rPr>
              <w:t>需投产，本公司需重新签订合同。</w:t>
            </w:r>
          </w:p>
          <w:p>
            <w:pPr>
              <w:pStyle w:val="46"/>
              <w:numPr>
                <w:ilvl w:val="8"/>
                <w:numId w:val="3"/>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项目工程组成一览表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41"/>
              <w:gridCol w:w="1586"/>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工程类别</w:t>
                  </w: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子项</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sz w:val="21"/>
                      <w:szCs w:val="21"/>
                      <w:highlight w:val="none"/>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主体工程</w:t>
                  </w: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生产车间</w:t>
                  </w:r>
                </w:p>
              </w:tc>
              <w:tc>
                <w:tcPr>
                  <w:tcW w:w="4335" w:type="dxa"/>
                  <w:vAlign w:val="center"/>
                </w:tcPr>
                <w:p>
                  <w:pPr>
                    <w:pStyle w:val="24"/>
                    <w:pBdr>
                      <w:bottom w:val="none" w:color="auto" w:sz="0" w:space="0"/>
                    </w:pBdr>
                    <w:spacing w:line="240" w:lineRule="auto"/>
                    <w:jc w:val="both"/>
                    <w:rPr>
                      <w:rFonts w:hint="eastAsia"/>
                      <w:color w:val="auto"/>
                      <w:kern w:val="0"/>
                      <w:sz w:val="21"/>
                      <w:szCs w:val="21"/>
                      <w:highlight w:val="none"/>
                      <w:lang w:eastAsia="zh-CN"/>
                    </w:rPr>
                  </w:pPr>
                  <w:r>
                    <w:rPr>
                      <w:rFonts w:hint="eastAsia"/>
                      <w:color w:val="auto"/>
                      <w:kern w:val="0"/>
                      <w:sz w:val="21"/>
                      <w:szCs w:val="21"/>
                      <w:highlight w:val="none"/>
                      <w:lang w:val="en-US" w:eastAsia="zh-CN"/>
                    </w:rPr>
                    <w:t>一层（700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vertAlign w:val="baseline"/>
                      <w:lang w:eastAsia="zh-CN"/>
                    </w:rPr>
                    <w:t>）</w:t>
                  </w:r>
                  <w:r>
                    <w:rPr>
                      <w:rFonts w:hint="eastAsia"/>
                      <w:color w:val="auto"/>
                      <w:kern w:val="0"/>
                      <w:sz w:val="21"/>
                      <w:szCs w:val="21"/>
                      <w:highlight w:val="none"/>
                      <w:lang w:val="en-US" w:eastAsia="zh-CN"/>
                    </w:rPr>
                    <w:t>：</w:t>
                  </w:r>
                  <w:r>
                    <w:rPr>
                      <w:rFonts w:hint="eastAsia"/>
                      <w:color w:val="auto"/>
                      <w:kern w:val="0"/>
                      <w:sz w:val="21"/>
                      <w:szCs w:val="21"/>
                      <w:highlight w:val="none"/>
                    </w:rPr>
                    <w:t>2条氢氧化钙（年产氢氧化钙10万吨）、1条氧化钙生产线（年产氧化钙5万吨）</w:t>
                  </w:r>
                  <w:r>
                    <w:rPr>
                      <w:rFonts w:hint="eastAsia"/>
                      <w:color w:val="auto"/>
                      <w:kern w:val="0"/>
                      <w:sz w:val="21"/>
                      <w:szCs w:val="21"/>
                      <w:highlight w:val="none"/>
                      <w:lang w:eastAsia="zh-CN"/>
                    </w:rPr>
                    <w:t>；</w:t>
                  </w:r>
                </w:p>
                <w:p>
                  <w:pPr>
                    <w:pStyle w:val="24"/>
                    <w:pBdr>
                      <w:bottom w:val="none" w:color="auto" w:sz="0" w:space="0"/>
                    </w:pBdr>
                    <w:spacing w:line="240" w:lineRule="auto"/>
                    <w:jc w:val="both"/>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二层（300</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vertAlign w:val="baseline"/>
                      <w:lang w:eastAsia="zh-CN"/>
                    </w:rPr>
                    <w:t>）</w:t>
                  </w:r>
                  <w:r>
                    <w:rPr>
                      <w:rFonts w:hint="eastAsia"/>
                      <w:color w:val="auto"/>
                      <w:kern w:val="0"/>
                      <w:sz w:val="21"/>
                      <w:szCs w:val="21"/>
                      <w:highlight w:val="none"/>
                      <w:lang w:val="en-US" w:eastAsia="zh-CN"/>
                    </w:rPr>
                    <w:t>：放置旋风除尘设备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辅助工程</w:t>
                  </w: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办公室</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门卫室</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停车棚</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储运工程</w:t>
                  </w: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sz w:val="21"/>
                      <w:szCs w:val="21"/>
                      <w:highlight w:val="none"/>
                    </w:rPr>
                    <w:t>原料堆料仓</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存放石灰石原料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2327" w:type="dxa"/>
                  <w:gridSpan w:val="2"/>
                  <w:vAlign w:val="center"/>
                </w:tcPr>
                <w:p>
                  <w:pPr>
                    <w:pStyle w:val="24"/>
                    <w:pBdr>
                      <w:bottom w:val="none" w:color="auto" w:sz="0" w:space="0"/>
                    </w:pBdr>
                    <w:spacing w:line="240" w:lineRule="auto"/>
                    <w:rPr>
                      <w:color w:val="auto"/>
                      <w:sz w:val="21"/>
                      <w:szCs w:val="21"/>
                      <w:highlight w:val="none"/>
                    </w:rPr>
                  </w:pPr>
                  <w:r>
                    <w:rPr>
                      <w:rFonts w:hint="eastAsia"/>
                      <w:color w:val="auto"/>
                      <w:sz w:val="21"/>
                      <w:szCs w:val="24"/>
                      <w:highlight w:val="none"/>
                    </w:rPr>
                    <w:t>成品罐区</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储存成品，设置顶棚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2327" w:type="dxa"/>
                  <w:gridSpan w:val="2"/>
                  <w:vAlign w:val="center"/>
                </w:tcPr>
                <w:p>
                  <w:pPr>
                    <w:pStyle w:val="24"/>
                    <w:pBdr>
                      <w:bottom w:val="none" w:color="auto" w:sz="0" w:space="0"/>
                    </w:pBdr>
                    <w:spacing w:line="240" w:lineRule="auto"/>
                    <w:rPr>
                      <w:color w:val="auto"/>
                      <w:sz w:val="21"/>
                      <w:szCs w:val="21"/>
                      <w:highlight w:val="none"/>
                    </w:rPr>
                  </w:pPr>
                  <w:r>
                    <w:rPr>
                      <w:rFonts w:hint="eastAsia"/>
                      <w:color w:val="auto"/>
                      <w:sz w:val="21"/>
                      <w:szCs w:val="24"/>
                      <w:highlight w:val="none"/>
                    </w:rPr>
                    <w:t>半成品罐区</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生产过程储存半成品，设置顶棚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restart"/>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公用工程</w:t>
                  </w: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供电系统</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供水系统</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市政供水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2327" w:type="dxa"/>
                  <w:gridSpan w:val="2"/>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排水系统</w:t>
                  </w:r>
                </w:p>
              </w:tc>
              <w:tc>
                <w:tcPr>
                  <w:tcW w:w="4335" w:type="dxa"/>
                  <w:vAlign w:val="center"/>
                </w:tcPr>
                <w:p>
                  <w:pPr>
                    <w:pStyle w:val="24"/>
                    <w:pBdr>
                      <w:bottom w:val="none" w:color="auto" w:sz="0" w:space="0"/>
                    </w:pBdr>
                    <w:spacing w:line="240" w:lineRule="auto"/>
                    <w:rPr>
                      <w:color w:val="auto"/>
                      <w:kern w:val="0"/>
                      <w:sz w:val="21"/>
                      <w:szCs w:val="21"/>
                      <w:highlight w:val="none"/>
                    </w:rPr>
                  </w:pPr>
                  <w:r>
                    <w:rPr>
                      <w:color w:val="auto"/>
                      <w:sz w:val="21"/>
                      <w:szCs w:val="21"/>
                      <w:highlight w:val="none"/>
                      <w:lang w:bidi="ar"/>
                    </w:rPr>
                    <w:t>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33" w:type="dxa"/>
                  <w:vMerge w:val="restart"/>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环保工程</w:t>
                  </w:r>
                </w:p>
              </w:tc>
              <w:tc>
                <w:tcPr>
                  <w:tcW w:w="741" w:type="dxa"/>
                  <w:vMerge w:val="restart"/>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废气治理设施</w:t>
                  </w:r>
                </w:p>
              </w:tc>
              <w:tc>
                <w:tcPr>
                  <w:tcW w:w="1586" w:type="dxa"/>
                  <w:vAlign w:val="center"/>
                </w:tcPr>
                <w:p>
                  <w:pPr>
                    <w:pStyle w:val="24"/>
                    <w:pBdr>
                      <w:bottom w:val="none" w:color="auto" w:sz="0" w:space="0"/>
                    </w:pBdr>
                    <w:spacing w:line="240" w:lineRule="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投料</w:t>
                  </w:r>
                  <w:r>
                    <w:rPr>
                      <w:bCs/>
                      <w:color w:val="auto"/>
                      <w:sz w:val="21"/>
                      <w:szCs w:val="21"/>
                      <w:highlight w:val="none"/>
                    </w:rPr>
                    <w:t>过程产生的</w:t>
                  </w:r>
                  <w:r>
                    <w:rPr>
                      <w:rFonts w:hint="eastAsia"/>
                      <w:bCs/>
                      <w:color w:val="auto"/>
                      <w:sz w:val="21"/>
                      <w:szCs w:val="21"/>
                      <w:highlight w:val="none"/>
                      <w:lang w:val="en-US" w:eastAsia="zh-CN"/>
                    </w:rPr>
                    <w:t>颗粒物</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sz w:val="21"/>
                      <w:szCs w:val="21"/>
                      <w:highlight w:val="none"/>
                      <w:lang w:val="en-US" w:eastAsia="zh-CN"/>
                    </w:rPr>
                    <w:t>经</w:t>
                  </w:r>
                  <w:r>
                    <w:rPr>
                      <w:rFonts w:hint="eastAsia"/>
                      <w:color w:val="auto"/>
                      <w:sz w:val="21"/>
                      <w:szCs w:val="21"/>
                      <w:highlight w:val="none"/>
                    </w:rPr>
                    <w:t>集气罩收集，经脉冲布袋除尘器处理后无组织排放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Merge w:val="continue"/>
                  <w:vAlign w:val="center"/>
                </w:tcPr>
                <w:p>
                  <w:pPr>
                    <w:pStyle w:val="24"/>
                    <w:pBdr>
                      <w:bottom w:val="none" w:color="auto" w:sz="0" w:space="0"/>
                    </w:pBdr>
                    <w:spacing w:line="240" w:lineRule="auto"/>
                    <w:rPr>
                      <w:color w:val="auto"/>
                      <w:kern w:val="0"/>
                      <w:sz w:val="21"/>
                      <w:szCs w:val="21"/>
                      <w:highlight w:val="none"/>
                    </w:rPr>
                  </w:pPr>
                </w:p>
              </w:tc>
              <w:tc>
                <w:tcPr>
                  <w:tcW w:w="1586" w:type="dxa"/>
                  <w:vAlign w:val="center"/>
                </w:tcPr>
                <w:p>
                  <w:pPr>
                    <w:pStyle w:val="24"/>
                    <w:pBdr>
                      <w:bottom w:val="none" w:color="auto" w:sz="0" w:space="0"/>
                    </w:pBdr>
                    <w:spacing w:line="240" w:lineRule="auto"/>
                    <w:rPr>
                      <w:rFonts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rPr>
                    <w:t>消化过程产生的颗粒物</w:t>
                  </w:r>
                </w:p>
              </w:tc>
              <w:tc>
                <w:tcPr>
                  <w:tcW w:w="4335" w:type="dxa"/>
                  <w:vAlign w:val="center"/>
                </w:tcPr>
                <w:p>
                  <w:pPr>
                    <w:pStyle w:val="24"/>
                    <w:pBdr>
                      <w:bottom w:val="none" w:color="auto" w:sz="0" w:space="0"/>
                    </w:pBdr>
                    <w:spacing w:line="240" w:lineRule="auto"/>
                    <w:rPr>
                      <w:rFonts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rPr>
                    <w:t>经</w:t>
                  </w:r>
                  <w:r>
                    <w:rPr>
                      <w:rFonts w:hint="eastAsia"/>
                      <w:color w:val="auto"/>
                      <w:kern w:val="0"/>
                      <w:sz w:val="21"/>
                      <w:szCs w:val="21"/>
                      <w:highlight w:val="none"/>
                      <w:lang w:val="en-US" w:eastAsia="zh-CN"/>
                    </w:rPr>
                    <w:t>设备自带</w:t>
                  </w:r>
                  <w:r>
                    <w:rPr>
                      <w:rFonts w:hint="eastAsia"/>
                      <w:color w:val="auto"/>
                      <w:kern w:val="0"/>
                      <w:sz w:val="21"/>
                      <w:szCs w:val="21"/>
                      <w:highlight w:val="none"/>
                    </w:rPr>
                    <w:t>脉冲布袋除尘处理后经1</w:t>
                  </w:r>
                  <w:r>
                    <w:rPr>
                      <w:color w:val="auto"/>
                      <w:kern w:val="0"/>
                      <w:sz w:val="21"/>
                      <w:szCs w:val="21"/>
                      <w:highlight w:val="none"/>
                    </w:rPr>
                    <w:t>5</w:t>
                  </w:r>
                  <w:r>
                    <w:rPr>
                      <w:rFonts w:hint="eastAsia"/>
                      <w:color w:val="auto"/>
                      <w:kern w:val="0"/>
                      <w:sz w:val="21"/>
                      <w:szCs w:val="21"/>
                      <w:highlight w:val="none"/>
                    </w:rPr>
                    <w:t>m高D</w:t>
                  </w:r>
                  <w:r>
                    <w:rPr>
                      <w:color w:val="auto"/>
                      <w:kern w:val="0"/>
                      <w:sz w:val="21"/>
                      <w:szCs w:val="21"/>
                      <w:highlight w:val="none"/>
                    </w:rPr>
                    <w:t>A001</w:t>
                  </w:r>
                  <w:r>
                    <w:rPr>
                      <w:rFonts w:hint="eastAsia"/>
                      <w:color w:val="auto"/>
                      <w:kern w:val="0"/>
                      <w:sz w:val="21"/>
                      <w:szCs w:val="21"/>
                      <w:highlight w:val="none"/>
                    </w:rPr>
                    <w:t>排气筒高空排放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Merge w:val="continue"/>
                  <w:vAlign w:val="center"/>
                </w:tcPr>
                <w:p>
                  <w:pPr>
                    <w:pStyle w:val="24"/>
                    <w:pBdr>
                      <w:bottom w:val="none" w:color="auto" w:sz="0" w:space="0"/>
                    </w:pBdr>
                    <w:spacing w:line="240" w:lineRule="auto"/>
                    <w:rPr>
                      <w:color w:val="auto"/>
                      <w:kern w:val="0"/>
                      <w:sz w:val="21"/>
                      <w:szCs w:val="21"/>
                      <w:highlight w:val="none"/>
                    </w:rPr>
                  </w:pPr>
                </w:p>
              </w:tc>
              <w:tc>
                <w:tcPr>
                  <w:tcW w:w="1586" w:type="dxa"/>
                  <w:vAlign w:val="center"/>
                </w:tcPr>
                <w:p>
                  <w:pPr>
                    <w:pStyle w:val="24"/>
                    <w:pBdr>
                      <w:bottom w:val="none" w:color="auto" w:sz="0" w:space="0"/>
                    </w:pBdr>
                    <w:spacing w:line="240" w:lineRule="auto"/>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rPr>
                    <w:t>卸料、堆存产生的颗粒物</w:t>
                  </w:r>
                </w:p>
              </w:tc>
              <w:tc>
                <w:tcPr>
                  <w:tcW w:w="4335" w:type="dxa"/>
                  <w:vAlign w:val="center"/>
                </w:tcPr>
                <w:p>
                  <w:pPr>
                    <w:pStyle w:val="24"/>
                    <w:pBdr>
                      <w:bottom w:val="none" w:color="auto" w:sz="0" w:space="0"/>
                    </w:pBdr>
                    <w:spacing w:line="240" w:lineRule="auto"/>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 w:val="21"/>
                      <w:szCs w:val="21"/>
                      <w:highlight w:val="none"/>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Merge w:val="continue"/>
                  <w:vAlign w:val="center"/>
                </w:tcPr>
                <w:p>
                  <w:pPr>
                    <w:pStyle w:val="24"/>
                    <w:pBdr>
                      <w:bottom w:val="none" w:color="auto" w:sz="0" w:space="0"/>
                    </w:pBdr>
                    <w:spacing w:line="240" w:lineRule="auto"/>
                    <w:rPr>
                      <w:color w:val="auto"/>
                      <w:kern w:val="0"/>
                      <w:sz w:val="21"/>
                      <w:szCs w:val="21"/>
                      <w:highlight w:val="none"/>
                    </w:rPr>
                  </w:pPr>
                </w:p>
              </w:tc>
              <w:tc>
                <w:tcPr>
                  <w:tcW w:w="1586" w:type="dxa"/>
                  <w:vAlign w:val="center"/>
                </w:tcPr>
                <w:p>
                  <w:pPr>
                    <w:pStyle w:val="24"/>
                    <w:pBdr>
                      <w:bottom w:val="none" w:color="auto" w:sz="0" w:space="0"/>
                    </w:pBdr>
                    <w:spacing w:line="240" w:lineRule="auto"/>
                    <w:rPr>
                      <w:rFonts w:hint="eastAsia"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lang w:val="en-US" w:eastAsia="zh-CN"/>
                    </w:rPr>
                    <w:t>成品罐呼吸粉尘及研磨产生的</w:t>
                  </w:r>
                  <w:r>
                    <w:rPr>
                      <w:rFonts w:hint="eastAsia"/>
                      <w:color w:val="auto"/>
                      <w:kern w:val="0"/>
                      <w:sz w:val="21"/>
                      <w:szCs w:val="21"/>
                      <w:highlight w:val="none"/>
                    </w:rPr>
                    <w:t>颗粒物</w:t>
                  </w:r>
                </w:p>
              </w:tc>
              <w:tc>
                <w:tcPr>
                  <w:tcW w:w="4335" w:type="dxa"/>
                  <w:vAlign w:val="center"/>
                </w:tcPr>
                <w:p>
                  <w:pPr>
                    <w:pStyle w:val="24"/>
                    <w:pBdr>
                      <w:bottom w:val="none" w:color="auto" w:sz="0" w:space="0"/>
                    </w:pBdr>
                    <w:spacing w:line="240" w:lineRule="auto"/>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lang w:val="en-US" w:eastAsia="zh-CN"/>
                    </w:rPr>
                    <w:t>经</w:t>
                  </w:r>
                  <w:r>
                    <w:rPr>
                      <w:rFonts w:hint="eastAsia"/>
                      <w:color w:val="auto"/>
                      <w:sz w:val="21"/>
                      <w:szCs w:val="21"/>
                      <w:highlight w:val="none"/>
                    </w:rPr>
                    <w:t>设备自带脉冲布袋除尘器</w:t>
                  </w:r>
                  <w:r>
                    <w:rPr>
                      <w:rFonts w:hint="eastAsia"/>
                      <w:color w:val="auto"/>
                      <w:sz w:val="21"/>
                      <w:szCs w:val="21"/>
                      <w:highlight w:val="none"/>
                      <w:lang w:val="en-US" w:eastAsia="zh-CN"/>
                    </w:rPr>
                    <w:t>收集</w:t>
                  </w:r>
                  <w:r>
                    <w:rPr>
                      <w:rFonts w:hint="eastAsia"/>
                      <w:color w:val="auto"/>
                      <w:sz w:val="21"/>
                      <w:szCs w:val="21"/>
                      <w:highlight w:val="none"/>
                    </w:rPr>
                    <w:t>处理后</w:t>
                  </w:r>
                  <w:r>
                    <w:rPr>
                      <w:rFonts w:hint="eastAsia"/>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Merge w:val="continue"/>
                  <w:vAlign w:val="center"/>
                </w:tcPr>
                <w:p>
                  <w:pPr>
                    <w:pStyle w:val="24"/>
                    <w:pBdr>
                      <w:bottom w:val="none" w:color="auto" w:sz="0" w:space="0"/>
                    </w:pBdr>
                    <w:spacing w:line="240" w:lineRule="auto"/>
                    <w:rPr>
                      <w:color w:val="auto"/>
                      <w:kern w:val="0"/>
                      <w:sz w:val="21"/>
                      <w:szCs w:val="21"/>
                      <w:highlight w:val="none"/>
                    </w:rPr>
                  </w:pPr>
                </w:p>
              </w:tc>
              <w:tc>
                <w:tcPr>
                  <w:tcW w:w="1586"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厨房油烟</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油烟净化器处理后排气筒高空排放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废水治理设施</w:t>
                  </w:r>
                </w:p>
              </w:tc>
              <w:tc>
                <w:tcPr>
                  <w:tcW w:w="1586"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生活污水</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经化粪池、隔油隔渣池处理后用于厂区绿化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噪声处理</w:t>
                  </w:r>
                </w:p>
              </w:tc>
              <w:tc>
                <w:tcPr>
                  <w:tcW w:w="1586"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机械噪声</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隔声、墙体阻隔、绿化、降噪等措施降低对周边环境的影响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Merge w:val="restart"/>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固体废物处理</w:t>
                  </w:r>
                </w:p>
              </w:tc>
              <w:tc>
                <w:tcPr>
                  <w:tcW w:w="1586"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生活垃圾</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Merge w:val="continue"/>
                  <w:vAlign w:val="center"/>
                </w:tcPr>
                <w:p>
                  <w:pPr>
                    <w:pStyle w:val="24"/>
                    <w:pBdr>
                      <w:bottom w:val="none" w:color="auto" w:sz="0" w:space="0"/>
                    </w:pBdr>
                    <w:spacing w:line="240" w:lineRule="auto"/>
                    <w:rPr>
                      <w:color w:val="auto"/>
                      <w:kern w:val="0"/>
                      <w:sz w:val="21"/>
                      <w:szCs w:val="21"/>
                      <w:highlight w:val="none"/>
                    </w:rPr>
                  </w:pPr>
                </w:p>
              </w:tc>
              <w:tc>
                <w:tcPr>
                  <w:tcW w:w="1586"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一般工业固体废物</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sz w:val="21"/>
                      <w:szCs w:val="21"/>
                      <w:highlight w:val="none"/>
                    </w:rPr>
                    <w:t>固体废物为废气处理设备粉尘，直接</w:t>
                  </w:r>
                  <w:r>
                    <w:rPr>
                      <w:color w:val="auto"/>
                      <w:sz w:val="21"/>
                      <w:szCs w:val="21"/>
                      <w:highlight w:val="none"/>
                    </w:rPr>
                    <w:t>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3" w:type="dxa"/>
                  <w:vMerge w:val="continue"/>
                  <w:vAlign w:val="center"/>
                </w:tcPr>
                <w:p>
                  <w:pPr>
                    <w:pStyle w:val="24"/>
                    <w:pBdr>
                      <w:bottom w:val="none" w:color="auto" w:sz="0" w:space="0"/>
                    </w:pBdr>
                    <w:spacing w:line="240" w:lineRule="auto"/>
                    <w:rPr>
                      <w:color w:val="auto"/>
                      <w:kern w:val="0"/>
                      <w:sz w:val="21"/>
                      <w:szCs w:val="21"/>
                      <w:highlight w:val="none"/>
                    </w:rPr>
                  </w:pPr>
                </w:p>
              </w:tc>
              <w:tc>
                <w:tcPr>
                  <w:tcW w:w="741" w:type="dxa"/>
                  <w:vMerge w:val="continue"/>
                  <w:vAlign w:val="center"/>
                </w:tcPr>
                <w:p>
                  <w:pPr>
                    <w:pStyle w:val="24"/>
                    <w:pBdr>
                      <w:bottom w:val="none" w:color="auto" w:sz="0" w:space="0"/>
                    </w:pBdr>
                    <w:spacing w:line="240" w:lineRule="auto"/>
                    <w:rPr>
                      <w:color w:val="auto"/>
                      <w:kern w:val="0"/>
                      <w:sz w:val="21"/>
                      <w:szCs w:val="21"/>
                      <w:highlight w:val="none"/>
                    </w:rPr>
                  </w:pPr>
                </w:p>
              </w:tc>
              <w:tc>
                <w:tcPr>
                  <w:tcW w:w="1586"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危险废物</w:t>
                  </w:r>
                </w:p>
              </w:tc>
              <w:tc>
                <w:tcPr>
                  <w:tcW w:w="433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设危废间</w:t>
                  </w:r>
                  <w:r>
                    <w:rPr>
                      <w:rFonts w:hint="eastAsia"/>
                      <w:color w:val="auto"/>
                      <w:sz w:val="21"/>
                      <w:szCs w:val="21"/>
                      <w:highlight w:val="none"/>
                    </w:rPr>
                    <w:t>（10m</w:t>
                  </w:r>
                  <w:r>
                    <w:rPr>
                      <w:rFonts w:hint="eastAsia"/>
                      <w:color w:val="auto"/>
                      <w:sz w:val="21"/>
                      <w:szCs w:val="21"/>
                      <w:highlight w:val="none"/>
                      <w:vertAlign w:val="superscript"/>
                    </w:rPr>
                    <w:t>3</w:t>
                  </w:r>
                  <w:r>
                    <w:rPr>
                      <w:rFonts w:hint="eastAsia"/>
                      <w:color w:val="auto"/>
                      <w:sz w:val="21"/>
                      <w:szCs w:val="21"/>
                      <w:highlight w:val="none"/>
                    </w:rPr>
                    <w:t>）</w:t>
                  </w:r>
                  <w:r>
                    <w:rPr>
                      <w:rFonts w:hint="eastAsia"/>
                      <w:color w:val="auto"/>
                      <w:kern w:val="0"/>
                      <w:sz w:val="21"/>
                      <w:szCs w:val="21"/>
                      <w:highlight w:val="none"/>
                    </w:rPr>
                    <w:t>，危险废物统一收集后交有资质单位处理</w:t>
                  </w:r>
                </w:p>
              </w:tc>
            </w:tr>
          </w:tbl>
          <w:p>
            <w:pPr>
              <w:adjustRightInd w:val="0"/>
              <w:snapToGrid w:val="0"/>
              <w:ind w:firstLine="422" w:firstLineChars="200"/>
              <w:rPr>
                <w:b/>
                <w:color w:val="auto"/>
                <w:kern w:val="0"/>
                <w:szCs w:val="21"/>
                <w:highlight w:val="none"/>
              </w:rPr>
            </w:pPr>
            <w:r>
              <w:rPr>
                <w:rFonts w:hint="eastAsia"/>
                <w:b/>
                <w:color w:val="auto"/>
                <w:kern w:val="0"/>
                <w:szCs w:val="21"/>
                <w:highlight w:val="none"/>
              </w:rPr>
              <w:t>二、产品方案</w:t>
            </w:r>
          </w:p>
          <w:p>
            <w:pPr>
              <w:pStyle w:val="46"/>
              <w:numPr>
                <w:ilvl w:val="8"/>
                <w:numId w:val="3"/>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项目产品产能一览表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925"/>
              <w:gridCol w:w="1495"/>
              <w:gridCol w:w="880"/>
              <w:gridCol w:w="130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8" w:type="dxa"/>
                  <w:vAlign w:val="center"/>
                </w:tcPr>
                <w:p>
                  <w:pPr>
                    <w:pStyle w:val="24"/>
                    <w:pBdr>
                      <w:bottom w:val="none" w:color="auto" w:sz="0" w:space="0"/>
                    </w:pBdr>
                    <w:spacing w:line="240" w:lineRule="auto"/>
                    <w:ind w:left="-105" w:leftChars="-50" w:right="-105" w:rightChars="-50"/>
                    <w:rPr>
                      <w:color w:val="auto"/>
                      <w:kern w:val="0"/>
                      <w:sz w:val="21"/>
                      <w:szCs w:val="21"/>
                      <w:highlight w:val="none"/>
                    </w:rPr>
                  </w:pPr>
                  <w:r>
                    <w:rPr>
                      <w:color w:val="auto"/>
                      <w:kern w:val="0"/>
                      <w:sz w:val="21"/>
                      <w:szCs w:val="21"/>
                      <w:highlight w:val="none"/>
                    </w:rPr>
                    <w:t>序号</w:t>
                  </w:r>
                </w:p>
              </w:tc>
              <w:tc>
                <w:tcPr>
                  <w:tcW w:w="1925" w:type="dxa"/>
                  <w:vAlign w:val="center"/>
                </w:tcPr>
                <w:p>
                  <w:pPr>
                    <w:pStyle w:val="24"/>
                    <w:pBdr>
                      <w:bottom w:val="none" w:color="auto" w:sz="0" w:space="0"/>
                    </w:pBdr>
                    <w:spacing w:line="240" w:lineRule="auto"/>
                    <w:rPr>
                      <w:color w:val="auto"/>
                      <w:kern w:val="0"/>
                      <w:sz w:val="21"/>
                      <w:szCs w:val="21"/>
                      <w:highlight w:val="none"/>
                    </w:rPr>
                  </w:pPr>
                  <w:r>
                    <w:rPr>
                      <w:color w:val="auto"/>
                      <w:kern w:val="0"/>
                      <w:sz w:val="21"/>
                      <w:szCs w:val="21"/>
                      <w:highlight w:val="none"/>
                    </w:rPr>
                    <w:t>产品名称</w:t>
                  </w:r>
                </w:p>
              </w:tc>
              <w:tc>
                <w:tcPr>
                  <w:tcW w:w="1495"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年产量</w:t>
                  </w:r>
                  <w:r>
                    <w:rPr>
                      <w:color w:val="auto"/>
                      <w:kern w:val="0"/>
                      <w:sz w:val="21"/>
                      <w:szCs w:val="21"/>
                      <w:highlight w:val="none"/>
                    </w:rPr>
                    <w:t>（t/a）</w:t>
                  </w:r>
                </w:p>
              </w:tc>
              <w:tc>
                <w:tcPr>
                  <w:tcW w:w="880" w:type="dxa"/>
                  <w:vAlign w:val="center"/>
                </w:tcPr>
                <w:p>
                  <w:pPr>
                    <w:pStyle w:val="24"/>
                    <w:pBdr>
                      <w:bottom w:val="none" w:color="auto" w:sz="0" w:space="0"/>
                    </w:pBdr>
                    <w:spacing w:line="240" w:lineRule="auto"/>
                    <w:rPr>
                      <w:bCs/>
                      <w:color w:val="auto"/>
                      <w:kern w:val="0"/>
                      <w:sz w:val="21"/>
                      <w:szCs w:val="21"/>
                      <w:highlight w:val="none"/>
                    </w:rPr>
                  </w:pPr>
                  <w:r>
                    <w:rPr>
                      <w:rFonts w:hint="eastAsia"/>
                      <w:bCs/>
                      <w:color w:val="auto"/>
                      <w:kern w:val="0"/>
                      <w:sz w:val="21"/>
                      <w:szCs w:val="21"/>
                      <w:highlight w:val="none"/>
                    </w:rPr>
                    <w:t>形态</w:t>
                  </w:r>
                </w:p>
              </w:tc>
              <w:tc>
                <w:tcPr>
                  <w:tcW w:w="1306" w:type="dxa"/>
                  <w:vAlign w:val="center"/>
                </w:tcPr>
                <w:p>
                  <w:pPr>
                    <w:pStyle w:val="24"/>
                    <w:pBdr>
                      <w:bottom w:val="none" w:color="auto" w:sz="0" w:space="0"/>
                    </w:pBdr>
                    <w:spacing w:line="240" w:lineRule="auto"/>
                    <w:rPr>
                      <w:bCs/>
                      <w:color w:val="auto"/>
                      <w:kern w:val="0"/>
                      <w:sz w:val="21"/>
                      <w:szCs w:val="21"/>
                      <w:highlight w:val="none"/>
                    </w:rPr>
                  </w:pPr>
                  <w:r>
                    <w:rPr>
                      <w:bCs/>
                      <w:color w:val="auto"/>
                      <w:kern w:val="0"/>
                      <w:sz w:val="21"/>
                      <w:szCs w:val="21"/>
                      <w:highlight w:val="none"/>
                    </w:rPr>
                    <w:t>包装方式</w:t>
                  </w:r>
                </w:p>
              </w:tc>
              <w:tc>
                <w:tcPr>
                  <w:tcW w:w="1211" w:type="dxa"/>
                  <w:vAlign w:val="center"/>
                </w:tcPr>
                <w:p>
                  <w:pPr>
                    <w:pStyle w:val="24"/>
                    <w:pBdr>
                      <w:bottom w:val="none" w:color="auto" w:sz="0" w:space="0"/>
                    </w:pBdr>
                    <w:spacing w:line="240" w:lineRule="auto"/>
                    <w:rPr>
                      <w:bCs/>
                      <w:color w:val="auto"/>
                      <w:kern w:val="0"/>
                      <w:sz w:val="21"/>
                      <w:szCs w:val="21"/>
                      <w:highlight w:val="none"/>
                    </w:rPr>
                  </w:pPr>
                  <w:r>
                    <w:rPr>
                      <w:bCs/>
                      <w:color w:val="auto"/>
                      <w:kern w:val="0"/>
                      <w:sz w:val="21"/>
                      <w:szCs w:val="21"/>
                      <w:highlight w:val="none"/>
                    </w:rPr>
                    <w:t>运输方式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1</w:t>
                  </w:r>
                </w:p>
              </w:tc>
              <w:tc>
                <w:tcPr>
                  <w:tcW w:w="1925" w:type="dxa"/>
                  <w:vAlign w:val="center"/>
                </w:tcPr>
                <w:p>
                  <w:pPr>
                    <w:pStyle w:val="24"/>
                    <w:pBdr>
                      <w:bottom w:val="none" w:color="auto" w:sz="0" w:space="0"/>
                    </w:pBdr>
                    <w:spacing w:line="240" w:lineRule="auto"/>
                    <w:rPr>
                      <w:color w:val="auto"/>
                      <w:kern w:val="0"/>
                      <w:sz w:val="21"/>
                      <w:szCs w:val="21"/>
                      <w:highlight w:val="none"/>
                    </w:rPr>
                  </w:pPr>
                  <w:r>
                    <w:rPr>
                      <w:bCs/>
                      <w:color w:val="auto"/>
                      <w:kern w:val="0"/>
                      <w:sz w:val="21"/>
                      <w:szCs w:val="21"/>
                      <w:highlight w:val="none"/>
                    </w:rPr>
                    <w:t>氢氧化</w:t>
                  </w:r>
                  <w:r>
                    <w:rPr>
                      <w:rFonts w:hint="eastAsia"/>
                      <w:bCs/>
                      <w:color w:val="auto"/>
                      <w:kern w:val="0"/>
                      <w:sz w:val="21"/>
                      <w:szCs w:val="21"/>
                      <w:highlight w:val="none"/>
                    </w:rPr>
                    <w:t>钙</w:t>
                  </w:r>
                  <w:r>
                    <w:rPr>
                      <w:bCs/>
                      <w:color w:val="auto"/>
                      <w:kern w:val="0"/>
                      <w:sz w:val="21"/>
                      <w:szCs w:val="21"/>
                      <w:highlight w:val="none"/>
                    </w:rPr>
                    <w:t>Ca(OH)</w:t>
                  </w:r>
                  <w:r>
                    <w:rPr>
                      <w:bCs/>
                      <w:color w:val="auto"/>
                      <w:kern w:val="0"/>
                      <w:sz w:val="21"/>
                      <w:szCs w:val="21"/>
                      <w:highlight w:val="none"/>
                      <w:vertAlign w:val="subscript"/>
                    </w:rPr>
                    <w:t>2</w:t>
                  </w:r>
                </w:p>
              </w:tc>
              <w:tc>
                <w:tcPr>
                  <w:tcW w:w="1495" w:type="dxa"/>
                  <w:vAlign w:val="center"/>
                </w:tcPr>
                <w:p>
                  <w:pPr>
                    <w:widowControl w:val="0"/>
                    <w:adjustRightInd w:val="0"/>
                    <w:snapToGrid w:val="0"/>
                    <w:spacing w:line="240" w:lineRule="auto"/>
                    <w:jc w:val="center"/>
                    <w:rPr>
                      <w:color w:val="auto"/>
                      <w:kern w:val="0"/>
                      <w:szCs w:val="21"/>
                      <w:highlight w:val="none"/>
                    </w:rPr>
                  </w:pPr>
                  <w:r>
                    <w:rPr>
                      <w:rFonts w:hint="eastAsia"/>
                      <w:bCs/>
                      <w:color w:val="auto"/>
                      <w:kern w:val="0"/>
                      <w:szCs w:val="21"/>
                      <w:highlight w:val="none"/>
                    </w:rPr>
                    <w:t>100000</w:t>
                  </w:r>
                </w:p>
              </w:tc>
              <w:tc>
                <w:tcPr>
                  <w:tcW w:w="880" w:type="dxa"/>
                  <w:vAlign w:val="center"/>
                </w:tcPr>
                <w:p>
                  <w:pPr>
                    <w:widowControl w:val="0"/>
                    <w:adjustRightInd w:val="0"/>
                    <w:snapToGrid w:val="0"/>
                    <w:spacing w:line="240" w:lineRule="auto"/>
                    <w:jc w:val="center"/>
                    <w:rPr>
                      <w:color w:val="auto"/>
                      <w:kern w:val="0"/>
                      <w:szCs w:val="21"/>
                      <w:highlight w:val="none"/>
                    </w:rPr>
                  </w:pPr>
                  <w:r>
                    <w:rPr>
                      <w:rFonts w:hint="eastAsia"/>
                      <w:color w:val="auto"/>
                      <w:kern w:val="0"/>
                      <w:szCs w:val="21"/>
                      <w:highlight w:val="none"/>
                    </w:rPr>
                    <w:t>粉状</w:t>
                  </w:r>
                </w:p>
              </w:tc>
              <w:tc>
                <w:tcPr>
                  <w:tcW w:w="1306" w:type="dxa"/>
                  <w:vAlign w:val="center"/>
                </w:tcPr>
                <w:p>
                  <w:pPr>
                    <w:widowControl w:val="0"/>
                    <w:adjustRightInd w:val="0"/>
                    <w:snapToGrid w:val="0"/>
                    <w:spacing w:line="240" w:lineRule="auto"/>
                    <w:jc w:val="center"/>
                    <w:rPr>
                      <w:bCs/>
                      <w:color w:val="auto"/>
                      <w:kern w:val="0"/>
                      <w:szCs w:val="21"/>
                      <w:highlight w:val="none"/>
                    </w:rPr>
                  </w:pPr>
                  <w:r>
                    <w:rPr>
                      <w:bCs/>
                      <w:color w:val="auto"/>
                      <w:kern w:val="0"/>
                      <w:szCs w:val="21"/>
                      <w:highlight w:val="none"/>
                    </w:rPr>
                    <w:t>罐装</w:t>
                  </w:r>
                </w:p>
              </w:tc>
              <w:tc>
                <w:tcPr>
                  <w:tcW w:w="1211" w:type="dxa"/>
                  <w:vAlign w:val="center"/>
                </w:tcPr>
                <w:p>
                  <w:pPr>
                    <w:widowControl w:val="0"/>
                    <w:adjustRightInd w:val="0"/>
                    <w:snapToGrid w:val="0"/>
                    <w:spacing w:line="240" w:lineRule="auto"/>
                    <w:jc w:val="center"/>
                    <w:rPr>
                      <w:color w:val="auto"/>
                      <w:kern w:val="0"/>
                      <w:szCs w:val="21"/>
                      <w:highlight w:val="none"/>
                    </w:rPr>
                  </w:pPr>
                  <w:r>
                    <w:rPr>
                      <w:bCs/>
                      <w:color w:val="auto"/>
                      <w:kern w:val="0"/>
                      <w:szCs w:val="21"/>
                      <w:highlight w:val="none"/>
                    </w:rPr>
                    <w:t>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w:t>
                  </w:r>
                </w:p>
              </w:tc>
              <w:tc>
                <w:tcPr>
                  <w:tcW w:w="1925" w:type="dxa"/>
                  <w:vAlign w:val="center"/>
                </w:tcPr>
                <w:p>
                  <w:pPr>
                    <w:pStyle w:val="24"/>
                    <w:pBdr>
                      <w:bottom w:val="none" w:color="auto" w:sz="0" w:space="0"/>
                    </w:pBdr>
                    <w:spacing w:line="240" w:lineRule="auto"/>
                    <w:rPr>
                      <w:color w:val="auto"/>
                      <w:kern w:val="0"/>
                      <w:sz w:val="21"/>
                      <w:szCs w:val="21"/>
                      <w:highlight w:val="none"/>
                    </w:rPr>
                  </w:pPr>
                  <w:r>
                    <w:rPr>
                      <w:bCs/>
                      <w:color w:val="auto"/>
                      <w:kern w:val="0"/>
                      <w:sz w:val="21"/>
                      <w:szCs w:val="21"/>
                      <w:highlight w:val="none"/>
                    </w:rPr>
                    <w:t>氧化钙（CaO）</w:t>
                  </w:r>
                </w:p>
              </w:tc>
              <w:tc>
                <w:tcPr>
                  <w:tcW w:w="1495" w:type="dxa"/>
                  <w:vAlign w:val="center"/>
                </w:tcPr>
                <w:p>
                  <w:pPr>
                    <w:widowControl w:val="0"/>
                    <w:adjustRightInd w:val="0"/>
                    <w:snapToGrid w:val="0"/>
                    <w:spacing w:line="240" w:lineRule="auto"/>
                    <w:jc w:val="center"/>
                    <w:rPr>
                      <w:color w:val="auto"/>
                      <w:kern w:val="0"/>
                      <w:szCs w:val="21"/>
                      <w:highlight w:val="none"/>
                    </w:rPr>
                  </w:pPr>
                  <w:r>
                    <w:rPr>
                      <w:rFonts w:hint="eastAsia"/>
                      <w:bCs/>
                      <w:color w:val="auto"/>
                      <w:kern w:val="0"/>
                      <w:szCs w:val="21"/>
                      <w:highlight w:val="none"/>
                    </w:rPr>
                    <w:t>50000</w:t>
                  </w:r>
                </w:p>
              </w:tc>
              <w:tc>
                <w:tcPr>
                  <w:tcW w:w="880" w:type="dxa"/>
                  <w:vAlign w:val="center"/>
                </w:tcPr>
                <w:p>
                  <w:pPr>
                    <w:widowControl w:val="0"/>
                    <w:adjustRightInd w:val="0"/>
                    <w:snapToGrid w:val="0"/>
                    <w:spacing w:line="240" w:lineRule="auto"/>
                    <w:jc w:val="center"/>
                    <w:rPr>
                      <w:color w:val="auto"/>
                      <w:kern w:val="0"/>
                      <w:szCs w:val="21"/>
                      <w:highlight w:val="none"/>
                    </w:rPr>
                  </w:pPr>
                  <w:r>
                    <w:rPr>
                      <w:rFonts w:hint="eastAsia"/>
                      <w:color w:val="auto"/>
                      <w:kern w:val="0"/>
                      <w:szCs w:val="21"/>
                      <w:highlight w:val="none"/>
                    </w:rPr>
                    <w:t>粉状</w:t>
                  </w:r>
                </w:p>
              </w:tc>
              <w:tc>
                <w:tcPr>
                  <w:tcW w:w="1306" w:type="dxa"/>
                  <w:vAlign w:val="center"/>
                </w:tcPr>
                <w:p>
                  <w:pPr>
                    <w:widowControl w:val="0"/>
                    <w:adjustRightInd w:val="0"/>
                    <w:snapToGrid w:val="0"/>
                    <w:spacing w:line="240" w:lineRule="auto"/>
                    <w:jc w:val="center"/>
                    <w:rPr>
                      <w:bCs/>
                      <w:color w:val="auto"/>
                      <w:kern w:val="0"/>
                      <w:szCs w:val="21"/>
                      <w:highlight w:val="none"/>
                    </w:rPr>
                  </w:pPr>
                  <w:r>
                    <w:rPr>
                      <w:bCs/>
                      <w:color w:val="auto"/>
                      <w:kern w:val="0"/>
                      <w:szCs w:val="21"/>
                      <w:highlight w:val="none"/>
                    </w:rPr>
                    <w:t>罐装</w:t>
                  </w:r>
                </w:p>
              </w:tc>
              <w:tc>
                <w:tcPr>
                  <w:tcW w:w="1211" w:type="dxa"/>
                  <w:vAlign w:val="center"/>
                </w:tcPr>
                <w:p>
                  <w:pPr>
                    <w:widowControl w:val="0"/>
                    <w:adjustRightInd w:val="0"/>
                    <w:snapToGrid w:val="0"/>
                    <w:spacing w:line="240" w:lineRule="auto"/>
                    <w:jc w:val="center"/>
                    <w:rPr>
                      <w:color w:val="auto"/>
                      <w:kern w:val="0"/>
                      <w:szCs w:val="21"/>
                      <w:highlight w:val="none"/>
                    </w:rPr>
                  </w:pPr>
                  <w:r>
                    <w:rPr>
                      <w:bCs/>
                      <w:color w:val="auto"/>
                      <w:kern w:val="0"/>
                      <w:szCs w:val="21"/>
                      <w:highlight w:val="none"/>
                    </w:rPr>
                    <w:t>汽车</w:t>
                  </w:r>
                </w:p>
              </w:tc>
            </w:tr>
          </w:tbl>
          <w:p>
            <w:pPr>
              <w:pStyle w:val="46"/>
              <w:numPr>
                <w:ilvl w:val="8"/>
                <w:numId w:val="3"/>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产品理化性质一览表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39"/>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pStyle w:val="24"/>
                    <w:pBdr>
                      <w:bottom w:val="none" w:color="auto" w:sz="0" w:space="0"/>
                    </w:pBdr>
                    <w:spacing w:line="240" w:lineRule="auto"/>
                    <w:ind w:left="-105" w:leftChars="-50" w:right="-105" w:rightChars="-50"/>
                    <w:rPr>
                      <w:color w:val="auto"/>
                      <w:kern w:val="0"/>
                      <w:sz w:val="21"/>
                      <w:szCs w:val="21"/>
                      <w:highlight w:val="none"/>
                    </w:rPr>
                  </w:pPr>
                  <w:r>
                    <w:rPr>
                      <w:rFonts w:hint="eastAsia"/>
                      <w:color w:val="auto"/>
                      <w:kern w:val="0"/>
                      <w:sz w:val="21"/>
                      <w:szCs w:val="21"/>
                      <w:highlight w:val="none"/>
                    </w:rPr>
                    <w:t>序号</w:t>
                  </w:r>
                </w:p>
              </w:tc>
              <w:tc>
                <w:tcPr>
                  <w:tcW w:w="839"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成分</w:t>
                  </w:r>
                </w:p>
              </w:tc>
              <w:tc>
                <w:tcPr>
                  <w:tcW w:w="5988"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1</w:t>
                  </w:r>
                </w:p>
              </w:tc>
              <w:tc>
                <w:tcPr>
                  <w:tcW w:w="839" w:type="dxa"/>
                  <w:vAlign w:val="center"/>
                </w:tcPr>
                <w:p>
                  <w:pPr>
                    <w:pStyle w:val="24"/>
                    <w:pBdr>
                      <w:bottom w:val="none" w:color="auto" w:sz="0" w:space="0"/>
                    </w:pBdr>
                    <w:spacing w:line="240" w:lineRule="auto"/>
                    <w:rPr>
                      <w:color w:val="auto"/>
                      <w:kern w:val="0"/>
                      <w:sz w:val="21"/>
                      <w:szCs w:val="21"/>
                      <w:highlight w:val="none"/>
                    </w:rPr>
                  </w:pPr>
                  <w:r>
                    <w:rPr>
                      <w:color w:val="auto"/>
                      <w:sz w:val="21"/>
                      <w:szCs w:val="21"/>
                      <w:highlight w:val="none"/>
                    </w:rPr>
                    <w:t>氢氧化钙</w:t>
                  </w:r>
                </w:p>
              </w:tc>
              <w:tc>
                <w:tcPr>
                  <w:tcW w:w="5988" w:type="dxa"/>
                  <w:vAlign w:val="center"/>
                </w:tcPr>
                <w:p>
                  <w:pPr>
                    <w:widowControl w:val="0"/>
                    <w:adjustRightInd w:val="0"/>
                    <w:snapToGrid w:val="0"/>
                    <w:spacing w:line="240" w:lineRule="auto"/>
                    <w:jc w:val="center"/>
                    <w:rPr>
                      <w:color w:val="auto"/>
                      <w:kern w:val="0"/>
                      <w:szCs w:val="21"/>
                      <w:highlight w:val="none"/>
                    </w:rPr>
                  </w:pPr>
                  <w:r>
                    <w:rPr>
                      <w:color w:val="auto"/>
                      <w:szCs w:val="21"/>
                      <w:highlight w:val="none"/>
                      <w:shd w:val="clear" w:color="auto" w:fill="FFFFFF"/>
                    </w:rPr>
                    <w:t>氢氧化钙是一种白色粉末状固体。化学式 Ca(OH)</w:t>
                  </w:r>
                  <w:r>
                    <w:rPr>
                      <w:color w:val="auto"/>
                      <w:szCs w:val="21"/>
                      <w:highlight w:val="none"/>
                      <w:shd w:val="clear" w:color="auto" w:fill="FFFFFF"/>
                      <w:vertAlign w:val="subscript"/>
                    </w:rPr>
                    <w:t>2</w:t>
                  </w:r>
                  <w:r>
                    <w:rPr>
                      <w:color w:val="auto"/>
                      <w:szCs w:val="21"/>
                      <w:highlight w:val="none"/>
                      <w:shd w:val="clear" w:color="auto" w:fill="FFFFFF"/>
                    </w:rPr>
                    <w:t>，俗称熟石灰、消石灰，水溶液称作澄清石灰水。分子量74.09，熔点580°C，沸点2850°C，密度2.24，通常含有微量水分。溶于酸甘油、蔗糖、氯化铵溶液，微溶于水，不溶于乙醇。氢氧化钙具有碱的通性，是一种强碱。氢氧化钙是二元强碱，但仅能微溶于水，放出大量的热，氢氧化钙在工业中有广泛的应用，用于制漂白粉，硬水软化剂，改良土壤酸性，自来水消毒澄清剂及建筑工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dxa"/>
                  <w:vAlign w:val="center"/>
                </w:tcPr>
                <w:p>
                  <w:pPr>
                    <w:pStyle w:val="24"/>
                    <w:pBdr>
                      <w:bottom w:val="none" w:color="auto" w:sz="0" w:space="0"/>
                    </w:pBdr>
                    <w:spacing w:line="240" w:lineRule="auto"/>
                    <w:rPr>
                      <w:color w:val="auto"/>
                      <w:kern w:val="0"/>
                      <w:sz w:val="21"/>
                      <w:szCs w:val="21"/>
                      <w:highlight w:val="none"/>
                    </w:rPr>
                  </w:pPr>
                  <w:r>
                    <w:rPr>
                      <w:rFonts w:hint="eastAsia"/>
                      <w:color w:val="auto"/>
                      <w:kern w:val="0"/>
                      <w:sz w:val="21"/>
                      <w:szCs w:val="21"/>
                      <w:highlight w:val="none"/>
                    </w:rPr>
                    <w:t>2</w:t>
                  </w:r>
                </w:p>
              </w:tc>
              <w:tc>
                <w:tcPr>
                  <w:tcW w:w="839" w:type="dxa"/>
                  <w:vAlign w:val="center"/>
                </w:tcPr>
                <w:p>
                  <w:pPr>
                    <w:pStyle w:val="24"/>
                    <w:pBdr>
                      <w:bottom w:val="none" w:color="auto" w:sz="0" w:space="0"/>
                    </w:pBdr>
                    <w:spacing w:line="240" w:lineRule="auto"/>
                    <w:rPr>
                      <w:color w:val="auto"/>
                      <w:kern w:val="0"/>
                      <w:sz w:val="21"/>
                      <w:szCs w:val="21"/>
                      <w:highlight w:val="none"/>
                    </w:rPr>
                  </w:pPr>
                  <w:r>
                    <w:rPr>
                      <w:bCs/>
                      <w:color w:val="auto"/>
                      <w:kern w:val="0"/>
                      <w:sz w:val="21"/>
                      <w:szCs w:val="21"/>
                      <w:highlight w:val="none"/>
                    </w:rPr>
                    <w:t>氧化钙</w:t>
                  </w:r>
                </w:p>
              </w:tc>
              <w:tc>
                <w:tcPr>
                  <w:tcW w:w="5988" w:type="dxa"/>
                  <w:vAlign w:val="center"/>
                </w:tcPr>
                <w:p>
                  <w:pPr>
                    <w:widowControl w:val="0"/>
                    <w:adjustRightInd w:val="0"/>
                    <w:snapToGrid w:val="0"/>
                    <w:spacing w:line="240" w:lineRule="auto"/>
                    <w:jc w:val="center"/>
                    <w:rPr>
                      <w:color w:val="auto"/>
                      <w:kern w:val="0"/>
                      <w:szCs w:val="21"/>
                      <w:highlight w:val="none"/>
                    </w:rPr>
                  </w:pPr>
                  <w:r>
                    <w:rPr>
                      <w:rFonts w:hint="eastAsia"/>
                      <w:color w:val="auto"/>
                      <w:szCs w:val="21"/>
                      <w:highlight w:val="none"/>
                      <w:shd w:val="clear" w:color="auto" w:fill="FFFFFF"/>
                    </w:rPr>
                    <w:t xml:space="preserve"> </w:t>
                  </w:r>
                  <w:r>
                    <w:rPr>
                      <w:color w:val="auto"/>
                      <w:szCs w:val="21"/>
                      <w:highlight w:val="none"/>
                      <w:shd w:val="clear" w:color="auto" w:fill="FFFFFF"/>
                    </w:rPr>
                    <w:t>氧化钙是一种无机化合物，它的化学式是CaO</w:t>
                  </w:r>
                  <w:r>
                    <w:rPr>
                      <w:rFonts w:hint="eastAsia"/>
                      <w:color w:val="auto"/>
                      <w:szCs w:val="21"/>
                      <w:highlight w:val="none"/>
                      <w:shd w:val="clear" w:color="auto" w:fill="FFFFFF"/>
                    </w:rPr>
                    <w:t>，</w:t>
                  </w:r>
                  <w:r>
                    <w:rPr>
                      <w:color w:val="auto"/>
                      <w:szCs w:val="21"/>
                      <w:highlight w:val="none"/>
                      <w:shd w:val="clear" w:color="auto" w:fill="FFFFFF"/>
                    </w:rPr>
                    <w:t>俗称</w:t>
                  </w:r>
                  <w:r>
                    <w:rPr>
                      <w:rFonts w:hint="eastAsia"/>
                      <w:color w:val="auto"/>
                      <w:szCs w:val="21"/>
                      <w:highlight w:val="none"/>
                      <w:shd w:val="clear" w:color="auto" w:fill="FFFFFF"/>
                    </w:rPr>
                    <w:t>生</w:t>
                  </w:r>
                  <w:r>
                    <w:rPr>
                      <w:color w:val="auto"/>
                      <w:szCs w:val="21"/>
                      <w:highlight w:val="none"/>
                      <w:shd w:val="clear" w:color="auto" w:fill="FFFFFF"/>
                    </w:rPr>
                    <w:t xml:space="preserve">石灰。分子量56.08，熔点 2570°C，沸点2850°C，密度3.3，溶于酸、甘油、糖溶液，微溶于水，不溶于乙醇。物理性质是表面白色粉末，不纯者为灰白色，含有杂质时呈淡黄色或灰色，具有吸湿性。白色或带灰色块状或颗粒。对湿敏感。易从空气中吸收 二氧化碳及水分。溶于水成氢氧化钙并产生大量热，溶于酸类、甘油和蔗糖 溶液，几乎不溶于乙醇。相对密度 3.32~3.35。熔点 2572℃。沸点 2850℃。折光率 1.838。有腐蚀性。 </w:t>
                  </w:r>
                </w:p>
              </w:tc>
            </w:tr>
          </w:tbl>
          <w:p>
            <w:pPr>
              <w:numPr>
                <w:ilvl w:val="0"/>
                <w:numId w:val="4"/>
              </w:numPr>
              <w:adjustRightInd w:val="0"/>
              <w:snapToGrid w:val="0"/>
              <w:ind w:firstLine="422" w:firstLineChars="200"/>
              <w:rPr>
                <w:rFonts w:hint="eastAsia"/>
                <w:b/>
                <w:color w:val="auto"/>
                <w:kern w:val="0"/>
                <w:szCs w:val="21"/>
                <w:highlight w:val="none"/>
              </w:rPr>
            </w:pPr>
            <w:r>
              <w:rPr>
                <w:rFonts w:hint="eastAsia"/>
                <w:b/>
                <w:color w:val="auto"/>
                <w:kern w:val="0"/>
                <w:szCs w:val="21"/>
                <w:highlight w:val="none"/>
              </w:rPr>
              <w:t>主要原辅料</w:t>
            </w:r>
          </w:p>
          <w:p>
            <w:pPr>
              <w:pStyle w:val="46"/>
              <w:numPr>
                <w:ilvl w:val="8"/>
                <w:numId w:val="3"/>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项目原辅材料情况一览表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451"/>
              <w:gridCol w:w="1109"/>
              <w:gridCol w:w="1479"/>
              <w:gridCol w:w="965"/>
              <w:gridCol w:w="893"/>
              <w:gridCol w:w="117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Align w:val="center"/>
                </w:tcPr>
                <w:p>
                  <w:pPr>
                    <w:pStyle w:val="24"/>
                    <w:pBdr>
                      <w:bottom w:val="none" w:color="auto" w:sz="0" w:space="0"/>
                    </w:pBdr>
                    <w:snapToGrid/>
                    <w:spacing w:line="240" w:lineRule="auto"/>
                    <w:ind w:left="-105" w:leftChars="-50" w:right="-105" w:rightChars="-50"/>
                    <w:rPr>
                      <w:color w:val="auto"/>
                      <w:kern w:val="0"/>
                      <w:sz w:val="21"/>
                      <w:szCs w:val="21"/>
                      <w:highlight w:val="none"/>
                    </w:rPr>
                  </w:pPr>
                  <w:r>
                    <w:rPr>
                      <w:rFonts w:hint="eastAsia"/>
                      <w:color w:val="auto"/>
                      <w:kern w:val="0"/>
                      <w:sz w:val="21"/>
                      <w:szCs w:val="21"/>
                      <w:highlight w:val="none"/>
                    </w:rPr>
                    <w:t>序号</w:t>
                  </w:r>
                </w:p>
              </w:tc>
              <w:tc>
                <w:tcPr>
                  <w:tcW w:w="1560" w:type="dxa"/>
                  <w:gridSpan w:val="2"/>
                  <w:vAlign w:val="center"/>
                </w:tcPr>
                <w:p>
                  <w:pPr>
                    <w:pStyle w:val="24"/>
                    <w:pBdr>
                      <w:bottom w:val="none" w:color="auto" w:sz="0" w:space="0"/>
                    </w:pBdr>
                    <w:snapToGrid/>
                    <w:spacing w:line="240" w:lineRule="auto"/>
                    <w:ind w:left="-105" w:leftChars="-50" w:right="-105" w:rightChars="-50"/>
                    <w:rPr>
                      <w:color w:val="auto"/>
                      <w:kern w:val="0"/>
                      <w:sz w:val="21"/>
                      <w:szCs w:val="21"/>
                      <w:highlight w:val="none"/>
                    </w:rPr>
                  </w:pPr>
                  <w:r>
                    <w:rPr>
                      <w:rFonts w:hint="eastAsia"/>
                      <w:color w:val="auto"/>
                      <w:kern w:val="0"/>
                      <w:sz w:val="21"/>
                      <w:szCs w:val="21"/>
                      <w:highlight w:val="none"/>
                    </w:rPr>
                    <w:t>名称</w:t>
                  </w:r>
                </w:p>
              </w:tc>
              <w:tc>
                <w:tcPr>
                  <w:tcW w:w="1479" w:type="dxa"/>
                  <w:vAlign w:val="center"/>
                </w:tcPr>
                <w:p>
                  <w:pPr>
                    <w:pStyle w:val="24"/>
                    <w:pBdr>
                      <w:bottom w:val="none" w:color="auto" w:sz="0" w:space="0"/>
                    </w:pBdr>
                    <w:snapToGrid/>
                    <w:spacing w:line="240" w:lineRule="auto"/>
                    <w:ind w:left="-105" w:leftChars="-50" w:right="-105" w:rightChars="-50"/>
                    <w:rPr>
                      <w:color w:val="auto"/>
                      <w:kern w:val="0"/>
                      <w:sz w:val="21"/>
                      <w:szCs w:val="21"/>
                      <w:highlight w:val="none"/>
                    </w:rPr>
                  </w:pPr>
                  <w:r>
                    <w:rPr>
                      <w:rFonts w:hint="eastAsia"/>
                      <w:color w:val="auto"/>
                      <w:kern w:val="0"/>
                      <w:sz w:val="21"/>
                      <w:szCs w:val="21"/>
                      <w:highlight w:val="none"/>
                    </w:rPr>
                    <w:t>性状</w:t>
                  </w:r>
                </w:p>
              </w:tc>
              <w:tc>
                <w:tcPr>
                  <w:tcW w:w="965" w:type="dxa"/>
                  <w:vAlign w:val="center"/>
                </w:tcPr>
                <w:p>
                  <w:pPr>
                    <w:pStyle w:val="24"/>
                    <w:pBdr>
                      <w:bottom w:val="none" w:color="auto" w:sz="0" w:space="0"/>
                    </w:pBdr>
                    <w:snapToGrid/>
                    <w:spacing w:line="240" w:lineRule="auto"/>
                    <w:ind w:left="-105" w:leftChars="-50" w:right="-105" w:rightChars="-50"/>
                    <w:rPr>
                      <w:rFonts w:hint="eastAsia"/>
                      <w:color w:val="auto"/>
                      <w:kern w:val="0"/>
                      <w:sz w:val="21"/>
                      <w:szCs w:val="21"/>
                      <w:highlight w:val="none"/>
                    </w:rPr>
                  </w:pPr>
                  <w:r>
                    <w:rPr>
                      <w:rFonts w:hint="eastAsia"/>
                      <w:color w:val="auto"/>
                      <w:kern w:val="0"/>
                      <w:sz w:val="21"/>
                      <w:szCs w:val="21"/>
                      <w:highlight w:val="none"/>
                    </w:rPr>
                    <w:t>年用量</w:t>
                  </w:r>
                </w:p>
                <w:p>
                  <w:pPr>
                    <w:pStyle w:val="24"/>
                    <w:pBdr>
                      <w:bottom w:val="none" w:color="auto" w:sz="0" w:space="0"/>
                    </w:pBdr>
                    <w:snapToGrid/>
                    <w:spacing w:line="240" w:lineRule="auto"/>
                    <w:ind w:left="-105" w:leftChars="-50" w:right="-105" w:rightChars="-50"/>
                    <w:rPr>
                      <w:color w:val="auto"/>
                      <w:kern w:val="0"/>
                      <w:sz w:val="21"/>
                      <w:szCs w:val="21"/>
                      <w:highlight w:val="none"/>
                    </w:rPr>
                  </w:pPr>
                  <w:r>
                    <w:rPr>
                      <w:rFonts w:hint="eastAsia"/>
                      <w:color w:val="auto"/>
                      <w:kern w:val="0"/>
                      <w:sz w:val="21"/>
                      <w:szCs w:val="21"/>
                      <w:highlight w:val="none"/>
                    </w:rPr>
                    <w:t>t/a</w:t>
                  </w:r>
                </w:p>
              </w:tc>
              <w:tc>
                <w:tcPr>
                  <w:tcW w:w="893" w:type="dxa"/>
                  <w:vAlign w:val="center"/>
                </w:tcPr>
                <w:p>
                  <w:pPr>
                    <w:pStyle w:val="24"/>
                    <w:pBdr>
                      <w:bottom w:val="none" w:color="auto" w:sz="0" w:space="0"/>
                    </w:pBdr>
                    <w:snapToGrid/>
                    <w:spacing w:line="240" w:lineRule="auto"/>
                    <w:ind w:left="-105" w:leftChars="-50" w:right="-105" w:rightChars="-50"/>
                    <w:rPr>
                      <w:color w:val="auto"/>
                      <w:kern w:val="0"/>
                      <w:sz w:val="21"/>
                      <w:szCs w:val="21"/>
                      <w:highlight w:val="none"/>
                    </w:rPr>
                  </w:pPr>
                  <w:r>
                    <w:rPr>
                      <w:rFonts w:hint="eastAsia"/>
                      <w:color w:val="auto"/>
                      <w:kern w:val="0"/>
                      <w:sz w:val="21"/>
                      <w:szCs w:val="21"/>
                      <w:highlight w:val="none"/>
                    </w:rPr>
                    <w:t>最大存储量t</w:t>
                  </w:r>
                </w:p>
              </w:tc>
              <w:tc>
                <w:tcPr>
                  <w:tcW w:w="1178" w:type="dxa"/>
                  <w:vAlign w:val="center"/>
                </w:tcPr>
                <w:p>
                  <w:pPr>
                    <w:pStyle w:val="24"/>
                    <w:pBdr>
                      <w:bottom w:val="none" w:color="auto" w:sz="0" w:space="0"/>
                    </w:pBdr>
                    <w:snapToGrid/>
                    <w:spacing w:line="240" w:lineRule="auto"/>
                    <w:ind w:left="-105" w:leftChars="-50" w:right="-105" w:rightChars="-50"/>
                    <w:rPr>
                      <w:color w:val="auto"/>
                      <w:kern w:val="0"/>
                      <w:sz w:val="21"/>
                      <w:szCs w:val="21"/>
                      <w:highlight w:val="none"/>
                    </w:rPr>
                  </w:pPr>
                  <w:r>
                    <w:rPr>
                      <w:rFonts w:hint="eastAsia"/>
                      <w:color w:val="auto"/>
                      <w:kern w:val="0"/>
                      <w:sz w:val="21"/>
                      <w:szCs w:val="21"/>
                      <w:highlight w:val="none"/>
                    </w:rPr>
                    <w:t>贮存方式</w:t>
                  </w:r>
                </w:p>
              </w:tc>
              <w:tc>
                <w:tcPr>
                  <w:tcW w:w="798" w:type="dxa"/>
                  <w:vAlign w:val="center"/>
                </w:tcPr>
                <w:p>
                  <w:pPr>
                    <w:pStyle w:val="24"/>
                    <w:pBdr>
                      <w:bottom w:val="none" w:color="auto" w:sz="0" w:space="0"/>
                    </w:pBdr>
                    <w:snapToGrid/>
                    <w:spacing w:line="240" w:lineRule="auto"/>
                    <w:ind w:left="-105" w:leftChars="-50" w:right="-105" w:rightChars="-50"/>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restart"/>
                  <w:vAlign w:val="center"/>
                </w:tcPr>
                <w:p>
                  <w:pPr>
                    <w:pStyle w:val="24"/>
                    <w:pBdr>
                      <w:bottom w:val="none" w:color="auto" w:sz="0" w:space="0"/>
                    </w:pBdr>
                    <w:snapToGrid/>
                    <w:spacing w:line="240" w:lineRule="auto"/>
                    <w:rPr>
                      <w:color w:val="auto"/>
                      <w:kern w:val="0"/>
                      <w:sz w:val="21"/>
                      <w:szCs w:val="21"/>
                      <w:highlight w:val="none"/>
                    </w:rPr>
                  </w:pPr>
                  <w:r>
                    <w:rPr>
                      <w:rFonts w:hint="eastAsia"/>
                      <w:color w:val="auto"/>
                      <w:kern w:val="0"/>
                      <w:sz w:val="21"/>
                      <w:szCs w:val="21"/>
                      <w:highlight w:val="none"/>
                    </w:rPr>
                    <w:t>1</w:t>
                  </w:r>
                </w:p>
              </w:tc>
              <w:tc>
                <w:tcPr>
                  <w:tcW w:w="1560" w:type="dxa"/>
                  <w:gridSpan w:val="2"/>
                  <w:vAlign w:val="center"/>
                </w:tcPr>
                <w:p>
                  <w:pPr>
                    <w:pStyle w:val="24"/>
                    <w:pBdr>
                      <w:bottom w:val="none" w:color="auto" w:sz="0" w:space="0"/>
                    </w:pBdr>
                    <w:snapToGrid/>
                    <w:spacing w:line="240" w:lineRule="auto"/>
                    <w:rPr>
                      <w:color w:val="auto"/>
                      <w:kern w:val="0"/>
                      <w:sz w:val="21"/>
                      <w:szCs w:val="21"/>
                      <w:highlight w:val="none"/>
                    </w:rPr>
                  </w:pPr>
                  <w:r>
                    <w:rPr>
                      <w:color w:val="auto"/>
                      <w:sz w:val="21"/>
                      <w:szCs w:val="21"/>
                      <w:highlight w:val="none"/>
                      <w:lang w:bidi="zh-CN"/>
                    </w:rPr>
                    <w:t>生石灰（CaO）</w:t>
                  </w:r>
                </w:p>
              </w:tc>
              <w:tc>
                <w:tcPr>
                  <w:tcW w:w="1479" w:type="dxa"/>
                  <w:vMerge w:val="restart"/>
                  <w:vAlign w:val="center"/>
                </w:tcPr>
                <w:p>
                  <w:pPr>
                    <w:pStyle w:val="24"/>
                    <w:pBdr>
                      <w:bottom w:val="none" w:color="auto" w:sz="0" w:space="0"/>
                    </w:pBdr>
                    <w:snapToGrid/>
                    <w:spacing w:line="240" w:lineRule="auto"/>
                    <w:rPr>
                      <w:color w:val="auto"/>
                      <w:kern w:val="0"/>
                      <w:sz w:val="21"/>
                      <w:szCs w:val="21"/>
                      <w:highlight w:val="none"/>
                    </w:rPr>
                  </w:pPr>
                  <w:r>
                    <w:rPr>
                      <w:color w:val="auto"/>
                      <w:sz w:val="21"/>
                      <w:szCs w:val="21"/>
                      <w:highlight w:val="none"/>
                      <w:lang w:bidi="zh-CN"/>
                    </w:rPr>
                    <w:t>白色或带灰色块状或颗粒</w:t>
                  </w:r>
                </w:p>
              </w:tc>
              <w:tc>
                <w:tcPr>
                  <w:tcW w:w="965" w:type="dxa"/>
                  <w:vAlign w:val="center"/>
                </w:tcPr>
                <w:p>
                  <w:pPr>
                    <w:pStyle w:val="24"/>
                    <w:pBdr>
                      <w:bottom w:val="none" w:color="auto" w:sz="0" w:space="0"/>
                    </w:pBdr>
                    <w:snapToGrid/>
                    <w:spacing w:line="240" w:lineRule="auto"/>
                    <w:rPr>
                      <w:color w:val="auto"/>
                      <w:kern w:val="0"/>
                      <w:sz w:val="21"/>
                      <w:szCs w:val="21"/>
                      <w:highlight w:val="none"/>
                    </w:rPr>
                  </w:pPr>
                  <w:r>
                    <w:rPr>
                      <w:rFonts w:hint="eastAsia"/>
                      <w:color w:val="auto"/>
                      <w:kern w:val="0"/>
                      <w:sz w:val="21"/>
                      <w:szCs w:val="21"/>
                      <w:highlight w:val="none"/>
                    </w:rPr>
                    <w:t>1</w:t>
                  </w:r>
                  <w:r>
                    <w:rPr>
                      <w:rFonts w:hint="eastAsia"/>
                      <w:color w:val="auto"/>
                      <w:kern w:val="0"/>
                      <w:sz w:val="21"/>
                      <w:szCs w:val="21"/>
                      <w:highlight w:val="none"/>
                      <w:lang w:val="en-US" w:eastAsia="zh-CN"/>
                    </w:rPr>
                    <w:t>3</w:t>
                  </w:r>
                  <w:r>
                    <w:rPr>
                      <w:rFonts w:hint="eastAsia"/>
                      <w:color w:val="auto"/>
                      <w:kern w:val="0"/>
                      <w:sz w:val="21"/>
                      <w:szCs w:val="21"/>
                      <w:highlight w:val="none"/>
                    </w:rPr>
                    <w:t>0000</w:t>
                  </w:r>
                </w:p>
              </w:tc>
              <w:tc>
                <w:tcPr>
                  <w:tcW w:w="893" w:type="dxa"/>
                  <w:vMerge w:val="restart"/>
                  <w:vAlign w:val="center"/>
                </w:tcPr>
                <w:p>
                  <w:pPr>
                    <w:pStyle w:val="24"/>
                    <w:pBdr>
                      <w:bottom w:val="none" w:color="auto" w:sz="0" w:space="0"/>
                    </w:pBdr>
                    <w:snapToGrid/>
                    <w:spacing w:line="240" w:lineRule="auto"/>
                    <w:rPr>
                      <w:color w:val="auto"/>
                      <w:kern w:val="0"/>
                      <w:sz w:val="21"/>
                      <w:szCs w:val="21"/>
                      <w:highlight w:val="none"/>
                    </w:rPr>
                  </w:pPr>
                  <w:r>
                    <w:rPr>
                      <w:rFonts w:hint="eastAsia"/>
                      <w:color w:val="auto"/>
                      <w:kern w:val="0"/>
                      <w:sz w:val="21"/>
                      <w:szCs w:val="21"/>
                      <w:highlight w:val="none"/>
                    </w:rPr>
                    <w:t>3000</w:t>
                  </w:r>
                </w:p>
              </w:tc>
              <w:tc>
                <w:tcPr>
                  <w:tcW w:w="1178" w:type="dxa"/>
                  <w:vMerge w:val="restart"/>
                  <w:vAlign w:val="center"/>
                </w:tcPr>
                <w:p>
                  <w:pPr>
                    <w:pStyle w:val="24"/>
                    <w:pBdr>
                      <w:bottom w:val="none" w:color="auto" w:sz="0" w:space="0"/>
                    </w:pBdr>
                    <w:snapToGrid/>
                    <w:spacing w:line="240" w:lineRule="auto"/>
                    <w:rPr>
                      <w:color w:val="auto"/>
                      <w:kern w:val="0"/>
                      <w:sz w:val="21"/>
                      <w:szCs w:val="21"/>
                      <w:highlight w:val="none"/>
                    </w:rPr>
                  </w:pPr>
                  <w:r>
                    <w:rPr>
                      <w:rFonts w:hint="eastAsia"/>
                      <w:color w:val="auto"/>
                      <w:kern w:val="0"/>
                      <w:sz w:val="21"/>
                      <w:szCs w:val="21"/>
                      <w:highlight w:val="none"/>
                    </w:rPr>
                    <w:t>散装，原料堆料仓</w:t>
                  </w:r>
                </w:p>
              </w:tc>
              <w:tc>
                <w:tcPr>
                  <w:tcW w:w="798" w:type="dxa"/>
                  <w:vMerge w:val="restart"/>
                  <w:vAlign w:val="center"/>
                </w:tcPr>
                <w:p>
                  <w:pPr>
                    <w:pStyle w:val="24"/>
                    <w:pBdr>
                      <w:bottom w:val="none" w:color="auto" w:sz="0" w:space="0"/>
                    </w:pBdr>
                    <w:snapToGrid/>
                    <w:spacing w:line="240" w:lineRule="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c>
                <w:tcPr>
                  <w:tcW w:w="451" w:type="dxa"/>
                  <w:vMerge w:val="restart"/>
                  <w:vAlign w:val="center"/>
                </w:tcPr>
                <w:p>
                  <w:pPr>
                    <w:pStyle w:val="24"/>
                    <w:pBdr>
                      <w:bottom w:val="none" w:color="auto" w:sz="0" w:space="0"/>
                    </w:pBdr>
                    <w:snapToGrid/>
                    <w:spacing w:line="240" w:lineRule="auto"/>
                    <w:rPr>
                      <w:rFonts w:hint="default"/>
                      <w:color w:val="auto"/>
                      <w:sz w:val="21"/>
                      <w:szCs w:val="21"/>
                      <w:highlight w:val="none"/>
                      <w:lang w:val="en-US" w:bidi="zh-CN"/>
                    </w:rPr>
                  </w:pPr>
                  <w:r>
                    <w:rPr>
                      <w:rFonts w:hint="eastAsia"/>
                      <w:color w:val="auto"/>
                      <w:sz w:val="21"/>
                      <w:szCs w:val="21"/>
                      <w:highlight w:val="none"/>
                      <w:lang w:val="en-US" w:bidi="zh-CN"/>
                    </w:rPr>
                    <w:t>其中</w:t>
                  </w:r>
                </w:p>
              </w:tc>
              <w:tc>
                <w:tcPr>
                  <w:tcW w:w="1109" w:type="dxa"/>
                  <w:vAlign w:val="center"/>
                </w:tcPr>
                <w:p>
                  <w:pPr>
                    <w:pStyle w:val="24"/>
                    <w:pBdr>
                      <w:bottom w:val="none" w:color="auto" w:sz="0" w:space="0"/>
                    </w:pBdr>
                    <w:snapToGrid/>
                    <w:spacing w:line="240" w:lineRule="auto"/>
                    <w:rPr>
                      <w:rFonts w:hint="default"/>
                      <w:color w:val="auto"/>
                      <w:sz w:val="21"/>
                      <w:szCs w:val="21"/>
                      <w:highlight w:val="none"/>
                      <w:lang w:val="en-US" w:bidi="zh-CN"/>
                    </w:rPr>
                  </w:pPr>
                  <w:r>
                    <w:rPr>
                      <w:rFonts w:hint="eastAsia"/>
                      <w:color w:val="auto"/>
                      <w:sz w:val="21"/>
                      <w:szCs w:val="21"/>
                      <w:highlight w:val="none"/>
                      <w:lang w:val="en-US" w:bidi="zh-CN"/>
                    </w:rPr>
                    <w:t>氢氧化钙</w:t>
                  </w:r>
                </w:p>
              </w:tc>
              <w:tc>
                <w:tcPr>
                  <w:tcW w:w="1479" w:type="dxa"/>
                  <w:vMerge w:val="continue"/>
                  <w:vAlign w:val="center"/>
                </w:tcPr>
                <w:p>
                  <w:pPr>
                    <w:pStyle w:val="24"/>
                    <w:pBdr>
                      <w:bottom w:val="none" w:color="auto" w:sz="0" w:space="0"/>
                    </w:pBdr>
                    <w:snapToGrid/>
                    <w:spacing w:line="240" w:lineRule="auto"/>
                    <w:rPr>
                      <w:color w:val="auto"/>
                      <w:sz w:val="21"/>
                      <w:szCs w:val="21"/>
                      <w:highlight w:val="none"/>
                      <w:lang w:bidi="zh-CN"/>
                    </w:rPr>
                  </w:pPr>
                </w:p>
              </w:tc>
              <w:tc>
                <w:tcPr>
                  <w:tcW w:w="965" w:type="dxa"/>
                  <w:vAlign w:val="center"/>
                </w:tcPr>
                <w:p>
                  <w:pPr>
                    <w:pStyle w:val="24"/>
                    <w:pBdr>
                      <w:bottom w:val="none" w:color="auto" w:sz="0" w:space="0"/>
                    </w:pBdr>
                    <w:snapToGrid/>
                    <w:spacing w:line="240" w:lineRule="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80000</w:t>
                  </w:r>
                </w:p>
              </w:tc>
              <w:tc>
                <w:tcPr>
                  <w:tcW w:w="893"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c>
                <w:tcPr>
                  <w:tcW w:w="1178"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c>
                <w:tcPr>
                  <w:tcW w:w="798"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c>
                <w:tcPr>
                  <w:tcW w:w="451" w:type="dxa"/>
                  <w:vMerge w:val="continue"/>
                  <w:vAlign w:val="center"/>
                </w:tcPr>
                <w:p>
                  <w:pPr>
                    <w:pStyle w:val="24"/>
                    <w:pBdr>
                      <w:bottom w:val="none" w:color="auto" w:sz="0" w:space="0"/>
                    </w:pBdr>
                    <w:snapToGrid/>
                    <w:spacing w:line="240" w:lineRule="auto"/>
                    <w:rPr>
                      <w:color w:val="auto"/>
                      <w:sz w:val="21"/>
                      <w:szCs w:val="21"/>
                      <w:highlight w:val="none"/>
                      <w:lang w:bidi="zh-CN"/>
                    </w:rPr>
                  </w:pPr>
                </w:p>
              </w:tc>
              <w:tc>
                <w:tcPr>
                  <w:tcW w:w="1109" w:type="dxa"/>
                  <w:vAlign w:val="center"/>
                </w:tcPr>
                <w:p>
                  <w:pPr>
                    <w:pStyle w:val="24"/>
                    <w:pBdr>
                      <w:bottom w:val="none" w:color="auto" w:sz="0" w:space="0"/>
                    </w:pBdr>
                    <w:snapToGrid/>
                    <w:spacing w:line="240" w:lineRule="auto"/>
                    <w:rPr>
                      <w:rFonts w:hint="default"/>
                      <w:color w:val="auto"/>
                      <w:sz w:val="21"/>
                      <w:szCs w:val="21"/>
                      <w:highlight w:val="none"/>
                      <w:lang w:val="en-US" w:bidi="zh-CN"/>
                    </w:rPr>
                  </w:pPr>
                  <w:r>
                    <w:rPr>
                      <w:rFonts w:hint="eastAsia"/>
                      <w:color w:val="auto"/>
                      <w:sz w:val="21"/>
                      <w:szCs w:val="21"/>
                      <w:highlight w:val="none"/>
                      <w:lang w:val="en-US" w:bidi="zh-CN"/>
                    </w:rPr>
                    <w:t>氧化钙</w:t>
                  </w:r>
                </w:p>
              </w:tc>
              <w:tc>
                <w:tcPr>
                  <w:tcW w:w="1479" w:type="dxa"/>
                  <w:vMerge w:val="continue"/>
                  <w:vAlign w:val="center"/>
                </w:tcPr>
                <w:p>
                  <w:pPr>
                    <w:pStyle w:val="24"/>
                    <w:pBdr>
                      <w:bottom w:val="none" w:color="auto" w:sz="0" w:space="0"/>
                    </w:pBdr>
                    <w:snapToGrid/>
                    <w:spacing w:line="240" w:lineRule="auto"/>
                    <w:rPr>
                      <w:color w:val="auto"/>
                      <w:sz w:val="21"/>
                      <w:szCs w:val="21"/>
                      <w:highlight w:val="none"/>
                      <w:lang w:bidi="zh-CN"/>
                    </w:rPr>
                  </w:pPr>
                </w:p>
              </w:tc>
              <w:tc>
                <w:tcPr>
                  <w:tcW w:w="965" w:type="dxa"/>
                  <w:vAlign w:val="center"/>
                </w:tcPr>
                <w:p>
                  <w:pPr>
                    <w:pStyle w:val="24"/>
                    <w:pBdr>
                      <w:bottom w:val="none" w:color="auto" w:sz="0" w:space="0"/>
                    </w:pBdr>
                    <w:snapToGrid/>
                    <w:spacing w:line="240" w:lineRule="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50000</w:t>
                  </w:r>
                </w:p>
              </w:tc>
              <w:tc>
                <w:tcPr>
                  <w:tcW w:w="893"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c>
                <w:tcPr>
                  <w:tcW w:w="1178"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c>
                <w:tcPr>
                  <w:tcW w:w="798" w:type="dxa"/>
                  <w:vMerge w:val="continue"/>
                  <w:vAlign w:val="center"/>
                </w:tcPr>
                <w:p>
                  <w:pPr>
                    <w:pStyle w:val="24"/>
                    <w:pBdr>
                      <w:bottom w:val="none" w:color="auto" w:sz="0" w:space="0"/>
                    </w:pBdr>
                    <w:snapToGrid/>
                    <w:spacing w:line="240" w:lineRule="auto"/>
                    <w:rPr>
                      <w:rFonts w:hint="eastAsia"/>
                      <w:color w:val="auto"/>
                      <w:kern w:val="0"/>
                      <w:sz w:val="21"/>
                      <w:szCs w:val="21"/>
                      <w:highlight w:val="none"/>
                    </w:rPr>
                  </w:pPr>
                </w:p>
              </w:tc>
            </w:tr>
          </w:tbl>
          <w:p>
            <w:pPr>
              <w:pStyle w:val="46"/>
              <w:numPr>
                <w:ilvl w:val="8"/>
                <w:numId w:val="3"/>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原辅材料理化性质一览表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990"/>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Style w:val="2"/>
                    <w:spacing w:line="240" w:lineRule="auto"/>
                    <w:ind w:left="-105" w:leftChars="-50" w:right="-105" w:rightChars="-50"/>
                    <w:jc w:val="center"/>
                    <w:rPr>
                      <w:b/>
                      <w:bCs/>
                      <w:color w:val="auto"/>
                      <w:kern w:val="0"/>
                      <w:szCs w:val="21"/>
                      <w:highlight w:val="none"/>
                    </w:rPr>
                  </w:pPr>
                  <w:r>
                    <w:rPr>
                      <w:rFonts w:hint="eastAsia"/>
                      <w:bCs/>
                      <w:color w:val="auto"/>
                      <w:kern w:val="0"/>
                      <w:szCs w:val="21"/>
                      <w:highlight w:val="none"/>
                    </w:rPr>
                    <w:t>序号</w:t>
                  </w:r>
                </w:p>
              </w:tc>
              <w:tc>
                <w:tcPr>
                  <w:tcW w:w="1019" w:type="dxa"/>
                  <w:vAlign w:val="center"/>
                </w:tcPr>
                <w:p>
                  <w:pPr>
                    <w:pStyle w:val="2"/>
                    <w:spacing w:line="240" w:lineRule="auto"/>
                    <w:ind w:left="-105" w:leftChars="-50" w:right="-105" w:rightChars="-50"/>
                    <w:jc w:val="center"/>
                    <w:rPr>
                      <w:b/>
                      <w:bCs/>
                      <w:color w:val="auto"/>
                      <w:kern w:val="0"/>
                      <w:szCs w:val="21"/>
                      <w:highlight w:val="none"/>
                    </w:rPr>
                  </w:pPr>
                  <w:r>
                    <w:rPr>
                      <w:rFonts w:hint="eastAsia"/>
                      <w:bCs/>
                      <w:color w:val="auto"/>
                      <w:kern w:val="0"/>
                      <w:szCs w:val="21"/>
                      <w:highlight w:val="none"/>
                    </w:rPr>
                    <w:t>成分</w:t>
                  </w:r>
                </w:p>
              </w:tc>
              <w:tc>
                <w:tcPr>
                  <w:tcW w:w="5978" w:type="dxa"/>
                  <w:vAlign w:val="center"/>
                </w:tcPr>
                <w:p>
                  <w:pPr>
                    <w:pStyle w:val="2"/>
                    <w:spacing w:line="240" w:lineRule="auto"/>
                    <w:ind w:left="-105" w:leftChars="-50" w:right="-105" w:rightChars="-50"/>
                    <w:jc w:val="center"/>
                    <w:rPr>
                      <w:b/>
                      <w:bCs/>
                      <w:color w:val="auto"/>
                      <w:kern w:val="0"/>
                      <w:szCs w:val="21"/>
                      <w:highlight w:val="none"/>
                    </w:rPr>
                  </w:pPr>
                  <w:r>
                    <w:rPr>
                      <w:rFonts w:hint="eastAsia"/>
                      <w:bCs/>
                      <w:color w:val="auto"/>
                      <w:kern w:val="0"/>
                      <w:szCs w:val="21"/>
                      <w:highlight w:val="none"/>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spacing w:line="240" w:lineRule="auto"/>
                    <w:jc w:val="center"/>
                    <w:rPr>
                      <w:bCs/>
                      <w:color w:val="auto"/>
                      <w:kern w:val="0"/>
                      <w:szCs w:val="21"/>
                      <w:highlight w:val="none"/>
                    </w:rPr>
                  </w:pPr>
                  <w:r>
                    <w:rPr>
                      <w:rFonts w:hint="eastAsia"/>
                      <w:bCs/>
                      <w:color w:val="auto"/>
                      <w:kern w:val="0"/>
                      <w:szCs w:val="21"/>
                      <w:highlight w:val="none"/>
                    </w:rPr>
                    <w:t>1</w:t>
                  </w:r>
                </w:p>
              </w:tc>
              <w:tc>
                <w:tcPr>
                  <w:tcW w:w="1019" w:type="dxa"/>
                  <w:vAlign w:val="center"/>
                </w:tcPr>
                <w:p>
                  <w:pPr>
                    <w:pStyle w:val="2"/>
                    <w:spacing w:line="240" w:lineRule="auto"/>
                    <w:jc w:val="center"/>
                    <w:rPr>
                      <w:bCs/>
                      <w:color w:val="auto"/>
                      <w:kern w:val="0"/>
                      <w:szCs w:val="21"/>
                      <w:highlight w:val="none"/>
                    </w:rPr>
                  </w:pPr>
                  <w:r>
                    <w:rPr>
                      <w:rFonts w:hint="eastAsia"/>
                      <w:bCs/>
                      <w:color w:val="auto"/>
                      <w:kern w:val="0"/>
                      <w:szCs w:val="21"/>
                      <w:highlight w:val="none"/>
                    </w:rPr>
                    <w:t>生石灰</w:t>
                  </w:r>
                </w:p>
              </w:tc>
              <w:tc>
                <w:tcPr>
                  <w:tcW w:w="5978" w:type="dxa"/>
                  <w:vAlign w:val="center"/>
                </w:tcPr>
                <w:p>
                  <w:pPr>
                    <w:pStyle w:val="2"/>
                    <w:spacing w:line="240" w:lineRule="auto"/>
                    <w:jc w:val="center"/>
                    <w:rPr>
                      <w:bCs/>
                      <w:color w:val="auto"/>
                      <w:kern w:val="0"/>
                      <w:szCs w:val="21"/>
                      <w:highlight w:val="none"/>
                    </w:rPr>
                  </w:pPr>
                  <w:r>
                    <w:rPr>
                      <w:rFonts w:cs="Times New Roman"/>
                      <w:color w:val="auto"/>
                      <w:szCs w:val="21"/>
                      <w:highlight w:val="none"/>
                      <w:shd w:val="clear" w:color="auto" w:fill="FFFFFF"/>
                    </w:rPr>
                    <w:t>一种无机化合物，它的化学式是 CaO，俗名生石灰。物理性质是表面白色粉末，不纯者为灰白色，含有杂质时呈淡黄色或灰色，具有吸湿性，溶于酸类、甘油和蔗糖溶液，几乎不溶于乙醇。相对密度 3.32～3.35</w:t>
                  </w:r>
                  <w:r>
                    <w:rPr>
                      <w:rFonts w:hint="eastAsia" w:cs="Times New Roman"/>
                      <w:color w:val="auto"/>
                      <w:szCs w:val="21"/>
                      <w:highlight w:val="none"/>
                      <w:shd w:val="clear" w:color="auto" w:fill="FFFFFF"/>
                    </w:rPr>
                    <w:t>，</w:t>
                  </w:r>
                  <w:r>
                    <w:rPr>
                      <w:rFonts w:cs="Times New Roman"/>
                      <w:color w:val="auto"/>
                      <w:szCs w:val="21"/>
                      <w:highlight w:val="none"/>
                      <w:shd w:val="clear" w:color="auto" w:fill="FFFFFF"/>
                    </w:rPr>
                    <w:t>熔点2572℃</w:t>
                  </w:r>
                  <w:r>
                    <w:rPr>
                      <w:rFonts w:hint="eastAsia" w:cs="Times New Roman"/>
                      <w:color w:val="auto"/>
                      <w:szCs w:val="21"/>
                      <w:highlight w:val="none"/>
                      <w:shd w:val="clear" w:color="auto" w:fill="FFFFFF"/>
                    </w:rPr>
                    <w:t>，</w:t>
                  </w:r>
                  <w:r>
                    <w:rPr>
                      <w:rFonts w:cs="Times New Roman"/>
                      <w:color w:val="auto"/>
                      <w:szCs w:val="21"/>
                      <w:highlight w:val="none"/>
                      <w:shd w:val="clear" w:color="auto" w:fill="FFFFFF"/>
                    </w:rPr>
                    <w:t>沸点 2850℃</w:t>
                  </w:r>
                  <w:r>
                    <w:rPr>
                      <w:rFonts w:hint="eastAsia" w:cs="Times New Roman"/>
                      <w:color w:val="auto"/>
                      <w:szCs w:val="21"/>
                      <w:highlight w:val="none"/>
                      <w:shd w:val="clear" w:color="auto" w:fill="FFFFFF"/>
                    </w:rPr>
                    <w:t>，</w:t>
                  </w:r>
                  <w:r>
                    <w:rPr>
                      <w:rFonts w:cs="Times New Roman"/>
                      <w:color w:val="auto"/>
                      <w:szCs w:val="21"/>
                      <w:highlight w:val="none"/>
                      <w:shd w:val="clear" w:color="auto" w:fill="FFFFFF"/>
                    </w:rPr>
                    <w:t>折光率 1.838</w:t>
                  </w:r>
                  <w:r>
                    <w:rPr>
                      <w:rFonts w:hint="eastAsia" w:cs="Times New Roman"/>
                      <w:color w:val="auto"/>
                      <w:szCs w:val="21"/>
                      <w:highlight w:val="none"/>
                      <w:shd w:val="clear" w:color="auto" w:fill="FFFFFF"/>
                    </w:rPr>
                    <w:t>，</w:t>
                  </w:r>
                  <w:r>
                    <w:rPr>
                      <w:rFonts w:cs="Times New Roman"/>
                      <w:color w:val="auto"/>
                      <w:szCs w:val="21"/>
                      <w:highlight w:val="none"/>
                      <w:shd w:val="clear" w:color="auto" w:fill="FFFFFF"/>
                    </w:rPr>
                    <w:t>氧化钙为碱性氧化物，对湿敏感</w:t>
                  </w:r>
                  <w:r>
                    <w:rPr>
                      <w:rFonts w:hint="eastAsia" w:cs="Times New Roman"/>
                      <w:color w:val="auto"/>
                      <w:szCs w:val="21"/>
                      <w:highlight w:val="none"/>
                      <w:shd w:val="clear" w:color="auto" w:fill="FFFFFF"/>
                    </w:rPr>
                    <w:t>，</w:t>
                  </w:r>
                  <w:r>
                    <w:rPr>
                      <w:rFonts w:cs="Times New Roman"/>
                      <w:color w:val="auto"/>
                      <w:szCs w:val="21"/>
                      <w:highlight w:val="none"/>
                      <w:shd w:val="clear" w:color="auto" w:fill="FFFFFF"/>
                    </w:rPr>
                    <w:t>易从空气中吸收二氧化碳及水分。</w:t>
                  </w:r>
                </w:p>
              </w:tc>
            </w:tr>
          </w:tbl>
          <w:p>
            <w:pPr>
              <w:numPr>
                <w:ilvl w:val="0"/>
                <w:numId w:val="5"/>
              </w:numPr>
              <w:adjustRightInd w:val="0"/>
              <w:snapToGrid w:val="0"/>
              <w:ind w:firstLine="422" w:firstLineChars="200"/>
              <w:rPr>
                <w:b/>
                <w:color w:val="auto"/>
                <w:kern w:val="0"/>
                <w:szCs w:val="21"/>
                <w:highlight w:val="none"/>
              </w:rPr>
            </w:pPr>
            <w:r>
              <w:rPr>
                <w:rFonts w:hint="eastAsia"/>
                <w:b/>
                <w:color w:val="auto"/>
                <w:kern w:val="0"/>
                <w:szCs w:val="21"/>
                <w:highlight w:val="none"/>
              </w:rPr>
              <w:t>主要设备</w:t>
            </w:r>
          </w:p>
          <w:p>
            <w:pPr>
              <w:pStyle w:val="46"/>
              <w:numPr>
                <w:ilvl w:val="8"/>
                <w:numId w:val="3"/>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项目主要生产设备一览表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579"/>
              <w:gridCol w:w="1502"/>
              <w:gridCol w:w="1188"/>
              <w:gridCol w:w="1010"/>
              <w:gridCol w:w="16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7" w:hRule="exact"/>
                <w:jc w:val="center"/>
              </w:trPr>
              <w:tc>
                <w:tcPr>
                  <w:tcW w:w="1023" w:type="pct"/>
                  <w:tcBorders>
                    <w:righ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产品</w:t>
                  </w: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序号</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设备名称</w:t>
                  </w:r>
                </w:p>
              </w:tc>
              <w:tc>
                <w:tcPr>
                  <w:tcW w:w="803" w:type="pct"/>
                  <w:vAlign w:val="center"/>
                </w:tcPr>
                <w:p>
                  <w:pPr>
                    <w:spacing w:line="240" w:lineRule="auto"/>
                    <w:ind w:left="-105" w:leftChars="-50" w:right="-105" w:rightChars="-50"/>
                    <w:jc w:val="center"/>
                    <w:rPr>
                      <w:color w:val="auto"/>
                      <w:highlight w:val="none"/>
                    </w:rPr>
                  </w:pPr>
                  <w:r>
                    <w:rPr>
                      <w:rFonts w:hint="eastAsia"/>
                      <w:color w:val="auto"/>
                      <w:highlight w:val="none"/>
                    </w:rPr>
                    <w:t>型 号</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数量</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作用工序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restart"/>
                  <w:tcBorders>
                    <w:righ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氢氧化钙</w:t>
                  </w:r>
                </w:p>
                <w:p>
                  <w:pPr>
                    <w:spacing w:line="240" w:lineRule="auto"/>
                    <w:ind w:left="-105" w:leftChars="-50" w:right="-105" w:rightChars="-50"/>
                    <w:jc w:val="center"/>
                    <w:rPr>
                      <w:color w:val="auto"/>
                      <w:highlight w:val="none"/>
                    </w:rPr>
                  </w:pPr>
                  <w:r>
                    <w:rPr>
                      <w:rFonts w:hint="eastAsia"/>
                      <w:color w:val="auto"/>
                      <w:highlight w:val="none"/>
                    </w:rPr>
                    <w:t>（2条生产线）</w:t>
                  </w:r>
                </w:p>
              </w:tc>
              <w:tc>
                <w:tcPr>
                  <w:tcW w:w="391" w:type="pct"/>
                  <w:vMerge w:val="restar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1</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破碎机</w:t>
                  </w:r>
                </w:p>
              </w:tc>
              <w:tc>
                <w:tcPr>
                  <w:tcW w:w="803" w:type="pct"/>
                  <w:vAlign w:val="center"/>
                </w:tcPr>
                <w:p>
                  <w:pPr>
                    <w:spacing w:line="240" w:lineRule="auto"/>
                    <w:ind w:left="-105" w:leftChars="-50" w:right="-105" w:rightChars="-50"/>
                    <w:jc w:val="center"/>
                    <w:rPr>
                      <w:color w:val="auto"/>
                      <w:highlight w:val="none"/>
                    </w:rPr>
                  </w:pPr>
                  <w:r>
                    <w:rPr>
                      <w:color w:val="auto"/>
                      <w:highlight w:val="none"/>
                    </w:rPr>
                    <w:t>400型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1台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破碎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rFonts w:hint="eastAsia"/>
                      <w:color w:val="auto"/>
                      <w:highlight w:val="none"/>
                    </w:rPr>
                  </w:pPr>
                </w:p>
              </w:tc>
              <w:tc>
                <w:tcPr>
                  <w:tcW w:w="391" w:type="pct"/>
                  <w:vMerge w:val="continue"/>
                  <w:tcBorders>
                    <w:left w:val="single" w:color="auto" w:sz="4" w:space="0"/>
                  </w:tcBorders>
                  <w:vAlign w:val="center"/>
                </w:tcPr>
                <w:p>
                  <w:pPr>
                    <w:spacing w:line="240" w:lineRule="auto"/>
                    <w:ind w:left="-105" w:leftChars="-50" w:right="-105" w:rightChars="-50"/>
                    <w:jc w:val="center"/>
                    <w:rPr>
                      <w:rFonts w:hint="eastAsia"/>
                      <w:color w:val="auto"/>
                      <w:highlight w:val="none"/>
                    </w:rPr>
                  </w:pPr>
                </w:p>
              </w:tc>
              <w:tc>
                <w:tcPr>
                  <w:tcW w:w="1015" w:type="pct"/>
                  <w:tcBorders>
                    <w:left w:val="single" w:color="auto" w:sz="4" w:space="0"/>
                  </w:tcBorders>
                  <w:vAlign w:val="center"/>
                </w:tcPr>
                <w:p>
                  <w:pPr>
                    <w:spacing w:line="240" w:lineRule="auto"/>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含有：原料罐</w:t>
                  </w:r>
                </w:p>
              </w:tc>
              <w:tc>
                <w:tcPr>
                  <w:tcW w:w="803" w:type="pct"/>
                  <w:vAlign w:val="center"/>
                </w:tcPr>
                <w:p>
                  <w:pPr>
                    <w:spacing w:line="240" w:lineRule="auto"/>
                    <w:ind w:left="-105" w:leftChars="-50" w:right="-105" w:rightChars="-50"/>
                    <w:jc w:val="center"/>
                    <w:rPr>
                      <w:rFonts w:hint="eastAsia" w:eastAsia="宋体"/>
                      <w:color w:val="auto"/>
                      <w:highlight w:val="none"/>
                      <w:lang w:val="en-US" w:eastAsia="zh-CN"/>
                    </w:rPr>
                  </w:pPr>
                  <w:r>
                    <w:rPr>
                      <w:rFonts w:hint="eastAsia"/>
                      <w:color w:val="auto"/>
                      <w:highlight w:val="none"/>
                      <w:lang w:val="en-US" w:eastAsia="zh-CN"/>
                    </w:rPr>
                    <w:t>/</w:t>
                  </w:r>
                </w:p>
              </w:tc>
              <w:tc>
                <w:tcPr>
                  <w:tcW w:w="682" w:type="pct"/>
                  <w:vAlign w:val="center"/>
                </w:tcPr>
                <w:p>
                  <w:pPr>
                    <w:spacing w:line="240" w:lineRule="auto"/>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1个</w:t>
                  </w:r>
                </w:p>
              </w:tc>
              <w:tc>
                <w:tcPr>
                  <w:tcW w:w="1083" w:type="pct"/>
                  <w:vAlign w:val="center"/>
                </w:tcPr>
                <w:p>
                  <w:pPr>
                    <w:spacing w:line="240" w:lineRule="auto"/>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生产过程暂存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2</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振动给料器</w:t>
                  </w:r>
                </w:p>
              </w:tc>
              <w:tc>
                <w:tcPr>
                  <w:tcW w:w="803" w:type="pct"/>
                  <w:vAlign w:val="center"/>
                </w:tcPr>
                <w:p>
                  <w:pPr>
                    <w:spacing w:line="240" w:lineRule="auto"/>
                    <w:ind w:left="-105" w:leftChars="-50" w:right="-105" w:rightChars="-50"/>
                    <w:jc w:val="center"/>
                    <w:rPr>
                      <w:color w:val="auto"/>
                      <w:highlight w:val="none"/>
                    </w:rPr>
                  </w:pPr>
                  <w:r>
                    <w:rPr>
                      <w:rFonts w:hint="eastAsia"/>
                      <w:color w:val="auto"/>
                      <w:highlight w:val="none"/>
                    </w:rPr>
                    <w:t>/</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1台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给料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3</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雷蒙磨机</w:t>
                  </w:r>
                </w:p>
              </w:tc>
              <w:tc>
                <w:tcPr>
                  <w:tcW w:w="803" w:type="pct"/>
                  <w:vAlign w:val="center"/>
                </w:tcPr>
                <w:p>
                  <w:pPr>
                    <w:spacing w:line="240" w:lineRule="auto"/>
                    <w:ind w:left="-105" w:leftChars="-50" w:right="-105" w:rightChars="-50"/>
                    <w:jc w:val="center"/>
                    <w:rPr>
                      <w:color w:val="auto"/>
                      <w:highlight w:val="none"/>
                    </w:rPr>
                  </w:pPr>
                  <w:r>
                    <w:rPr>
                      <w:color w:val="auto"/>
                      <w:highlight w:val="none"/>
                    </w:rPr>
                    <w:t>16450型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研磨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4</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提升机</w:t>
                  </w:r>
                </w:p>
              </w:tc>
              <w:tc>
                <w:tcPr>
                  <w:tcW w:w="803" w:type="pct"/>
                  <w:vAlign w:val="center"/>
                </w:tcPr>
                <w:p>
                  <w:pPr>
                    <w:spacing w:line="240" w:lineRule="auto"/>
                    <w:ind w:left="-105" w:leftChars="-50" w:right="-105" w:rightChars="-50"/>
                    <w:jc w:val="center"/>
                    <w:rPr>
                      <w:color w:val="auto"/>
                      <w:highlight w:val="none"/>
                    </w:rPr>
                  </w:pPr>
                  <w:r>
                    <w:rPr>
                      <w:color w:val="auto"/>
                      <w:highlight w:val="none"/>
                    </w:rPr>
                    <w:t>400型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提升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5</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提升机</w:t>
                  </w:r>
                </w:p>
              </w:tc>
              <w:tc>
                <w:tcPr>
                  <w:tcW w:w="803" w:type="pct"/>
                  <w:vAlign w:val="center"/>
                </w:tcPr>
                <w:p>
                  <w:pPr>
                    <w:spacing w:line="240" w:lineRule="auto"/>
                    <w:ind w:left="-105" w:leftChars="-50" w:right="-105" w:rightChars="-50"/>
                    <w:jc w:val="center"/>
                    <w:rPr>
                      <w:color w:val="auto"/>
                      <w:highlight w:val="none"/>
                    </w:rPr>
                  </w:pPr>
                  <w:r>
                    <w:rPr>
                      <w:color w:val="auto"/>
                      <w:highlight w:val="none"/>
                    </w:rPr>
                    <w:t>250型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提升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6</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石灰消化器</w:t>
                  </w:r>
                </w:p>
              </w:tc>
              <w:tc>
                <w:tcPr>
                  <w:tcW w:w="803" w:type="pct"/>
                  <w:vAlign w:val="center"/>
                </w:tcPr>
                <w:p>
                  <w:pPr>
                    <w:spacing w:line="240" w:lineRule="auto"/>
                    <w:ind w:left="-105" w:leftChars="-50" w:right="-105" w:rightChars="-50"/>
                    <w:jc w:val="center"/>
                    <w:rPr>
                      <w:color w:val="auto"/>
                      <w:highlight w:val="none"/>
                    </w:rPr>
                  </w:pPr>
                  <w:r>
                    <w:rPr>
                      <w:color w:val="auto"/>
                      <w:highlight w:val="none"/>
                    </w:rPr>
                    <w:t>600型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三级消化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7</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给料螺旋</w:t>
                  </w:r>
                </w:p>
              </w:tc>
              <w:tc>
                <w:tcPr>
                  <w:tcW w:w="803" w:type="pct"/>
                  <w:vAlign w:val="center"/>
                </w:tcPr>
                <w:p>
                  <w:pPr>
                    <w:spacing w:line="240" w:lineRule="auto"/>
                    <w:ind w:left="-105" w:leftChars="-50" w:right="-105" w:rightChars="-50"/>
                    <w:jc w:val="center"/>
                    <w:rPr>
                      <w:color w:val="auto"/>
                      <w:highlight w:val="none"/>
                    </w:rPr>
                  </w:pPr>
                  <w:r>
                    <w:rPr>
                      <w:color w:val="auto"/>
                      <w:highlight w:val="none"/>
                    </w:rPr>
                    <w:t>250型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4个</w:t>
                  </w:r>
                </w:p>
              </w:tc>
              <w:tc>
                <w:tcPr>
                  <w:tcW w:w="1083" w:type="pct"/>
                  <w:vAlign w:val="center"/>
                </w:tcPr>
                <w:p>
                  <w:pPr>
                    <w:spacing w:line="240" w:lineRule="auto"/>
                    <w:ind w:left="-105" w:leftChars="-50" w:right="-105" w:rightChars="-50"/>
                    <w:jc w:val="center"/>
                    <w:rPr>
                      <w:color w:val="auto"/>
                      <w:highlight w:val="none"/>
                    </w:rPr>
                  </w:pPr>
                  <w:r>
                    <w:rPr>
                      <w:color w:val="auto"/>
                      <w:highlight w:val="none"/>
                    </w:rPr>
                    <w:t>投料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8</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仓泵</w:t>
                  </w:r>
                </w:p>
              </w:tc>
              <w:tc>
                <w:tcPr>
                  <w:tcW w:w="803" w:type="pct"/>
                  <w:vAlign w:val="center"/>
                </w:tcPr>
                <w:p>
                  <w:pPr>
                    <w:spacing w:line="240" w:lineRule="auto"/>
                    <w:ind w:left="-105" w:leftChars="-50" w:right="-105" w:rightChars="-50"/>
                    <w:jc w:val="center"/>
                    <w:rPr>
                      <w:color w:val="auto"/>
                      <w:highlight w:val="none"/>
                    </w:rPr>
                  </w:pPr>
                  <w:r>
                    <w:rPr>
                      <w:color w:val="auto"/>
                      <w:highlight w:val="none"/>
                    </w:rPr>
                    <w:t>2.0型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2个</w:t>
                  </w:r>
                </w:p>
              </w:tc>
              <w:tc>
                <w:tcPr>
                  <w:tcW w:w="1083" w:type="pct"/>
                  <w:vAlign w:val="center"/>
                </w:tcPr>
                <w:p>
                  <w:pPr>
                    <w:spacing w:line="240" w:lineRule="auto"/>
                    <w:ind w:left="-105" w:leftChars="-50" w:right="-105" w:rightChars="-50"/>
                    <w:jc w:val="center"/>
                    <w:rPr>
                      <w:color w:val="auto"/>
                      <w:highlight w:val="none"/>
                    </w:rPr>
                  </w:pPr>
                  <w:r>
                    <w:rPr>
                      <w:color w:val="auto"/>
                      <w:highlight w:val="none"/>
                    </w:rPr>
                    <w:t>辅助设备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rFonts w:hint="eastAsia"/>
                      <w:color w:val="auto"/>
                      <w:highlight w:val="none"/>
                    </w:rPr>
                  </w:pPr>
                  <w:r>
                    <w:rPr>
                      <w:rFonts w:hint="eastAsia"/>
                      <w:color w:val="auto"/>
                      <w:highlight w:val="none"/>
                    </w:rPr>
                    <w:t>9</w:t>
                  </w:r>
                </w:p>
              </w:tc>
              <w:tc>
                <w:tcPr>
                  <w:tcW w:w="1015" w:type="pct"/>
                  <w:tcBorders>
                    <w:left w:val="single" w:color="auto" w:sz="4" w:space="0"/>
                  </w:tcBorders>
                  <w:vAlign w:val="center"/>
                </w:tcPr>
                <w:p>
                  <w:pPr>
                    <w:spacing w:line="240" w:lineRule="auto"/>
                    <w:ind w:left="-105" w:leftChars="-50" w:right="-105" w:rightChars="-50"/>
                    <w:jc w:val="center"/>
                    <w:rPr>
                      <w:rFonts w:hint="eastAsia"/>
                      <w:color w:val="auto"/>
                      <w:highlight w:val="none"/>
                    </w:rPr>
                  </w:pPr>
                  <w:r>
                    <w:rPr>
                      <w:rFonts w:hint="eastAsia"/>
                      <w:color w:val="auto"/>
                      <w:highlight w:val="none"/>
                    </w:rPr>
                    <w:t>成品罐</w:t>
                  </w:r>
                </w:p>
              </w:tc>
              <w:tc>
                <w:tcPr>
                  <w:tcW w:w="803" w:type="pct"/>
                  <w:vAlign w:val="center"/>
                </w:tcPr>
                <w:p>
                  <w:pPr>
                    <w:spacing w:line="240" w:lineRule="auto"/>
                    <w:ind w:left="-105" w:leftChars="-50" w:right="-105" w:rightChars="-50"/>
                    <w:jc w:val="center"/>
                    <w:rPr>
                      <w:color w:val="auto"/>
                      <w:highlight w:val="none"/>
                    </w:rPr>
                  </w:pPr>
                  <w:r>
                    <w:rPr>
                      <w:rFonts w:hint="eastAsia"/>
                      <w:color w:val="auto"/>
                      <w:highlight w:val="none"/>
                    </w:rPr>
                    <w:t>200m</w:t>
                  </w:r>
                  <w:r>
                    <w:rPr>
                      <w:rFonts w:hint="eastAsia"/>
                      <w:color w:val="auto"/>
                      <w:highlight w:val="none"/>
                      <w:vertAlign w:val="superscript"/>
                    </w:rPr>
                    <w:t>3</w:t>
                  </w:r>
                </w:p>
              </w:tc>
              <w:tc>
                <w:tcPr>
                  <w:tcW w:w="682" w:type="pct"/>
                  <w:vAlign w:val="center"/>
                </w:tcPr>
                <w:p>
                  <w:pPr>
                    <w:spacing w:line="240" w:lineRule="auto"/>
                    <w:ind w:left="-105" w:leftChars="-50" w:right="-105" w:rightChars="-50"/>
                    <w:jc w:val="center"/>
                    <w:rPr>
                      <w:rFonts w:hint="eastAsia"/>
                      <w:color w:val="auto"/>
                      <w:highlight w:val="none"/>
                    </w:rPr>
                  </w:pPr>
                  <w:r>
                    <w:rPr>
                      <w:rFonts w:hint="eastAsia"/>
                      <w:color w:val="auto"/>
                      <w:highlight w:val="none"/>
                      <w:lang w:val="en-US" w:eastAsia="zh-CN"/>
                    </w:rPr>
                    <w:t>4</w:t>
                  </w:r>
                  <w:r>
                    <w:rPr>
                      <w:rFonts w:hint="eastAsia"/>
                      <w:color w:val="auto"/>
                      <w:highlight w:val="none"/>
                    </w:rPr>
                    <w:t>个</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储存成品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rFonts w:hint="eastAsia"/>
                      <w:color w:val="auto"/>
                      <w:highlight w:val="none"/>
                    </w:rPr>
                  </w:pPr>
                  <w:r>
                    <w:rPr>
                      <w:rFonts w:hint="eastAsia"/>
                      <w:color w:val="auto"/>
                      <w:highlight w:val="none"/>
                    </w:rPr>
                    <w:t>10</w:t>
                  </w:r>
                </w:p>
              </w:tc>
              <w:tc>
                <w:tcPr>
                  <w:tcW w:w="1015" w:type="pct"/>
                  <w:tcBorders>
                    <w:left w:val="single" w:color="auto" w:sz="4" w:space="0"/>
                  </w:tcBorders>
                  <w:vAlign w:val="center"/>
                </w:tcPr>
                <w:p>
                  <w:pPr>
                    <w:spacing w:line="240" w:lineRule="auto"/>
                    <w:ind w:left="-105" w:leftChars="-50" w:right="-105" w:rightChars="-50"/>
                    <w:jc w:val="center"/>
                    <w:rPr>
                      <w:rFonts w:hint="eastAsia"/>
                      <w:color w:val="auto"/>
                      <w:highlight w:val="none"/>
                    </w:rPr>
                  </w:pPr>
                  <w:r>
                    <w:rPr>
                      <w:rFonts w:hint="eastAsia"/>
                      <w:color w:val="auto"/>
                      <w:highlight w:val="none"/>
                    </w:rPr>
                    <w:t>半成品罐</w:t>
                  </w:r>
                </w:p>
              </w:tc>
              <w:tc>
                <w:tcPr>
                  <w:tcW w:w="803" w:type="pct"/>
                  <w:vAlign w:val="center"/>
                </w:tcPr>
                <w:p>
                  <w:pPr>
                    <w:spacing w:line="240" w:lineRule="auto"/>
                    <w:ind w:left="-105" w:leftChars="-50" w:right="-105" w:rightChars="-50"/>
                    <w:jc w:val="center"/>
                    <w:rPr>
                      <w:color w:val="auto"/>
                      <w:highlight w:val="none"/>
                    </w:rPr>
                  </w:pPr>
                  <w:r>
                    <w:rPr>
                      <w:rFonts w:hint="eastAsia"/>
                      <w:color w:val="auto"/>
                      <w:highlight w:val="none"/>
                    </w:rPr>
                    <w:t>120m</w:t>
                  </w:r>
                  <w:r>
                    <w:rPr>
                      <w:rFonts w:hint="eastAsia"/>
                      <w:color w:val="auto"/>
                      <w:highlight w:val="none"/>
                      <w:vertAlign w:val="superscript"/>
                    </w:rPr>
                    <w:t>3</w:t>
                  </w:r>
                </w:p>
              </w:tc>
              <w:tc>
                <w:tcPr>
                  <w:tcW w:w="682" w:type="pct"/>
                  <w:vAlign w:val="center"/>
                </w:tcPr>
                <w:p>
                  <w:pPr>
                    <w:spacing w:line="240" w:lineRule="auto"/>
                    <w:ind w:left="-105" w:leftChars="-50" w:right="-105" w:rightChars="-50"/>
                    <w:jc w:val="center"/>
                    <w:rPr>
                      <w:rFonts w:hint="eastAsia"/>
                      <w:color w:val="auto"/>
                      <w:highlight w:val="none"/>
                    </w:rPr>
                  </w:pPr>
                  <w:r>
                    <w:rPr>
                      <w:rFonts w:hint="eastAsia"/>
                      <w:color w:val="auto"/>
                      <w:highlight w:val="none"/>
                      <w:lang w:val="en-US" w:eastAsia="zh-CN"/>
                    </w:rPr>
                    <w:t>2</w:t>
                  </w:r>
                  <w:r>
                    <w:rPr>
                      <w:rFonts w:hint="eastAsia"/>
                      <w:color w:val="auto"/>
                      <w:highlight w:val="none"/>
                    </w:rPr>
                    <w:t>个</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储存半成品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restart"/>
                  <w:tcBorders>
                    <w:righ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氧化钙</w:t>
                  </w:r>
                </w:p>
                <w:p>
                  <w:pPr>
                    <w:spacing w:line="240" w:lineRule="auto"/>
                    <w:ind w:left="-105" w:leftChars="-50" w:right="-105" w:rightChars="-50"/>
                    <w:jc w:val="center"/>
                    <w:rPr>
                      <w:color w:val="auto"/>
                      <w:highlight w:val="none"/>
                    </w:rPr>
                  </w:pPr>
                  <w:r>
                    <w:rPr>
                      <w:rFonts w:hint="eastAsia"/>
                      <w:color w:val="auto"/>
                      <w:highlight w:val="none"/>
                    </w:rPr>
                    <w:t>（1条生产线）</w:t>
                  </w:r>
                </w:p>
              </w:tc>
              <w:tc>
                <w:tcPr>
                  <w:tcW w:w="391" w:type="pct"/>
                  <w:vMerge w:val="restart"/>
                  <w:tcBorders>
                    <w:left w:val="single" w:color="auto" w:sz="4" w:space="0"/>
                  </w:tcBorders>
                  <w:vAlign w:val="center"/>
                </w:tcPr>
                <w:p>
                  <w:pPr>
                    <w:spacing w:line="240" w:lineRule="auto"/>
                    <w:ind w:left="-105" w:leftChars="-50" w:right="-105" w:rightChars="-5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11</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破碎机</w:t>
                  </w:r>
                </w:p>
              </w:tc>
              <w:tc>
                <w:tcPr>
                  <w:tcW w:w="803" w:type="pct"/>
                  <w:vAlign w:val="center"/>
                </w:tcPr>
                <w:p>
                  <w:pPr>
                    <w:spacing w:line="240" w:lineRule="auto"/>
                    <w:ind w:left="-105" w:leftChars="-50" w:right="-105" w:rightChars="-50"/>
                    <w:jc w:val="center"/>
                    <w:rPr>
                      <w:color w:val="auto"/>
                      <w:highlight w:val="none"/>
                    </w:rPr>
                  </w:pPr>
                  <w:r>
                    <w:rPr>
                      <w:color w:val="auto"/>
                      <w:highlight w:val="none"/>
                    </w:rPr>
                    <w:t>400型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1台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破碎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rFonts w:hint="eastAsia"/>
                      <w:color w:val="auto"/>
                      <w:highlight w:val="none"/>
                    </w:rPr>
                  </w:pPr>
                </w:p>
              </w:tc>
              <w:tc>
                <w:tcPr>
                  <w:tcW w:w="391" w:type="pct"/>
                  <w:vMerge w:val="continue"/>
                  <w:tcBorders>
                    <w:left w:val="single" w:color="auto" w:sz="4" w:space="0"/>
                  </w:tcBorders>
                  <w:vAlign w:val="center"/>
                </w:tcPr>
                <w:p>
                  <w:pPr>
                    <w:spacing w:line="240" w:lineRule="auto"/>
                    <w:ind w:left="-105" w:leftChars="-50" w:right="-105" w:rightChars="-50"/>
                    <w:jc w:val="center"/>
                    <w:rPr>
                      <w:rFonts w:hint="eastAsia"/>
                      <w:color w:val="auto"/>
                      <w:highlight w:val="none"/>
                    </w:rPr>
                  </w:pPr>
                </w:p>
              </w:tc>
              <w:tc>
                <w:tcPr>
                  <w:tcW w:w="1502" w:type="dxa"/>
                  <w:tcBorders>
                    <w:left w:val="single" w:color="auto" w:sz="4" w:space="0"/>
                  </w:tcBorders>
                  <w:vAlign w:val="center"/>
                </w:tcPr>
                <w:p>
                  <w:pPr>
                    <w:spacing w:line="240" w:lineRule="auto"/>
                    <w:ind w:left="-105" w:leftChars="-50" w:right="-105" w:rightChars="-50"/>
                    <w:jc w:val="center"/>
                    <w:rPr>
                      <w:rFonts w:hint="eastAsia"/>
                      <w:color w:val="auto"/>
                      <w:highlight w:val="none"/>
                    </w:rPr>
                  </w:pPr>
                  <w:r>
                    <w:rPr>
                      <w:rFonts w:hint="eastAsia"/>
                      <w:color w:val="auto"/>
                      <w:highlight w:val="none"/>
                      <w:lang w:val="en-US" w:eastAsia="zh-CN"/>
                    </w:rPr>
                    <w:t>含有：原料罐</w:t>
                  </w:r>
                </w:p>
              </w:tc>
              <w:tc>
                <w:tcPr>
                  <w:tcW w:w="1188" w:type="dxa"/>
                  <w:vAlign w:val="center"/>
                </w:tcPr>
                <w:p>
                  <w:pPr>
                    <w:spacing w:line="240" w:lineRule="auto"/>
                    <w:ind w:left="-105" w:leftChars="-50" w:right="-105" w:rightChars="-50"/>
                    <w:jc w:val="center"/>
                    <w:rPr>
                      <w:color w:val="auto"/>
                      <w:highlight w:val="none"/>
                    </w:rPr>
                  </w:pPr>
                  <w:r>
                    <w:rPr>
                      <w:rFonts w:hint="eastAsia"/>
                      <w:color w:val="auto"/>
                      <w:highlight w:val="none"/>
                      <w:lang w:val="en-US" w:eastAsia="zh-CN"/>
                    </w:rPr>
                    <w:t>/</w:t>
                  </w:r>
                </w:p>
              </w:tc>
              <w:tc>
                <w:tcPr>
                  <w:tcW w:w="1010" w:type="dxa"/>
                  <w:vAlign w:val="center"/>
                </w:tcPr>
                <w:p>
                  <w:pPr>
                    <w:spacing w:line="240" w:lineRule="auto"/>
                    <w:ind w:left="-105" w:leftChars="-50" w:right="-105" w:rightChars="-50"/>
                    <w:jc w:val="center"/>
                    <w:rPr>
                      <w:rFonts w:hint="eastAsia"/>
                      <w:color w:val="auto"/>
                      <w:highlight w:val="none"/>
                    </w:rPr>
                  </w:pPr>
                  <w:r>
                    <w:rPr>
                      <w:rFonts w:hint="eastAsia"/>
                      <w:color w:val="auto"/>
                      <w:highlight w:val="none"/>
                      <w:lang w:val="en-US" w:eastAsia="zh-CN"/>
                    </w:rPr>
                    <w:t>1个</w:t>
                  </w:r>
                </w:p>
              </w:tc>
              <w:tc>
                <w:tcPr>
                  <w:tcW w:w="1602" w:type="dxa"/>
                  <w:vAlign w:val="center"/>
                </w:tcPr>
                <w:p>
                  <w:pPr>
                    <w:spacing w:line="240" w:lineRule="auto"/>
                    <w:ind w:left="-105" w:leftChars="-50" w:right="-105" w:rightChars="-50"/>
                    <w:jc w:val="center"/>
                    <w:rPr>
                      <w:rFonts w:hint="eastAsia"/>
                      <w:color w:val="auto"/>
                      <w:highlight w:val="none"/>
                    </w:rPr>
                  </w:pPr>
                  <w:r>
                    <w:rPr>
                      <w:rFonts w:hint="eastAsia"/>
                      <w:color w:val="auto"/>
                      <w:highlight w:val="none"/>
                      <w:lang w:val="en-US" w:eastAsia="zh-CN"/>
                    </w:rPr>
                    <w:t>生产过程暂存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12</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振动给料器</w:t>
                  </w:r>
                </w:p>
              </w:tc>
              <w:tc>
                <w:tcPr>
                  <w:tcW w:w="803" w:type="pct"/>
                  <w:vAlign w:val="center"/>
                </w:tcPr>
                <w:p>
                  <w:pPr>
                    <w:spacing w:line="240" w:lineRule="auto"/>
                    <w:ind w:left="-105" w:leftChars="-50" w:right="-105" w:rightChars="-50"/>
                    <w:jc w:val="center"/>
                    <w:rPr>
                      <w:color w:val="auto"/>
                      <w:highlight w:val="none"/>
                    </w:rPr>
                  </w:pPr>
                  <w:r>
                    <w:rPr>
                      <w:rFonts w:hint="eastAsia"/>
                      <w:color w:val="auto"/>
                      <w:highlight w:val="none"/>
                    </w:rPr>
                    <w:t>/</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1台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给料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雷蒙磨机</w:t>
                  </w:r>
                </w:p>
              </w:tc>
              <w:tc>
                <w:tcPr>
                  <w:tcW w:w="803" w:type="pct"/>
                  <w:vAlign w:val="center"/>
                </w:tcPr>
                <w:p>
                  <w:pPr>
                    <w:spacing w:line="240" w:lineRule="auto"/>
                    <w:ind w:left="-105" w:leftChars="-50" w:right="-105" w:rightChars="-50"/>
                    <w:jc w:val="center"/>
                    <w:rPr>
                      <w:color w:val="auto"/>
                      <w:highlight w:val="none"/>
                    </w:rPr>
                  </w:pPr>
                  <w:r>
                    <w:rPr>
                      <w:color w:val="auto"/>
                      <w:highlight w:val="none"/>
                    </w:rPr>
                    <w:t>16450型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1台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研磨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tcBorders>
                    <w:left w:val="single" w:color="auto" w:sz="4" w:space="0"/>
                  </w:tcBorders>
                  <w:vAlign w:val="center"/>
                </w:tcPr>
                <w:p>
                  <w:pPr>
                    <w:spacing w:line="240" w:lineRule="auto"/>
                    <w:ind w:left="-105" w:leftChars="-50" w:right="-105" w:rightChars="-5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14</w:t>
                  </w:r>
                </w:p>
              </w:tc>
              <w:tc>
                <w:tcPr>
                  <w:tcW w:w="1015" w:type="pct"/>
                  <w:tcBorders>
                    <w:left w:val="single" w:color="auto" w:sz="4" w:space="0"/>
                  </w:tcBorders>
                  <w:vAlign w:val="center"/>
                </w:tcPr>
                <w:p>
                  <w:pPr>
                    <w:spacing w:line="240" w:lineRule="auto"/>
                    <w:ind w:left="-105" w:leftChars="-50" w:right="-105" w:rightChars="-50"/>
                    <w:jc w:val="center"/>
                    <w:rPr>
                      <w:color w:val="auto"/>
                      <w:highlight w:val="none"/>
                    </w:rPr>
                  </w:pPr>
                  <w:r>
                    <w:rPr>
                      <w:rFonts w:hint="eastAsia"/>
                      <w:color w:val="auto"/>
                      <w:highlight w:val="none"/>
                    </w:rPr>
                    <w:t>提升机</w:t>
                  </w:r>
                </w:p>
              </w:tc>
              <w:tc>
                <w:tcPr>
                  <w:tcW w:w="803" w:type="pct"/>
                  <w:vAlign w:val="center"/>
                </w:tcPr>
                <w:p>
                  <w:pPr>
                    <w:spacing w:line="240" w:lineRule="auto"/>
                    <w:ind w:left="-105" w:leftChars="-50" w:right="-105" w:rightChars="-50"/>
                    <w:jc w:val="center"/>
                    <w:rPr>
                      <w:color w:val="auto"/>
                      <w:highlight w:val="none"/>
                    </w:rPr>
                  </w:pPr>
                  <w:r>
                    <w:rPr>
                      <w:color w:val="auto"/>
                      <w:highlight w:val="none"/>
                    </w:rPr>
                    <w:t>400型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提升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vAlign w:val="center"/>
                </w:tcPr>
                <w:p>
                  <w:pPr>
                    <w:spacing w:line="240" w:lineRule="auto"/>
                    <w:ind w:left="-105" w:leftChars="-50" w:right="-105" w:rightChars="-5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15</w:t>
                  </w:r>
                </w:p>
              </w:tc>
              <w:tc>
                <w:tcPr>
                  <w:tcW w:w="1015" w:type="pct"/>
                  <w:vAlign w:val="center"/>
                </w:tcPr>
                <w:p>
                  <w:pPr>
                    <w:spacing w:line="240" w:lineRule="auto"/>
                    <w:ind w:left="-105" w:leftChars="-50" w:right="-105" w:rightChars="-50"/>
                    <w:jc w:val="center"/>
                    <w:rPr>
                      <w:color w:val="auto"/>
                      <w:highlight w:val="none"/>
                    </w:rPr>
                  </w:pPr>
                  <w:r>
                    <w:rPr>
                      <w:rFonts w:hint="eastAsia"/>
                      <w:color w:val="auto"/>
                      <w:highlight w:val="none"/>
                    </w:rPr>
                    <w:t>提升机</w:t>
                  </w:r>
                </w:p>
              </w:tc>
              <w:tc>
                <w:tcPr>
                  <w:tcW w:w="803" w:type="pct"/>
                  <w:vAlign w:val="center"/>
                </w:tcPr>
                <w:p>
                  <w:pPr>
                    <w:spacing w:line="240" w:lineRule="auto"/>
                    <w:ind w:left="-105" w:leftChars="-50" w:right="-105" w:rightChars="-50"/>
                    <w:jc w:val="center"/>
                    <w:rPr>
                      <w:color w:val="auto"/>
                      <w:highlight w:val="none"/>
                    </w:rPr>
                  </w:pPr>
                  <w:r>
                    <w:rPr>
                      <w:color w:val="auto"/>
                      <w:highlight w:val="none"/>
                    </w:rPr>
                    <w:t>250型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2台</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提升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vAlign w:val="center"/>
                </w:tcPr>
                <w:p>
                  <w:pPr>
                    <w:spacing w:line="240" w:lineRule="auto"/>
                    <w:ind w:left="-105" w:leftChars="-50" w:right="-105" w:rightChars="-5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16</w:t>
                  </w:r>
                </w:p>
              </w:tc>
              <w:tc>
                <w:tcPr>
                  <w:tcW w:w="1015" w:type="pct"/>
                  <w:vAlign w:val="center"/>
                </w:tcPr>
                <w:p>
                  <w:pPr>
                    <w:spacing w:line="240" w:lineRule="auto"/>
                    <w:ind w:left="-105" w:leftChars="-50" w:right="-105" w:rightChars="-50"/>
                    <w:jc w:val="center"/>
                    <w:rPr>
                      <w:color w:val="auto"/>
                      <w:highlight w:val="none"/>
                    </w:rPr>
                  </w:pPr>
                  <w:r>
                    <w:rPr>
                      <w:rFonts w:hint="eastAsia"/>
                      <w:color w:val="auto"/>
                      <w:highlight w:val="none"/>
                    </w:rPr>
                    <w:t>给料螺旋</w:t>
                  </w:r>
                </w:p>
              </w:tc>
              <w:tc>
                <w:tcPr>
                  <w:tcW w:w="803" w:type="pct"/>
                  <w:vAlign w:val="center"/>
                </w:tcPr>
                <w:p>
                  <w:pPr>
                    <w:spacing w:line="240" w:lineRule="auto"/>
                    <w:ind w:left="-105" w:leftChars="-50" w:right="-105" w:rightChars="-50"/>
                    <w:jc w:val="center"/>
                    <w:rPr>
                      <w:color w:val="auto"/>
                      <w:highlight w:val="none"/>
                    </w:rPr>
                  </w:pPr>
                  <w:r>
                    <w:rPr>
                      <w:color w:val="auto"/>
                      <w:highlight w:val="none"/>
                    </w:rPr>
                    <w:t>250型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2个</w:t>
                  </w:r>
                </w:p>
              </w:tc>
              <w:tc>
                <w:tcPr>
                  <w:tcW w:w="1083" w:type="pct"/>
                  <w:vAlign w:val="center"/>
                </w:tcPr>
                <w:p>
                  <w:pPr>
                    <w:spacing w:line="240" w:lineRule="auto"/>
                    <w:ind w:left="-105" w:leftChars="-50" w:right="-105" w:rightChars="-50"/>
                    <w:jc w:val="center"/>
                    <w:rPr>
                      <w:color w:val="auto"/>
                      <w:highlight w:val="none"/>
                    </w:rPr>
                  </w:pPr>
                  <w:r>
                    <w:rPr>
                      <w:color w:val="auto"/>
                      <w:highlight w:val="none"/>
                    </w:rPr>
                    <w:t>投料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vAlign w:val="center"/>
                </w:tcPr>
                <w:p>
                  <w:pPr>
                    <w:spacing w:line="240" w:lineRule="auto"/>
                    <w:ind w:left="-105" w:leftChars="-50" w:right="-105" w:rightChars="-50"/>
                    <w:jc w:val="center"/>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17</w:t>
                  </w:r>
                </w:p>
              </w:tc>
              <w:tc>
                <w:tcPr>
                  <w:tcW w:w="1015" w:type="pct"/>
                  <w:vAlign w:val="center"/>
                </w:tcPr>
                <w:p>
                  <w:pPr>
                    <w:spacing w:line="240" w:lineRule="auto"/>
                    <w:ind w:left="-105" w:leftChars="-50" w:right="-105" w:rightChars="-50"/>
                    <w:jc w:val="center"/>
                    <w:rPr>
                      <w:color w:val="auto"/>
                      <w:highlight w:val="none"/>
                    </w:rPr>
                  </w:pPr>
                  <w:r>
                    <w:rPr>
                      <w:rFonts w:hint="eastAsia"/>
                      <w:color w:val="auto"/>
                      <w:highlight w:val="none"/>
                    </w:rPr>
                    <w:t>仓泵</w:t>
                  </w:r>
                </w:p>
              </w:tc>
              <w:tc>
                <w:tcPr>
                  <w:tcW w:w="803" w:type="pct"/>
                  <w:vAlign w:val="center"/>
                </w:tcPr>
                <w:p>
                  <w:pPr>
                    <w:spacing w:line="240" w:lineRule="auto"/>
                    <w:ind w:left="-105" w:leftChars="-50" w:right="-105" w:rightChars="-50"/>
                    <w:jc w:val="center"/>
                    <w:rPr>
                      <w:color w:val="auto"/>
                      <w:highlight w:val="none"/>
                    </w:rPr>
                  </w:pPr>
                  <w:r>
                    <w:rPr>
                      <w:color w:val="auto"/>
                      <w:highlight w:val="none"/>
                    </w:rPr>
                    <w:t>2.0型</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rPr>
                    <w:t>1个</w:t>
                  </w:r>
                </w:p>
              </w:tc>
              <w:tc>
                <w:tcPr>
                  <w:tcW w:w="1083" w:type="pct"/>
                  <w:vAlign w:val="center"/>
                </w:tcPr>
                <w:p>
                  <w:pPr>
                    <w:spacing w:line="240" w:lineRule="auto"/>
                    <w:ind w:left="-105" w:leftChars="-50" w:right="-105" w:rightChars="-50"/>
                    <w:jc w:val="center"/>
                    <w:rPr>
                      <w:color w:val="auto"/>
                      <w:highlight w:val="none"/>
                    </w:rPr>
                  </w:pPr>
                  <w:r>
                    <w:rPr>
                      <w:color w:val="auto"/>
                      <w:highlight w:val="none"/>
                    </w:rPr>
                    <w:t>辅助设备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vAlign w:val="center"/>
                </w:tcPr>
                <w:p>
                  <w:pPr>
                    <w:spacing w:line="240" w:lineRule="auto"/>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18</w:t>
                  </w:r>
                </w:p>
              </w:tc>
              <w:tc>
                <w:tcPr>
                  <w:tcW w:w="1015" w:type="pct"/>
                  <w:vAlign w:val="center"/>
                </w:tcPr>
                <w:p>
                  <w:pPr>
                    <w:spacing w:line="240" w:lineRule="auto"/>
                    <w:ind w:left="-105" w:leftChars="-50" w:right="-105" w:rightChars="-50"/>
                    <w:jc w:val="center"/>
                    <w:rPr>
                      <w:color w:val="auto"/>
                      <w:highlight w:val="none"/>
                    </w:rPr>
                  </w:pPr>
                  <w:r>
                    <w:rPr>
                      <w:rFonts w:hint="eastAsia"/>
                      <w:color w:val="auto"/>
                      <w:highlight w:val="none"/>
                    </w:rPr>
                    <w:t>成品罐</w:t>
                  </w:r>
                </w:p>
              </w:tc>
              <w:tc>
                <w:tcPr>
                  <w:tcW w:w="803" w:type="pct"/>
                  <w:vAlign w:val="center"/>
                </w:tcPr>
                <w:p>
                  <w:pPr>
                    <w:spacing w:line="240" w:lineRule="auto"/>
                    <w:ind w:left="-105" w:leftChars="-50" w:right="-105" w:rightChars="-50"/>
                    <w:jc w:val="center"/>
                    <w:rPr>
                      <w:color w:val="auto"/>
                      <w:highlight w:val="none"/>
                    </w:rPr>
                  </w:pPr>
                  <w:r>
                    <w:rPr>
                      <w:rFonts w:hint="eastAsia"/>
                      <w:color w:val="auto"/>
                      <w:highlight w:val="none"/>
                    </w:rPr>
                    <w:t>200m</w:t>
                  </w:r>
                  <w:r>
                    <w:rPr>
                      <w:rFonts w:hint="eastAsia"/>
                      <w:color w:val="auto"/>
                      <w:highlight w:val="none"/>
                      <w:vertAlign w:val="superscript"/>
                    </w:rPr>
                    <w:t>3</w:t>
                  </w:r>
                </w:p>
              </w:tc>
              <w:tc>
                <w:tcPr>
                  <w:tcW w:w="682" w:type="pct"/>
                  <w:vAlign w:val="center"/>
                </w:tcPr>
                <w:p>
                  <w:pPr>
                    <w:spacing w:line="240" w:lineRule="auto"/>
                    <w:ind w:left="-105" w:leftChars="-50" w:right="-105" w:rightChars="-50"/>
                    <w:jc w:val="center"/>
                    <w:rPr>
                      <w:color w:val="auto"/>
                      <w:highlight w:val="none"/>
                    </w:rPr>
                  </w:pPr>
                  <w:r>
                    <w:rPr>
                      <w:rFonts w:hint="eastAsia"/>
                      <w:color w:val="auto"/>
                      <w:highlight w:val="none"/>
                      <w:lang w:val="en-US" w:eastAsia="zh-CN"/>
                    </w:rPr>
                    <w:t>2</w:t>
                  </w:r>
                  <w:r>
                    <w:rPr>
                      <w:rFonts w:hint="eastAsia"/>
                      <w:color w:val="auto"/>
                      <w:highlight w:val="none"/>
                    </w:rPr>
                    <w:t>个</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储存成品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vMerge w:val="continue"/>
                  <w:tcBorders>
                    <w:right w:val="single" w:color="auto" w:sz="4" w:space="0"/>
                  </w:tcBorders>
                  <w:vAlign w:val="center"/>
                </w:tcPr>
                <w:p>
                  <w:pPr>
                    <w:spacing w:line="240" w:lineRule="auto"/>
                    <w:ind w:left="-105" w:leftChars="-50" w:right="-105" w:rightChars="-50"/>
                    <w:jc w:val="center"/>
                    <w:rPr>
                      <w:color w:val="auto"/>
                      <w:highlight w:val="none"/>
                    </w:rPr>
                  </w:pPr>
                </w:p>
              </w:tc>
              <w:tc>
                <w:tcPr>
                  <w:tcW w:w="391" w:type="pct"/>
                  <w:vAlign w:val="center"/>
                </w:tcPr>
                <w:p>
                  <w:pPr>
                    <w:spacing w:line="240" w:lineRule="auto"/>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19</w:t>
                  </w:r>
                </w:p>
              </w:tc>
              <w:tc>
                <w:tcPr>
                  <w:tcW w:w="1015" w:type="pct"/>
                  <w:vAlign w:val="center"/>
                </w:tcPr>
                <w:p>
                  <w:pPr>
                    <w:spacing w:line="240" w:lineRule="auto"/>
                    <w:ind w:left="-105" w:leftChars="-50" w:right="-105" w:rightChars="-50"/>
                    <w:jc w:val="center"/>
                    <w:rPr>
                      <w:color w:val="auto"/>
                      <w:highlight w:val="none"/>
                    </w:rPr>
                  </w:pPr>
                  <w:r>
                    <w:rPr>
                      <w:rFonts w:hint="eastAsia"/>
                      <w:color w:val="auto"/>
                      <w:highlight w:val="none"/>
                    </w:rPr>
                    <w:t>半成品罐</w:t>
                  </w:r>
                </w:p>
              </w:tc>
              <w:tc>
                <w:tcPr>
                  <w:tcW w:w="803" w:type="pct"/>
                  <w:vAlign w:val="center"/>
                </w:tcPr>
                <w:p>
                  <w:pPr>
                    <w:spacing w:line="240" w:lineRule="auto"/>
                    <w:ind w:left="-105" w:leftChars="-50" w:right="-105" w:rightChars="-50"/>
                    <w:jc w:val="center"/>
                    <w:rPr>
                      <w:color w:val="auto"/>
                      <w:highlight w:val="none"/>
                    </w:rPr>
                  </w:pPr>
                  <w:r>
                    <w:rPr>
                      <w:rFonts w:hint="eastAsia"/>
                      <w:color w:val="auto"/>
                      <w:highlight w:val="none"/>
                    </w:rPr>
                    <w:t>120m</w:t>
                  </w:r>
                  <w:r>
                    <w:rPr>
                      <w:rFonts w:hint="eastAsia"/>
                      <w:color w:val="auto"/>
                      <w:highlight w:val="none"/>
                      <w:vertAlign w:val="superscript"/>
                    </w:rPr>
                    <w:t>3</w:t>
                  </w:r>
                </w:p>
              </w:tc>
              <w:tc>
                <w:tcPr>
                  <w:tcW w:w="682" w:type="pct"/>
                  <w:vAlign w:val="center"/>
                </w:tcPr>
                <w:p>
                  <w:pPr>
                    <w:spacing w:line="240" w:lineRule="auto"/>
                    <w:ind w:left="-105" w:leftChars="-50" w:right="-105" w:rightChars="-50"/>
                    <w:jc w:val="center"/>
                    <w:rPr>
                      <w:b/>
                      <w:bCs/>
                      <w:color w:val="auto"/>
                      <w:highlight w:val="none"/>
                    </w:rPr>
                  </w:pPr>
                  <w:r>
                    <w:rPr>
                      <w:rFonts w:hint="eastAsia"/>
                      <w:color w:val="auto"/>
                      <w:highlight w:val="none"/>
                      <w:lang w:val="en-US" w:eastAsia="zh-CN"/>
                    </w:rPr>
                    <w:t>1</w:t>
                  </w:r>
                  <w:r>
                    <w:rPr>
                      <w:rFonts w:hint="eastAsia"/>
                      <w:color w:val="auto"/>
                      <w:highlight w:val="none"/>
                    </w:rPr>
                    <w:t>个</w:t>
                  </w:r>
                </w:p>
              </w:tc>
              <w:tc>
                <w:tcPr>
                  <w:tcW w:w="1083" w:type="pct"/>
                  <w:vAlign w:val="center"/>
                </w:tcPr>
                <w:p>
                  <w:pPr>
                    <w:spacing w:line="240" w:lineRule="auto"/>
                    <w:ind w:left="-105" w:leftChars="-50" w:right="-105" w:rightChars="-50"/>
                    <w:jc w:val="center"/>
                    <w:rPr>
                      <w:color w:val="auto"/>
                      <w:highlight w:val="none"/>
                    </w:rPr>
                  </w:pPr>
                  <w:r>
                    <w:rPr>
                      <w:rFonts w:hint="eastAsia"/>
                      <w:color w:val="auto"/>
                      <w:highlight w:val="none"/>
                    </w:rPr>
                    <w:t>储存半成品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tcBorders>
                    <w:right w:val="single" w:color="auto" w:sz="4" w:space="0"/>
                  </w:tcBorders>
                  <w:vAlign w:val="center"/>
                </w:tcPr>
                <w:p>
                  <w:pPr>
                    <w:spacing w:line="240" w:lineRule="auto"/>
                    <w:ind w:left="-105" w:leftChars="-50" w:right="-105" w:rightChars="-50"/>
                    <w:jc w:val="center"/>
                    <w:rPr>
                      <w:rFonts w:hint="eastAsia" w:eastAsia="宋体"/>
                      <w:color w:val="auto"/>
                      <w:highlight w:val="none"/>
                      <w:lang w:eastAsia="zh-CN"/>
                    </w:rPr>
                  </w:pPr>
                  <w:r>
                    <w:rPr>
                      <w:rFonts w:hint="eastAsia"/>
                      <w:color w:val="auto"/>
                      <w:highlight w:val="none"/>
                      <w:lang w:val="en-US" w:eastAsia="zh-CN"/>
                    </w:rPr>
                    <w:t>/</w:t>
                  </w:r>
                </w:p>
              </w:tc>
              <w:tc>
                <w:tcPr>
                  <w:tcW w:w="391" w:type="pct"/>
                  <w:vAlign w:val="center"/>
                </w:tcPr>
                <w:p>
                  <w:pPr>
                    <w:spacing w:line="240" w:lineRule="auto"/>
                    <w:ind w:left="-105" w:leftChars="-50" w:right="-105" w:rightChars="-50"/>
                    <w:jc w:val="center"/>
                    <w:rPr>
                      <w:rFonts w:hint="default"/>
                      <w:color w:val="auto"/>
                      <w:highlight w:val="none"/>
                      <w:lang w:val="en-US" w:eastAsia="zh-CN"/>
                    </w:rPr>
                  </w:pPr>
                  <w:r>
                    <w:rPr>
                      <w:rFonts w:hint="eastAsia"/>
                      <w:color w:val="auto"/>
                      <w:highlight w:val="none"/>
                      <w:lang w:val="en-US" w:eastAsia="zh-CN"/>
                    </w:rPr>
                    <w:t>20</w:t>
                  </w:r>
                </w:p>
              </w:tc>
              <w:tc>
                <w:tcPr>
                  <w:tcW w:w="1015" w:type="pct"/>
                  <w:vAlign w:val="center"/>
                </w:tcPr>
                <w:p>
                  <w:pPr>
                    <w:spacing w:line="240" w:lineRule="auto"/>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鼓风机</w:t>
                  </w:r>
                </w:p>
              </w:tc>
              <w:tc>
                <w:tcPr>
                  <w:tcW w:w="803" w:type="pct"/>
                  <w:vAlign w:val="center"/>
                </w:tcPr>
                <w:p>
                  <w:pPr>
                    <w:spacing w:line="240" w:lineRule="auto"/>
                    <w:ind w:left="-105" w:leftChars="-50" w:right="-105" w:rightChars="-50"/>
                    <w:jc w:val="center"/>
                    <w:rPr>
                      <w:rFonts w:hint="eastAsia" w:eastAsia="宋体"/>
                      <w:color w:val="auto"/>
                      <w:highlight w:val="none"/>
                      <w:lang w:val="en-US" w:eastAsia="zh-CN"/>
                    </w:rPr>
                  </w:pPr>
                  <w:r>
                    <w:rPr>
                      <w:rFonts w:hint="eastAsia"/>
                      <w:color w:val="auto"/>
                      <w:highlight w:val="none"/>
                      <w:lang w:val="en-US" w:eastAsia="zh-CN"/>
                    </w:rPr>
                    <w:t>/</w:t>
                  </w:r>
                </w:p>
              </w:tc>
              <w:tc>
                <w:tcPr>
                  <w:tcW w:w="682" w:type="pct"/>
                  <w:vAlign w:val="center"/>
                </w:tcPr>
                <w:p>
                  <w:pPr>
                    <w:spacing w:line="240" w:lineRule="auto"/>
                    <w:ind w:left="-105" w:leftChars="-50" w:right="-105" w:rightChars="-50"/>
                    <w:jc w:val="center"/>
                    <w:rPr>
                      <w:rFonts w:hint="default" w:eastAsia="宋体"/>
                      <w:color w:val="auto"/>
                      <w:highlight w:val="none"/>
                      <w:lang w:val="en-US" w:eastAsia="zh-CN"/>
                    </w:rPr>
                  </w:pPr>
                  <w:r>
                    <w:rPr>
                      <w:rFonts w:hint="eastAsia"/>
                      <w:color w:val="auto"/>
                      <w:highlight w:val="none"/>
                      <w:lang w:val="en-US" w:eastAsia="zh-CN"/>
                    </w:rPr>
                    <w:t>14个</w:t>
                  </w:r>
                </w:p>
              </w:tc>
              <w:tc>
                <w:tcPr>
                  <w:tcW w:w="1083" w:type="pct"/>
                  <w:vAlign w:val="center"/>
                </w:tcPr>
                <w:p>
                  <w:pPr>
                    <w:spacing w:line="240" w:lineRule="auto"/>
                    <w:ind w:left="-105" w:leftChars="-50" w:right="-105" w:rightChars="-50"/>
                    <w:jc w:val="center"/>
                    <w:rPr>
                      <w:rFonts w:hint="eastAsia" w:eastAsia="宋体"/>
                      <w:color w:val="auto"/>
                      <w:highlight w:val="none"/>
                      <w:lang w:val="en-US" w:eastAsia="zh-CN"/>
                    </w:rPr>
                  </w:pPr>
                  <w:r>
                    <w:rPr>
                      <w:rFonts w:hint="eastAsia"/>
                      <w:color w:val="auto"/>
                      <w:highlight w:val="none"/>
                      <w:lang w:val="en-US" w:eastAsia="zh-CN"/>
                    </w:rPr>
                    <w:t>风机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23" w:type="pct"/>
                  <w:tcBorders>
                    <w:right w:val="single" w:color="auto" w:sz="4" w:space="0"/>
                  </w:tcBorders>
                  <w:vAlign w:val="center"/>
                </w:tcPr>
                <w:p>
                  <w:pPr>
                    <w:spacing w:line="240" w:lineRule="auto"/>
                    <w:ind w:left="-105" w:leftChars="-50" w:right="-105" w:rightChars="-50"/>
                    <w:jc w:val="center"/>
                    <w:rPr>
                      <w:rFonts w:hint="default"/>
                      <w:color w:val="auto"/>
                      <w:highlight w:val="none"/>
                      <w:lang w:val="en-US" w:eastAsia="zh-CN"/>
                    </w:rPr>
                  </w:pPr>
                  <w:r>
                    <w:rPr>
                      <w:rFonts w:hint="eastAsia"/>
                      <w:color w:val="auto"/>
                      <w:highlight w:val="none"/>
                      <w:lang w:val="en-US" w:eastAsia="zh-CN"/>
                    </w:rPr>
                    <w:t>/</w:t>
                  </w:r>
                </w:p>
              </w:tc>
              <w:tc>
                <w:tcPr>
                  <w:tcW w:w="391" w:type="pct"/>
                  <w:vAlign w:val="center"/>
                </w:tcPr>
                <w:p>
                  <w:pPr>
                    <w:spacing w:line="240" w:lineRule="auto"/>
                    <w:ind w:left="-105" w:leftChars="-50" w:right="-105" w:rightChars="-50"/>
                    <w:jc w:val="center"/>
                    <w:rPr>
                      <w:rFonts w:hint="default"/>
                      <w:color w:val="auto"/>
                      <w:highlight w:val="none"/>
                      <w:lang w:val="en-US" w:eastAsia="zh-CN"/>
                    </w:rPr>
                  </w:pPr>
                  <w:r>
                    <w:rPr>
                      <w:rFonts w:hint="eastAsia"/>
                      <w:color w:val="auto"/>
                      <w:highlight w:val="none"/>
                      <w:lang w:val="en-US" w:eastAsia="zh-CN"/>
                    </w:rPr>
                    <w:t>21</w:t>
                  </w:r>
                </w:p>
              </w:tc>
              <w:tc>
                <w:tcPr>
                  <w:tcW w:w="1015" w:type="pct"/>
                  <w:vAlign w:val="center"/>
                </w:tcPr>
                <w:p>
                  <w:pPr>
                    <w:spacing w:line="240" w:lineRule="auto"/>
                    <w:ind w:left="-105" w:leftChars="-50" w:right="-105" w:rightChars="-50"/>
                    <w:jc w:val="center"/>
                    <w:rPr>
                      <w:rFonts w:hint="default"/>
                      <w:color w:val="auto"/>
                      <w:highlight w:val="none"/>
                      <w:lang w:val="en-US" w:eastAsia="zh-CN"/>
                    </w:rPr>
                  </w:pPr>
                  <w:r>
                    <w:rPr>
                      <w:rFonts w:hint="eastAsia"/>
                      <w:color w:val="auto"/>
                      <w:highlight w:val="none"/>
                      <w:lang w:val="en-US" w:eastAsia="zh-CN"/>
                    </w:rPr>
                    <w:t>料斗</w:t>
                  </w:r>
                </w:p>
              </w:tc>
              <w:tc>
                <w:tcPr>
                  <w:tcW w:w="803" w:type="pct"/>
                  <w:vAlign w:val="center"/>
                </w:tcPr>
                <w:p>
                  <w:pPr>
                    <w:spacing w:line="240" w:lineRule="auto"/>
                    <w:ind w:left="-105" w:leftChars="-50" w:right="-105" w:rightChars="-50"/>
                    <w:jc w:val="center"/>
                    <w:rPr>
                      <w:rFonts w:hint="default"/>
                      <w:color w:val="auto"/>
                      <w:highlight w:val="none"/>
                      <w:lang w:val="en-US" w:eastAsia="zh-CN"/>
                    </w:rPr>
                  </w:pPr>
                  <w:r>
                    <w:rPr>
                      <w:rFonts w:hint="eastAsia"/>
                      <w:color w:val="auto"/>
                      <w:highlight w:val="none"/>
                      <w:lang w:val="en-US" w:eastAsia="zh-CN"/>
                    </w:rPr>
                    <w:t>/</w:t>
                  </w:r>
                </w:p>
              </w:tc>
              <w:tc>
                <w:tcPr>
                  <w:tcW w:w="682" w:type="pct"/>
                  <w:vAlign w:val="center"/>
                </w:tcPr>
                <w:p>
                  <w:pPr>
                    <w:spacing w:line="240" w:lineRule="auto"/>
                    <w:ind w:left="-105" w:leftChars="-50" w:right="-105" w:rightChars="-50"/>
                    <w:jc w:val="center"/>
                    <w:rPr>
                      <w:rFonts w:hint="default"/>
                      <w:color w:val="auto"/>
                      <w:highlight w:val="none"/>
                      <w:lang w:val="en-US" w:eastAsia="zh-CN"/>
                    </w:rPr>
                  </w:pPr>
                  <w:r>
                    <w:rPr>
                      <w:rFonts w:hint="eastAsia"/>
                      <w:color w:val="auto"/>
                      <w:highlight w:val="none"/>
                      <w:lang w:val="en-US" w:eastAsia="zh-CN"/>
                    </w:rPr>
                    <w:t>1个</w:t>
                  </w:r>
                </w:p>
              </w:tc>
              <w:tc>
                <w:tcPr>
                  <w:tcW w:w="1083" w:type="pct"/>
                  <w:vAlign w:val="center"/>
                </w:tcPr>
                <w:p>
                  <w:pPr>
                    <w:spacing w:line="240" w:lineRule="auto"/>
                    <w:ind w:left="-105" w:leftChars="-50" w:right="-105" w:rightChars="-50"/>
                    <w:jc w:val="center"/>
                    <w:rPr>
                      <w:rFonts w:hint="default"/>
                      <w:color w:val="auto"/>
                      <w:highlight w:val="none"/>
                      <w:lang w:val="en-US" w:eastAsia="zh-CN"/>
                    </w:rPr>
                  </w:pPr>
                  <w:r>
                    <w:rPr>
                      <w:rFonts w:hint="eastAsia"/>
                      <w:color w:val="auto"/>
                      <w:highlight w:val="none"/>
                      <w:lang w:val="en-US" w:eastAsia="zh-CN"/>
                    </w:rPr>
                    <w:t>投料（共用）</w:t>
                  </w:r>
                </w:p>
              </w:tc>
            </w:tr>
          </w:tbl>
          <w:p>
            <w:pPr>
              <w:ind w:firstLine="422" w:firstLineChars="200"/>
              <w:rPr>
                <w:b/>
                <w:bCs/>
                <w:color w:val="auto"/>
                <w:highlight w:val="none"/>
              </w:rPr>
            </w:pPr>
            <w:r>
              <w:rPr>
                <w:rFonts w:hint="eastAsia"/>
                <w:b/>
                <w:bCs/>
                <w:color w:val="auto"/>
                <w:highlight w:val="none"/>
              </w:rPr>
              <w:t>五、劳动定员和工作制度</w:t>
            </w:r>
          </w:p>
          <w:p>
            <w:pPr>
              <w:ind w:firstLine="420" w:firstLineChars="200"/>
              <w:rPr>
                <w:color w:val="auto"/>
                <w:highlight w:val="none"/>
              </w:rPr>
            </w:pPr>
            <w:r>
              <w:rPr>
                <w:color w:val="auto"/>
                <w:highlight w:val="none"/>
              </w:rPr>
              <w:t>项目员工人数</w:t>
            </w:r>
            <w:r>
              <w:rPr>
                <w:rFonts w:hint="eastAsia"/>
                <w:color w:val="auto"/>
                <w:highlight w:val="none"/>
              </w:rPr>
              <w:t>为10</w:t>
            </w:r>
            <w:r>
              <w:rPr>
                <w:color w:val="auto"/>
                <w:highlight w:val="none"/>
              </w:rPr>
              <w:t>人。本项目工作制度为一班制，每班工作8</w:t>
            </w:r>
            <w:r>
              <w:rPr>
                <w:rFonts w:hint="eastAsia"/>
                <w:color w:val="auto"/>
                <w:highlight w:val="none"/>
              </w:rPr>
              <w:t>小时</w:t>
            </w:r>
            <w:r>
              <w:rPr>
                <w:color w:val="auto"/>
                <w:highlight w:val="none"/>
              </w:rPr>
              <w:t>，年工作300天</w:t>
            </w:r>
            <w:r>
              <w:rPr>
                <w:rFonts w:hint="eastAsia"/>
                <w:color w:val="auto"/>
                <w:highlight w:val="none"/>
              </w:rPr>
              <w:t>，</w:t>
            </w:r>
            <w:r>
              <w:rPr>
                <w:rFonts w:hint="eastAsia"/>
                <w:color w:val="auto"/>
                <w:highlight w:val="none"/>
                <w:lang w:val="en-US" w:eastAsia="zh-CN"/>
              </w:rPr>
              <w:t>夜间不生产，</w:t>
            </w:r>
            <w:r>
              <w:rPr>
                <w:rFonts w:hint="eastAsia"/>
                <w:color w:val="auto"/>
                <w:highlight w:val="none"/>
              </w:rPr>
              <w:t>员工</w:t>
            </w:r>
            <w:r>
              <w:rPr>
                <w:color w:val="auto"/>
                <w:highlight w:val="none"/>
              </w:rPr>
              <w:t>在厂区</w:t>
            </w:r>
            <w:r>
              <w:rPr>
                <w:rFonts w:hint="eastAsia"/>
                <w:color w:val="auto"/>
                <w:highlight w:val="none"/>
              </w:rPr>
              <w:t>内</w:t>
            </w:r>
            <w:r>
              <w:rPr>
                <w:rFonts w:hint="eastAsia"/>
                <w:color w:val="auto"/>
                <w:highlight w:val="none"/>
                <w:lang w:val="en-US" w:eastAsia="zh-CN"/>
              </w:rPr>
              <w:t>吃饭，不住宿</w:t>
            </w:r>
            <w:r>
              <w:rPr>
                <w:rFonts w:hint="eastAsia"/>
                <w:color w:val="auto"/>
                <w:highlight w:val="none"/>
              </w:rPr>
              <w:t>。</w:t>
            </w:r>
          </w:p>
          <w:p>
            <w:pPr>
              <w:adjustRightInd w:val="0"/>
              <w:snapToGrid w:val="0"/>
              <w:ind w:firstLine="422" w:firstLineChars="200"/>
              <w:rPr>
                <w:b/>
                <w:color w:val="auto"/>
                <w:kern w:val="0"/>
                <w:szCs w:val="21"/>
                <w:highlight w:val="none"/>
              </w:rPr>
            </w:pPr>
            <w:r>
              <w:rPr>
                <w:rFonts w:hint="eastAsia"/>
                <w:b/>
                <w:color w:val="auto"/>
                <w:kern w:val="0"/>
                <w:szCs w:val="21"/>
                <w:highlight w:val="none"/>
              </w:rPr>
              <w:t>六、公用工程</w:t>
            </w:r>
          </w:p>
          <w:p>
            <w:pPr>
              <w:adjustRightInd w:val="0"/>
              <w:snapToGrid w:val="0"/>
              <w:ind w:firstLine="422" w:firstLineChars="200"/>
              <w:rPr>
                <w:b/>
                <w:color w:val="auto"/>
                <w:kern w:val="0"/>
                <w:szCs w:val="21"/>
                <w:highlight w:val="none"/>
              </w:rPr>
            </w:pPr>
            <w:r>
              <w:rPr>
                <w:rFonts w:hint="eastAsia"/>
                <w:b/>
                <w:color w:val="auto"/>
                <w:kern w:val="0"/>
                <w:szCs w:val="21"/>
                <w:highlight w:val="none"/>
              </w:rPr>
              <w:t>（1）给排水工程</w:t>
            </w:r>
          </w:p>
          <w:p>
            <w:pPr>
              <w:ind w:firstLine="420" w:firstLineChars="200"/>
              <w:rPr>
                <w:color w:val="auto"/>
                <w:highlight w:val="none"/>
              </w:rPr>
            </w:pPr>
            <w:r>
              <w:rPr>
                <w:color w:val="auto"/>
                <w:highlight w:val="none"/>
              </w:rPr>
              <w:t>本项目用水来自市政自来水。</w:t>
            </w:r>
            <w:r>
              <w:rPr>
                <w:rFonts w:hint="eastAsia"/>
                <w:color w:val="auto"/>
                <w:highlight w:val="none"/>
              </w:rPr>
              <w:t>厂区主要用水为</w:t>
            </w:r>
            <w:r>
              <w:rPr>
                <w:color w:val="auto"/>
                <w:highlight w:val="none"/>
              </w:rPr>
              <w:t>员工生活用水。</w:t>
            </w:r>
          </w:p>
          <w:p>
            <w:pPr>
              <w:ind w:firstLine="420" w:firstLineChars="200"/>
              <w:rPr>
                <w:color w:val="auto"/>
                <w:highlight w:val="none"/>
              </w:rPr>
            </w:pPr>
            <w:r>
              <w:rPr>
                <w:color w:val="auto"/>
                <w:highlight w:val="none"/>
              </w:rPr>
              <w:t>项目雨污分流；</w:t>
            </w:r>
            <w:r>
              <w:rPr>
                <w:rFonts w:hint="eastAsia"/>
                <w:color w:val="auto"/>
                <w:highlight w:val="none"/>
              </w:rPr>
              <w:t>生产过程中生产用水在消化过程中完全消耗，消化器用水部分</w:t>
            </w:r>
            <w:r>
              <w:rPr>
                <w:rFonts w:hint="eastAsia"/>
                <w:color w:val="auto"/>
                <w:highlight w:val="none"/>
                <w:lang w:val="en-US" w:eastAsia="zh-CN"/>
              </w:rPr>
              <w:t>进入</w:t>
            </w:r>
            <w:r>
              <w:rPr>
                <w:rFonts w:hint="eastAsia"/>
                <w:color w:val="auto"/>
                <w:highlight w:val="none"/>
              </w:rPr>
              <w:t>产品</w:t>
            </w:r>
            <w:r>
              <w:rPr>
                <w:rFonts w:hint="eastAsia"/>
                <w:color w:val="auto"/>
                <w:highlight w:val="none"/>
                <w:lang w:val="en-US" w:eastAsia="zh-CN"/>
              </w:rPr>
              <w:t>或损耗</w:t>
            </w:r>
            <w:r>
              <w:rPr>
                <w:rFonts w:hint="eastAsia"/>
                <w:color w:val="auto"/>
                <w:highlight w:val="none"/>
              </w:rPr>
              <w:t>，部分形成水蒸气，无生产废水外排。</w:t>
            </w:r>
          </w:p>
          <w:p>
            <w:pPr>
              <w:ind w:firstLine="420" w:firstLineChars="200"/>
              <w:rPr>
                <w:color w:val="auto"/>
                <w:highlight w:val="none"/>
              </w:rPr>
            </w:pPr>
            <w:r>
              <w:rPr>
                <w:rFonts w:hint="eastAsia"/>
                <w:color w:val="auto"/>
                <w:highlight w:val="none"/>
              </w:rPr>
              <w:t>本项目外排废水主要为员工生活污水，</w:t>
            </w:r>
            <w:r>
              <w:rPr>
                <w:color w:val="auto"/>
                <w:szCs w:val="21"/>
                <w:highlight w:val="none"/>
              </w:rPr>
              <w:t>根据广东省地方标准《用水定额 第3部分：生活》（DB44/T1461.3-2021）</w:t>
            </w:r>
            <w:r>
              <w:rPr>
                <w:rFonts w:hint="eastAsia"/>
                <w:color w:val="auto"/>
                <w:szCs w:val="21"/>
                <w:highlight w:val="none"/>
              </w:rPr>
              <w:t>，</w:t>
            </w:r>
            <w:r>
              <w:rPr>
                <w:rFonts w:hint="eastAsia"/>
                <w:color w:val="auto"/>
                <w:szCs w:val="21"/>
                <w:highlight w:val="none"/>
                <w:lang w:val="en-US" w:eastAsia="zh-CN"/>
              </w:rPr>
              <w:t>有</w:t>
            </w:r>
            <w:r>
              <w:rPr>
                <w:color w:val="auto"/>
                <w:szCs w:val="21"/>
                <w:highlight w:val="none"/>
              </w:rPr>
              <w:t>食堂和浴室</w:t>
            </w:r>
            <w:r>
              <w:rPr>
                <w:rFonts w:hint="eastAsia"/>
                <w:color w:val="auto"/>
                <w:szCs w:val="21"/>
                <w:highlight w:val="none"/>
              </w:rPr>
              <w:t>系数</w:t>
            </w:r>
            <w:r>
              <w:rPr>
                <w:rFonts w:hint="eastAsia"/>
                <w:color w:val="auto"/>
                <w:szCs w:val="21"/>
                <w:highlight w:val="none"/>
                <w:lang w:val="en-US" w:eastAsia="zh-CN"/>
              </w:rPr>
              <w:t>为38</w:t>
            </w:r>
            <w:r>
              <w:rPr>
                <w:color w:val="auto"/>
                <w:szCs w:val="21"/>
                <w:highlight w:val="none"/>
              </w:rPr>
              <w:t>m</w:t>
            </w:r>
            <w:r>
              <w:rPr>
                <w:color w:val="auto"/>
                <w:szCs w:val="21"/>
                <w:highlight w:val="none"/>
                <w:vertAlign w:val="superscript"/>
              </w:rPr>
              <w:t>3</w:t>
            </w:r>
            <w:r>
              <w:rPr>
                <w:color w:val="auto"/>
                <w:szCs w:val="21"/>
                <w:highlight w:val="none"/>
              </w:rPr>
              <w:t>/（人·a），</w:t>
            </w:r>
            <w:r>
              <w:rPr>
                <w:rFonts w:hint="eastAsia"/>
                <w:color w:val="auto"/>
                <w:highlight w:val="none"/>
              </w:rPr>
              <w:t>员工</w:t>
            </w:r>
            <w:r>
              <w:rPr>
                <w:color w:val="auto"/>
                <w:highlight w:val="none"/>
              </w:rPr>
              <w:t>在厂区</w:t>
            </w:r>
            <w:r>
              <w:rPr>
                <w:rFonts w:hint="eastAsia"/>
                <w:color w:val="auto"/>
                <w:highlight w:val="none"/>
              </w:rPr>
              <w:t>内</w:t>
            </w:r>
            <w:r>
              <w:rPr>
                <w:rFonts w:hint="eastAsia"/>
                <w:color w:val="auto"/>
                <w:highlight w:val="none"/>
                <w:lang w:val="en-US" w:eastAsia="zh-CN"/>
              </w:rPr>
              <w:t>吃饭，不住宿，</w:t>
            </w:r>
            <w:r>
              <w:rPr>
                <w:color w:val="auto"/>
                <w:szCs w:val="21"/>
                <w:highlight w:val="none"/>
              </w:rPr>
              <w:t>项目取</w:t>
            </w:r>
            <w:r>
              <w:rPr>
                <w:rFonts w:hint="eastAsia"/>
                <w:color w:val="auto"/>
                <w:szCs w:val="21"/>
                <w:highlight w:val="none"/>
              </w:rPr>
              <w:t>系数</w:t>
            </w:r>
            <w:r>
              <w:rPr>
                <w:rFonts w:hint="eastAsia"/>
                <w:color w:val="auto"/>
                <w:szCs w:val="21"/>
                <w:highlight w:val="none"/>
                <w:lang w:val="en-US" w:eastAsia="zh-CN"/>
              </w:rPr>
              <w:t>的一半，</w:t>
            </w:r>
            <w:r>
              <w:rPr>
                <w:color w:val="auto"/>
                <w:szCs w:val="21"/>
                <w:highlight w:val="none"/>
              </w:rPr>
              <w:t>因此本项目的生活用水定额按1</w:t>
            </w:r>
            <w:r>
              <w:rPr>
                <w:rFonts w:hint="eastAsia"/>
                <w:color w:val="auto"/>
                <w:szCs w:val="21"/>
                <w:highlight w:val="none"/>
                <w:lang w:val="en-US" w:eastAsia="zh-CN"/>
              </w:rPr>
              <w:t>9</w:t>
            </w:r>
            <w:r>
              <w:rPr>
                <w:color w:val="auto"/>
                <w:szCs w:val="21"/>
                <w:highlight w:val="none"/>
              </w:rPr>
              <w:t>m</w:t>
            </w:r>
            <w:r>
              <w:rPr>
                <w:color w:val="auto"/>
                <w:szCs w:val="21"/>
                <w:highlight w:val="none"/>
                <w:vertAlign w:val="superscript"/>
              </w:rPr>
              <w:t>3</w:t>
            </w:r>
            <w:r>
              <w:rPr>
                <w:color w:val="auto"/>
                <w:szCs w:val="21"/>
                <w:highlight w:val="none"/>
              </w:rPr>
              <w:t>/（人·a）计</w:t>
            </w:r>
            <w:r>
              <w:rPr>
                <w:rFonts w:hint="eastAsia"/>
                <w:color w:val="auto"/>
                <w:szCs w:val="21"/>
                <w:highlight w:val="none"/>
                <w:lang w:eastAsia="zh-CN"/>
              </w:rPr>
              <w:t>，</w:t>
            </w:r>
            <w:r>
              <w:rPr>
                <w:color w:val="auto"/>
                <w:szCs w:val="21"/>
                <w:highlight w:val="none"/>
              </w:rPr>
              <w:t>按年工作300天计，</w:t>
            </w:r>
            <w:r>
              <w:rPr>
                <w:color w:val="auto"/>
                <w:highlight w:val="none"/>
              </w:rPr>
              <w:t>则员工用水量约为1</w:t>
            </w:r>
            <w:r>
              <w:rPr>
                <w:rFonts w:hint="eastAsia"/>
                <w:color w:val="auto"/>
                <w:highlight w:val="none"/>
                <w:lang w:val="en-US" w:eastAsia="zh-CN"/>
              </w:rPr>
              <w:t>9</w:t>
            </w:r>
            <w:r>
              <w:rPr>
                <w:color w:val="auto"/>
                <w:highlight w:val="none"/>
              </w:rPr>
              <w:t>0m</w:t>
            </w:r>
            <w:r>
              <w:rPr>
                <w:color w:val="auto"/>
                <w:highlight w:val="none"/>
                <w:vertAlign w:val="superscript"/>
              </w:rPr>
              <w:t>3</w:t>
            </w:r>
            <w:r>
              <w:rPr>
                <w:color w:val="auto"/>
                <w:highlight w:val="none"/>
              </w:rPr>
              <w:t>/a（0.</w:t>
            </w:r>
            <w:r>
              <w:rPr>
                <w:rFonts w:hint="eastAsia"/>
                <w:color w:val="auto"/>
                <w:highlight w:val="none"/>
                <w:lang w:val="en-US" w:eastAsia="zh-CN"/>
              </w:rPr>
              <w:t>63</w:t>
            </w:r>
            <w:r>
              <w:rPr>
                <w:color w:val="auto"/>
                <w:highlight w:val="none"/>
              </w:rPr>
              <w:t>m</w:t>
            </w:r>
            <w:r>
              <w:rPr>
                <w:color w:val="auto"/>
                <w:highlight w:val="none"/>
                <w:vertAlign w:val="superscript"/>
              </w:rPr>
              <w:t>3</w:t>
            </w:r>
            <w:r>
              <w:rPr>
                <w:color w:val="auto"/>
                <w:highlight w:val="none"/>
              </w:rPr>
              <w:t>/d），污染排放系数按0.</w:t>
            </w:r>
            <w:r>
              <w:rPr>
                <w:rFonts w:hint="eastAsia"/>
                <w:color w:val="auto"/>
                <w:highlight w:val="none"/>
                <w:lang w:val="en-US" w:eastAsia="zh-CN"/>
              </w:rPr>
              <w:t>8</w:t>
            </w:r>
            <w:r>
              <w:rPr>
                <w:color w:val="auto"/>
                <w:highlight w:val="none"/>
              </w:rPr>
              <w:t>计，则生活污水产生量为1</w:t>
            </w:r>
            <w:r>
              <w:rPr>
                <w:rFonts w:hint="eastAsia"/>
                <w:color w:val="auto"/>
                <w:highlight w:val="none"/>
                <w:lang w:val="en-US" w:eastAsia="zh-CN"/>
              </w:rPr>
              <w:t>52</w:t>
            </w:r>
            <w:r>
              <w:rPr>
                <w:color w:val="auto"/>
                <w:highlight w:val="none"/>
              </w:rPr>
              <w:t>m</w:t>
            </w:r>
            <w:r>
              <w:rPr>
                <w:color w:val="auto"/>
                <w:highlight w:val="none"/>
                <w:vertAlign w:val="superscript"/>
              </w:rPr>
              <w:t>3</w:t>
            </w:r>
            <w:r>
              <w:rPr>
                <w:color w:val="auto"/>
                <w:highlight w:val="none"/>
              </w:rPr>
              <w:t>/a（0.</w:t>
            </w:r>
            <w:r>
              <w:rPr>
                <w:rFonts w:hint="eastAsia"/>
                <w:color w:val="auto"/>
                <w:highlight w:val="none"/>
                <w:lang w:val="en-US" w:eastAsia="zh-CN"/>
              </w:rPr>
              <w:t>504</w:t>
            </w:r>
            <w:r>
              <w:rPr>
                <w:color w:val="auto"/>
                <w:highlight w:val="none"/>
              </w:rPr>
              <w:t>m</w:t>
            </w:r>
            <w:r>
              <w:rPr>
                <w:color w:val="auto"/>
                <w:highlight w:val="none"/>
                <w:vertAlign w:val="superscript"/>
              </w:rPr>
              <w:t>3</w:t>
            </w:r>
            <w:r>
              <w:rPr>
                <w:color w:val="auto"/>
                <w:highlight w:val="none"/>
              </w:rPr>
              <w:t>/d）。</w:t>
            </w:r>
            <w:r>
              <w:rPr>
                <w:rFonts w:hint="eastAsia"/>
                <w:color w:val="auto"/>
                <w:highlight w:val="none"/>
              </w:rPr>
              <w:t>项目范围未纳入污水处理厂纳污管网范围，生活污水经化粪池、隔油隔渣池预处理后，回用于厂区绿化，不外排。</w:t>
            </w:r>
          </w:p>
          <w:p>
            <w:pPr>
              <w:pStyle w:val="13"/>
              <w:ind w:left="0" w:firstLine="0" w:firstLineChars="0"/>
              <w:jc w:val="center"/>
              <w:rPr>
                <w:color w:val="auto"/>
                <w:kern w:val="0"/>
                <w:sz w:val="20"/>
                <w:highlight w:val="none"/>
              </w:rPr>
            </w:pPr>
            <w:r>
              <w:rPr>
                <w:color w:val="auto"/>
                <w:highlight w:val="none"/>
              </w:rPr>
              <w:object>
                <v:shape id="_x0000_i1025" o:spt="75" type="#_x0000_t75" style="height:114.85pt;width:323.1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pStyle w:val="46"/>
              <w:numPr>
                <w:ilvl w:val="0"/>
                <w:numId w:val="6"/>
              </w:numPr>
              <w:spacing w:line="240" w:lineRule="auto"/>
              <w:ind w:left="0" w:firstLine="0" w:firstLineChars="0"/>
              <w:jc w:val="center"/>
              <w:rPr>
                <w:b/>
                <w:color w:val="auto"/>
                <w:kern w:val="0"/>
                <w:szCs w:val="21"/>
                <w:highlight w:val="none"/>
              </w:rPr>
            </w:pPr>
            <w:r>
              <w:rPr>
                <w:rFonts w:hint="eastAsia"/>
                <w:b/>
                <w:color w:val="auto"/>
                <w:kern w:val="0"/>
                <w:szCs w:val="21"/>
                <w:highlight w:val="none"/>
              </w:rPr>
              <w:t xml:space="preserve"> 本项目水平衡图（单位：t/a）</w:t>
            </w:r>
          </w:p>
          <w:p>
            <w:pPr>
              <w:adjustRightInd w:val="0"/>
              <w:snapToGrid w:val="0"/>
              <w:ind w:firstLine="422" w:firstLineChars="200"/>
              <w:rPr>
                <w:b/>
                <w:color w:val="auto"/>
                <w:kern w:val="0"/>
                <w:szCs w:val="21"/>
                <w:highlight w:val="none"/>
              </w:rPr>
            </w:pPr>
            <w:r>
              <w:rPr>
                <w:rFonts w:hint="eastAsia"/>
                <w:b/>
                <w:color w:val="auto"/>
                <w:kern w:val="0"/>
                <w:szCs w:val="21"/>
                <w:highlight w:val="none"/>
              </w:rPr>
              <w:t>（2）供电工程</w:t>
            </w:r>
          </w:p>
          <w:p>
            <w:pPr>
              <w:adjustRightInd w:val="0"/>
              <w:snapToGrid w:val="0"/>
              <w:ind w:firstLine="420" w:firstLineChars="200"/>
              <w:rPr>
                <w:bCs/>
                <w:color w:val="auto"/>
                <w:szCs w:val="21"/>
                <w:highlight w:val="none"/>
              </w:rPr>
            </w:pPr>
            <w:r>
              <w:rPr>
                <w:rFonts w:hint="eastAsia"/>
                <w:bCs/>
                <w:color w:val="auto"/>
                <w:szCs w:val="21"/>
                <w:highlight w:val="none"/>
              </w:rPr>
              <w:t>本项目用电由当地市政电网供应，年用电量约100万kW•h，不设备用发电机。</w:t>
            </w:r>
          </w:p>
          <w:p>
            <w:pPr>
              <w:pStyle w:val="46"/>
              <w:numPr>
                <w:ilvl w:val="0"/>
                <w:numId w:val="7"/>
              </w:numPr>
              <w:ind w:firstLine="422"/>
              <w:jc w:val="both"/>
              <w:rPr>
                <w:b/>
                <w:color w:val="auto"/>
                <w:kern w:val="0"/>
                <w:szCs w:val="21"/>
                <w:highlight w:val="none"/>
              </w:rPr>
            </w:pPr>
            <w:r>
              <w:rPr>
                <w:rFonts w:hint="eastAsia"/>
                <w:b/>
                <w:color w:val="auto"/>
                <w:kern w:val="0"/>
                <w:szCs w:val="21"/>
                <w:highlight w:val="none"/>
              </w:rPr>
              <w:t>厂区平面布置</w:t>
            </w:r>
          </w:p>
          <w:p>
            <w:pPr>
              <w:pStyle w:val="46"/>
              <w:jc w:val="both"/>
              <w:rPr>
                <w:color w:val="auto"/>
                <w:szCs w:val="21"/>
                <w:highlight w:val="none"/>
              </w:rPr>
            </w:pPr>
            <w:r>
              <w:rPr>
                <w:rFonts w:hint="eastAsia"/>
                <w:bCs/>
                <w:color w:val="auto"/>
                <w:kern w:val="0"/>
                <w:szCs w:val="21"/>
                <w:highlight w:val="none"/>
              </w:rPr>
              <w:t>项目位于</w:t>
            </w:r>
            <w:r>
              <w:rPr>
                <w:rFonts w:hint="eastAsia"/>
                <w:color w:val="auto"/>
                <w:szCs w:val="21"/>
                <w:highlight w:val="none"/>
              </w:rPr>
              <w:t>清远市清新区龙颈镇珠坑村委会牛掩村自编001号，厂区布置为生产车间、原料堆料仓、成品罐区、半成品罐区、固废暂存间、办公区、门卫室、停车棚。</w:t>
            </w:r>
            <w:r>
              <w:rPr>
                <w:rFonts w:hint="eastAsia"/>
                <w:color w:val="auto"/>
                <w:highlight w:val="none"/>
              </w:rPr>
              <w:t>项目</w:t>
            </w:r>
            <w:r>
              <w:rPr>
                <w:rFonts w:hint="eastAsia"/>
                <w:color w:val="auto"/>
                <w:highlight w:val="none"/>
                <w:lang w:val="en-US" w:eastAsia="zh-CN"/>
              </w:rPr>
              <w:t>四至</w:t>
            </w:r>
            <w:r>
              <w:rPr>
                <w:rFonts w:hint="eastAsia"/>
                <w:color w:val="auto"/>
                <w:highlight w:val="none"/>
              </w:rPr>
              <w:t>见附图2</w:t>
            </w:r>
            <w:r>
              <w:rPr>
                <w:rFonts w:hint="eastAsia"/>
                <w:color w:val="auto"/>
                <w:highlight w:val="none"/>
                <w:lang w:eastAsia="zh-CN"/>
              </w:rPr>
              <w:t>，</w:t>
            </w:r>
            <w:r>
              <w:rPr>
                <w:rFonts w:hint="eastAsia"/>
                <w:color w:val="auto"/>
                <w:highlight w:val="none"/>
              </w:rPr>
              <w:t>平面布置见附图</w:t>
            </w:r>
            <w:r>
              <w:rPr>
                <w:rFonts w:hint="eastAsia"/>
                <w:color w:val="auto"/>
                <w:highlight w:val="none"/>
                <w:lang w:val="en-US" w:eastAsia="zh-CN"/>
              </w:rPr>
              <w:t>3</w:t>
            </w:r>
            <w:r>
              <w:rPr>
                <w:rFonts w:hint="eastAsia"/>
                <w:color w:val="auto"/>
                <w:highlight w:val="none"/>
              </w:rPr>
              <w:t>。</w:t>
            </w:r>
          </w:p>
          <w:p>
            <w:pPr>
              <w:pStyle w:val="46"/>
              <w:jc w:val="both"/>
              <w:rPr>
                <w:color w:val="auto"/>
                <w:szCs w:val="21"/>
                <w:highlight w:val="none"/>
              </w:rPr>
            </w:pPr>
            <w:r>
              <w:rPr>
                <w:rFonts w:hint="eastAsia"/>
                <w:color w:val="auto"/>
                <w:highlight w:val="none"/>
              </w:rPr>
              <w:t>本</w:t>
            </w:r>
            <w:r>
              <w:rPr>
                <w:rFonts w:hint="eastAsia" w:cs="宋体"/>
                <w:bCs/>
                <w:color w:val="auto"/>
                <w:highlight w:val="none"/>
              </w:rPr>
              <w:t>项目</w:t>
            </w:r>
            <w:r>
              <w:rPr>
                <w:rFonts w:hint="eastAsia" w:cs="宋体"/>
                <w:bCs/>
                <w:color w:val="auto"/>
                <w:highlight w:val="none"/>
                <w:lang w:val="en-US" w:eastAsia="zh-CN"/>
              </w:rPr>
              <w:t>东面、北面</w:t>
            </w:r>
            <w:r>
              <w:rPr>
                <w:rFonts w:hint="eastAsia" w:cs="宋体"/>
                <w:bCs/>
                <w:color w:val="auto"/>
                <w:highlight w:val="none"/>
              </w:rPr>
              <w:t>均为山林，</w:t>
            </w:r>
            <w:r>
              <w:rPr>
                <w:rFonts w:hint="eastAsia" w:cs="宋体"/>
                <w:bCs/>
                <w:color w:val="auto"/>
                <w:highlight w:val="none"/>
                <w:lang w:val="en-US" w:eastAsia="zh-CN"/>
              </w:rPr>
              <w:t>南面为</w:t>
            </w:r>
            <w:r>
              <w:rPr>
                <w:rFonts w:hint="eastAsia"/>
                <w:bCs/>
                <w:color w:val="auto"/>
                <w:kern w:val="0"/>
                <w:szCs w:val="21"/>
                <w:highlight w:val="none"/>
              </w:rPr>
              <w:t>清远市展鸿环保科技有限公司</w:t>
            </w:r>
            <w:r>
              <w:rPr>
                <w:rFonts w:hint="eastAsia"/>
                <w:bCs/>
                <w:color w:val="auto"/>
                <w:kern w:val="0"/>
                <w:szCs w:val="21"/>
                <w:highlight w:val="none"/>
                <w:lang w:eastAsia="zh-CN"/>
              </w:rPr>
              <w:t>，</w:t>
            </w:r>
            <w:r>
              <w:rPr>
                <w:rFonts w:hint="eastAsia" w:cs="宋体"/>
                <w:bCs/>
                <w:color w:val="auto"/>
                <w:highlight w:val="none"/>
              </w:rPr>
              <w:t>西面距离G107清连高速50m</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288" w:lineRule="auto"/>
              <w:jc w:val="center"/>
              <w:rPr>
                <w:color w:val="auto"/>
                <w:kern w:val="0"/>
                <w:sz w:val="20"/>
                <w:szCs w:val="21"/>
                <w:highlight w:val="none"/>
              </w:rPr>
            </w:pPr>
            <w:r>
              <w:rPr>
                <w:rFonts w:hint="eastAsia"/>
                <w:color w:val="auto"/>
                <w:kern w:val="0"/>
                <w:szCs w:val="21"/>
                <w:highlight w:val="none"/>
              </w:rPr>
              <w:t>工艺流程和产污环节</w:t>
            </w:r>
          </w:p>
        </w:tc>
        <w:tc>
          <w:tcPr>
            <w:tcW w:w="7621" w:type="dxa"/>
            <w:tcBorders>
              <w:bottom w:val="single" w:color="auto" w:sz="4" w:space="0"/>
            </w:tcBorders>
          </w:tcPr>
          <w:p>
            <w:pPr>
              <w:ind w:firstLine="420" w:firstLineChars="200"/>
              <w:jc w:val="both"/>
              <w:rPr>
                <w:color w:val="auto"/>
                <w:highlight w:val="none"/>
              </w:rPr>
            </w:pPr>
            <w:bookmarkStart w:id="2" w:name="_Hlk79397784"/>
            <w:r>
              <w:rPr>
                <w:rFonts w:hint="eastAsia"/>
                <w:color w:val="auto"/>
                <w:highlight w:val="none"/>
              </w:rPr>
              <w:t>本项目产品为氢氧化钙、氧化钙，</w:t>
            </w:r>
            <w:bookmarkEnd w:id="2"/>
            <w:r>
              <w:rPr>
                <w:rFonts w:hint="eastAsia"/>
                <w:color w:val="auto"/>
                <w:highlight w:val="none"/>
              </w:rPr>
              <w:t>生产工艺流程如下：</w:t>
            </w:r>
          </w:p>
          <w:p>
            <w:pPr>
              <w:spacing w:line="240" w:lineRule="auto"/>
              <w:ind w:firstLine="422" w:firstLineChars="200"/>
              <w:jc w:val="both"/>
              <w:rPr>
                <w:b/>
                <w:bCs/>
                <w:color w:val="auto"/>
                <w:highlight w:val="none"/>
              </w:rPr>
            </w:pPr>
            <w:r>
              <w:rPr>
                <w:rFonts w:hint="eastAsia"/>
                <w:b/>
                <w:bCs/>
                <w:color w:val="auto"/>
                <w:highlight w:val="none"/>
              </w:rPr>
              <w:t>工艺流程：</w:t>
            </w:r>
          </w:p>
          <w:p>
            <w:pPr>
              <w:pStyle w:val="2"/>
              <w:ind w:firstLine="422" w:firstLineChars="200"/>
              <w:rPr>
                <w:b/>
                <w:bCs/>
                <w:color w:val="auto"/>
                <w:highlight w:val="none"/>
              </w:rPr>
            </w:pPr>
            <w:r>
              <w:rPr>
                <w:rFonts w:hint="eastAsia"/>
                <w:b/>
                <w:bCs/>
                <w:color w:val="auto"/>
                <w:highlight w:val="none"/>
              </w:rPr>
              <w:t>1、氢氧化钙</w:t>
            </w:r>
          </w:p>
          <w:p>
            <w:pPr>
              <w:pStyle w:val="4"/>
              <w:spacing w:line="240" w:lineRule="auto"/>
              <w:ind w:firstLine="0"/>
              <w:jc w:val="center"/>
              <w:rPr>
                <w:rFonts w:hint="default"/>
                <w:color w:val="auto"/>
                <w:highlight w:val="none"/>
              </w:rPr>
            </w:pPr>
            <w:r>
              <w:rPr>
                <w:color w:val="auto"/>
                <w:highlight w:val="none"/>
              </w:rPr>
              <w:object>
                <v:shape id="_x0000_i1026" o:spt="75" type="#_x0000_t75" style="height:100.45pt;width:378.6pt;" o:ole="t" filled="f" o:preferrelative="t" stroked="f" coordsize="21600,21600">
                  <v:path/>
                  <v:fill on="f" focussize="0,0"/>
                  <v:stroke on="f"/>
                  <v:imagedata r:id="rId11" cropleft="2000f" o:title=""/>
                  <o:lock v:ext="edit" aspectratio="t"/>
                  <w10:wrap type="none"/>
                  <w10:anchorlock/>
                </v:shape>
                <o:OLEObject Type="Embed" ProgID="Visio.Drawing.11" ShapeID="_x0000_i1026" DrawAspect="Content" ObjectID="_1468075726" r:id="rId10">
                  <o:LockedField>false</o:LockedField>
                </o:OLEObject>
              </w:object>
            </w:r>
            <w:r>
              <w:rPr>
                <w:rFonts w:hint="default" w:ascii="Times New Roman" w:hAnsi="Times New Roman" w:eastAsia="宋体" w:cs="宋体"/>
                <w:b/>
                <w:bCs/>
                <w:color w:val="auto"/>
                <w:kern w:val="2"/>
                <w:sz w:val="21"/>
                <w:szCs w:val="24"/>
                <w:highlight w:val="none"/>
                <w:lang w:val="en-US" w:eastAsia="zh-CN" w:bidi="ar-SA"/>
              </w:rPr>
              <w:t>图2 氢氧化钙生产工艺流程图</w:t>
            </w:r>
          </w:p>
          <w:p>
            <w:pPr>
              <w:adjustRightInd w:val="0"/>
              <w:snapToGrid w:val="0"/>
              <w:ind w:firstLine="420" w:firstLineChars="200"/>
              <w:jc w:val="both"/>
              <w:rPr>
                <w:rFonts w:hint="eastAsia" w:eastAsia="宋体"/>
                <w:color w:val="auto"/>
                <w:highlight w:val="none"/>
                <w:lang w:val="en-US" w:eastAsia="zh-CN"/>
              </w:rPr>
            </w:pPr>
            <w:r>
              <w:rPr>
                <w:rFonts w:hint="eastAsia"/>
                <w:color w:val="auto"/>
                <w:highlight w:val="none"/>
                <w:lang w:val="en-US" w:eastAsia="zh-CN"/>
              </w:rPr>
              <w:t>物料平衡：</w:t>
            </w:r>
          </w:p>
          <w:p>
            <w:pPr>
              <w:pStyle w:val="4"/>
              <w:spacing w:line="240" w:lineRule="auto"/>
              <w:ind w:firstLine="0"/>
              <w:jc w:val="center"/>
              <w:rPr>
                <w:rFonts w:hint="default"/>
                <w:color w:val="auto"/>
                <w:highlight w:val="none"/>
                <w:lang w:val="en-US"/>
              </w:rPr>
            </w:pPr>
            <w:r>
              <w:rPr>
                <w:color w:val="auto"/>
                <w:highlight w:val="none"/>
              </w:rPr>
              <w:object>
                <v:shape id="_x0000_i1027" o:spt="75" type="#_x0000_t75" style="height:99.75pt;width:376.4pt;" o:ole="t" filled="f" o:preferrelative="t" stroked="f" coordsize="21600,21600">
                  <v:path/>
                  <v:fill on="f" focussize="0,0"/>
                  <v:stroke on="f"/>
                  <v:imagedata r:id="rId13" cropleft="2000f" o:title=""/>
                  <o:lock v:ext="edit" aspectratio="t"/>
                  <w10:wrap type="none"/>
                  <w10:anchorlock/>
                </v:shape>
                <o:OLEObject Type="Embed" ProgID="Visio.Drawing.11" ShapeID="_x0000_i1027" DrawAspect="Content" ObjectID="_1468075727" r:id="rId12">
                  <o:LockedField>false</o:LockedField>
                </o:OLEObject>
              </w:object>
            </w:r>
            <w:r>
              <w:rPr>
                <w:rFonts w:hint="default" w:ascii="Times New Roman" w:hAnsi="Times New Roman" w:eastAsia="宋体" w:cs="宋体"/>
                <w:b/>
                <w:bCs/>
                <w:color w:val="auto"/>
                <w:kern w:val="2"/>
                <w:sz w:val="21"/>
                <w:szCs w:val="24"/>
                <w:highlight w:val="none"/>
                <w:lang w:val="en-US" w:eastAsia="zh-CN" w:bidi="ar-SA"/>
              </w:rPr>
              <w:t>图</w:t>
            </w:r>
            <w:r>
              <w:rPr>
                <w:rFonts w:hint="eastAsia" w:ascii="Times New Roman" w:hAnsi="Times New Roman" w:eastAsia="宋体" w:cs="宋体"/>
                <w:b/>
                <w:bCs/>
                <w:color w:val="auto"/>
                <w:kern w:val="2"/>
                <w:sz w:val="21"/>
                <w:szCs w:val="24"/>
                <w:highlight w:val="none"/>
                <w:lang w:val="en-US" w:eastAsia="zh-CN" w:bidi="ar-SA"/>
              </w:rPr>
              <w:t>3</w:t>
            </w:r>
            <w:r>
              <w:rPr>
                <w:rFonts w:hint="default" w:ascii="Times New Roman" w:hAnsi="Times New Roman" w:eastAsia="宋体" w:cs="宋体"/>
                <w:b/>
                <w:bCs/>
                <w:color w:val="auto"/>
                <w:kern w:val="2"/>
                <w:sz w:val="21"/>
                <w:szCs w:val="24"/>
                <w:highlight w:val="none"/>
                <w:lang w:val="en-US" w:eastAsia="zh-CN" w:bidi="ar-SA"/>
              </w:rPr>
              <w:t xml:space="preserve"> 氢氧化钙物料平衡图</w:t>
            </w:r>
            <w:r>
              <w:rPr>
                <w:rFonts w:hint="eastAsia" w:ascii="Times New Roman" w:hAnsi="Times New Roman" w:eastAsia="宋体" w:cs="宋体"/>
                <w:b/>
                <w:bCs/>
                <w:color w:val="auto"/>
                <w:kern w:val="2"/>
                <w:sz w:val="21"/>
                <w:szCs w:val="24"/>
                <w:highlight w:val="none"/>
                <w:lang w:val="en-US" w:eastAsia="zh-CN" w:bidi="ar-SA"/>
              </w:rPr>
              <w:t>（单位：t/a）</w:t>
            </w:r>
          </w:p>
          <w:p>
            <w:pPr>
              <w:adjustRightInd w:val="0"/>
              <w:snapToGrid w:val="0"/>
              <w:ind w:firstLine="422" w:firstLineChars="200"/>
              <w:jc w:val="both"/>
              <w:rPr>
                <w:b/>
                <w:bCs/>
                <w:color w:val="auto"/>
                <w:highlight w:val="none"/>
              </w:rPr>
            </w:pPr>
            <w:r>
              <w:rPr>
                <w:rFonts w:hint="eastAsia"/>
                <w:b/>
                <w:bCs/>
                <w:color w:val="auto"/>
                <w:highlight w:val="none"/>
              </w:rPr>
              <w:t>工艺流程说明：</w:t>
            </w:r>
          </w:p>
          <w:p>
            <w:pPr>
              <w:widowControl w:val="0"/>
              <w:adjustRightInd w:val="0"/>
              <w:snapToGrid w:val="0"/>
              <w:ind w:firstLine="420" w:firstLineChars="200"/>
              <w:rPr>
                <w:color w:val="auto"/>
                <w:highlight w:val="none"/>
              </w:rPr>
            </w:pPr>
            <w:r>
              <w:rPr>
                <w:rFonts w:hint="eastAsia"/>
                <w:color w:val="auto"/>
                <w:highlight w:val="none"/>
              </w:rPr>
              <w:t xml:space="preserve">投料：将石灰石用铲车经振动给料器投料至料斗，该过程会产生粉尘。 </w:t>
            </w:r>
          </w:p>
          <w:p>
            <w:pPr>
              <w:widowControl w:val="0"/>
              <w:adjustRightInd w:val="0"/>
              <w:snapToGrid w:val="0"/>
              <w:ind w:firstLine="420" w:firstLineChars="200"/>
              <w:rPr>
                <w:color w:val="auto"/>
                <w:highlight w:val="none"/>
              </w:rPr>
            </w:pPr>
            <w:r>
              <w:rPr>
                <w:rFonts w:hint="eastAsia"/>
                <w:color w:val="auto"/>
                <w:highlight w:val="none"/>
              </w:rPr>
              <w:t>破碎：将石灰石块通过破碎机破碎成10mm-30mm的颗粒物状，</w:t>
            </w:r>
            <w:r>
              <w:rPr>
                <w:rFonts w:hint="eastAsia"/>
                <w:color w:val="auto"/>
                <w:highlight w:val="none"/>
                <w:lang w:val="en-US" w:eastAsia="zh-CN"/>
              </w:rPr>
              <w:t>破碎会产生粉尘，由于</w:t>
            </w:r>
            <w:r>
              <w:rPr>
                <w:rFonts w:hint="eastAsia"/>
                <w:color w:val="auto"/>
                <w:highlight w:val="none"/>
              </w:rPr>
              <w:t>破碎机为密闭，</w:t>
            </w:r>
            <w:r>
              <w:rPr>
                <w:rFonts w:hint="eastAsia"/>
                <w:color w:val="auto"/>
                <w:highlight w:val="none"/>
                <w:lang w:val="en-US" w:eastAsia="zh-CN"/>
              </w:rPr>
              <w:t>粉尘在破碎机沉降，</w:t>
            </w:r>
            <w:r>
              <w:rPr>
                <w:rFonts w:hint="eastAsia"/>
                <w:color w:val="auto"/>
                <w:highlight w:val="none"/>
              </w:rPr>
              <w:t>产生</w:t>
            </w:r>
            <w:r>
              <w:rPr>
                <w:rFonts w:hint="eastAsia"/>
                <w:color w:val="auto"/>
                <w:highlight w:val="none"/>
                <w:lang w:val="en-US" w:eastAsia="zh-CN"/>
              </w:rPr>
              <w:t>的</w:t>
            </w:r>
            <w:r>
              <w:rPr>
                <w:rFonts w:hint="eastAsia"/>
                <w:color w:val="auto"/>
                <w:highlight w:val="none"/>
              </w:rPr>
              <w:t>粉尘</w:t>
            </w:r>
            <w:r>
              <w:rPr>
                <w:rFonts w:hint="eastAsia"/>
                <w:color w:val="auto"/>
                <w:highlight w:val="none"/>
                <w:lang w:val="en-US" w:eastAsia="zh-CN"/>
              </w:rPr>
              <w:t>沉降后进入下一道工序</w:t>
            </w:r>
            <w:r>
              <w:rPr>
                <w:rFonts w:hint="eastAsia"/>
                <w:color w:val="auto"/>
                <w:highlight w:val="none"/>
              </w:rPr>
              <w:t xml:space="preserve">，该过程会产生噪声。 </w:t>
            </w:r>
          </w:p>
          <w:p>
            <w:pPr>
              <w:widowControl w:val="0"/>
              <w:adjustRightInd w:val="0"/>
              <w:snapToGrid w:val="0"/>
              <w:ind w:firstLine="420" w:firstLineChars="200"/>
              <w:rPr>
                <w:color w:val="auto"/>
                <w:highlight w:val="none"/>
              </w:rPr>
            </w:pPr>
            <w:r>
              <w:rPr>
                <w:rFonts w:hint="eastAsia"/>
                <w:color w:val="auto"/>
                <w:highlight w:val="none"/>
              </w:rPr>
              <w:t>提升1</w:t>
            </w:r>
            <w:r>
              <w:rPr>
                <w:rFonts w:hint="eastAsia"/>
                <w:color w:val="auto"/>
                <w:highlight w:val="none"/>
                <w:lang w:val="en-US" w:eastAsia="zh-CN"/>
              </w:rPr>
              <w:t>#</w:t>
            </w:r>
            <w:r>
              <w:rPr>
                <w:rFonts w:hint="eastAsia"/>
                <w:color w:val="auto"/>
                <w:highlight w:val="none"/>
              </w:rPr>
              <w:t xml:space="preserve">：将破碎后的石灰通过提升机提升至原料罐，经皮带输送至消化器。 </w:t>
            </w:r>
          </w:p>
          <w:p>
            <w:pPr>
              <w:widowControl w:val="0"/>
              <w:adjustRightInd w:val="0"/>
              <w:snapToGrid w:val="0"/>
              <w:ind w:firstLine="420" w:firstLineChars="200"/>
              <w:rPr>
                <w:color w:val="auto"/>
                <w:highlight w:val="none"/>
              </w:rPr>
            </w:pPr>
            <w:r>
              <w:rPr>
                <w:rFonts w:hint="eastAsia"/>
                <w:color w:val="auto"/>
                <w:highlight w:val="none"/>
              </w:rPr>
              <w:t>消化器：将输入的石灰颗粒物加水搅拌均匀进行消化。消化器由三个消化器和两个脉冲布袋除尘器组成，第一级消化为石灰和水（比例为1：3.5）混合产生化学反应产生出氢氧化钙，放出大量热量，化学方程式：CaO+H</w:t>
            </w:r>
            <w:r>
              <w:rPr>
                <w:rFonts w:hint="eastAsia"/>
                <w:color w:val="auto"/>
                <w:highlight w:val="none"/>
                <w:vertAlign w:val="subscript"/>
              </w:rPr>
              <w:t>2</w:t>
            </w:r>
            <w:r>
              <w:rPr>
                <w:rFonts w:hint="eastAsia"/>
                <w:color w:val="auto"/>
                <w:highlight w:val="none"/>
              </w:rPr>
              <w:t>O=Ca(OH)</w:t>
            </w:r>
            <w:r>
              <w:rPr>
                <w:rFonts w:hint="eastAsia"/>
                <w:color w:val="auto"/>
                <w:highlight w:val="none"/>
                <w:vertAlign w:val="subscript"/>
              </w:rPr>
              <w:t>2</w:t>
            </w:r>
            <w:r>
              <w:rPr>
                <w:rFonts w:hint="eastAsia"/>
                <w:color w:val="auto"/>
                <w:highlight w:val="none"/>
              </w:rPr>
              <w:t xml:space="preserve">。经混合和初步消化的物料逐步流入二级消化器，在此得到进一步的消化。三级消化后，物料在此被完全消化，吸收剩余水分降低物料温度。消化时产生的大量热气会附带氢氧化钙粉尘，该过程会产生粉尘、噪声。 </w:t>
            </w:r>
          </w:p>
          <w:p>
            <w:pPr>
              <w:widowControl w:val="0"/>
              <w:adjustRightInd w:val="0"/>
              <w:snapToGrid w:val="0"/>
              <w:ind w:firstLine="420" w:firstLineChars="200"/>
              <w:rPr>
                <w:color w:val="auto"/>
                <w:highlight w:val="none"/>
              </w:rPr>
            </w:pPr>
            <w:r>
              <w:rPr>
                <w:rFonts w:hint="eastAsia"/>
                <w:color w:val="auto"/>
                <w:highlight w:val="none"/>
              </w:rPr>
              <w:t>提升2</w:t>
            </w:r>
            <w:r>
              <w:rPr>
                <w:rFonts w:hint="eastAsia"/>
                <w:color w:val="auto"/>
                <w:highlight w:val="none"/>
                <w:lang w:val="en-US" w:eastAsia="zh-CN"/>
              </w:rPr>
              <w:t>#</w:t>
            </w:r>
            <w:r>
              <w:rPr>
                <w:rFonts w:hint="eastAsia"/>
                <w:color w:val="auto"/>
                <w:highlight w:val="none"/>
              </w:rPr>
              <w:t xml:space="preserve">：将消化后的氢氧化钙粉提升到半成品罐中。 </w:t>
            </w:r>
          </w:p>
          <w:p>
            <w:pPr>
              <w:widowControl w:val="0"/>
              <w:adjustRightInd w:val="0"/>
              <w:snapToGrid w:val="0"/>
              <w:ind w:firstLine="420" w:firstLineChars="200"/>
              <w:rPr>
                <w:rFonts w:hint="eastAsia"/>
                <w:color w:val="auto"/>
                <w:highlight w:val="none"/>
              </w:rPr>
            </w:pPr>
            <w:r>
              <w:rPr>
                <w:rFonts w:hint="eastAsia"/>
                <w:color w:val="auto"/>
                <w:highlight w:val="none"/>
              </w:rPr>
              <w:t>风选研磨：氢氧化钙粉经给料螺旋输送到磨机中进行风选研磨，氢氧化钙粉通过雷蒙磨机加工成细粉状，目数：325-450目；根据产品的用途可调节细度（目数），磨机自带离心高压风机，产生</w:t>
            </w:r>
            <w:r>
              <w:rPr>
                <w:rFonts w:hint="eastAsia"/>
                <w:color w:val="auto"/>
                <w:highlight w:val="none"/>
                <w:lang w:val="en-US" w:eastAsia="zh-CN"/>
              </w:rPr>
              <w:t>的</w:t>
            </w:r>
            <w:r>
              <w:rPr>
                <w:rFonts w:hint="eastAsia"/>
                <w:color w:val="auto"/>
                <w:highlight w:val="none"/>
              </w:rPr>
              <w:t>粉尘</w:t>
            </w:r>
            <w:r>
              <w:rPr>
                <w:rFonts w:hint="eastAsia"/>
                <w:color w:val="auto"/>
                <w:highlight w:val="none"/>
                <w:lang w:val="en-US" w:eastAsia="zh-CN"/>
              </w:rPr>
              <w:t>既为产品粉，</w:t>
            </w:r>
            <w:r>
              <w:rPr>
                <w:rFonts w:hint="eastAsia"/>
                <w:color w:val="auto"/>
                <w:highlight w:val="none"/>
              </w:rPr>
              <w:t>研磨后的氢氧化钙粉经鼓风机进入成品罐，该过程不会</w:t>
            </w:r>
            <w:r>
              <w:rPr>
                <w:rFonts w:hint="eastAsia"/>
                <w:color w:val="auto"/>
                <w:highlight w:val="none"/>
                <w:lang w:val="en-US" w:eastAsia="zh-CN"/>
              </w:rPr>
              <w:t>有</w:t>
            </w:r>
            <w:r>
              <w:rPr>
                <w:rFonts w:hint="eastAsia"/>
                <w:color w:val="auto"/>
                <w:highlight w:val="none"/>
              </w:rPr>
              <w:t>粉尘</w:t>
            </w:r>
            <w:r>
              <w:rPr>
                <w:rFonts w:hint="eastAsia"/>
                <w:color w:val="auto"/>
                <w:highlight w:val="none"/>
                <w:lang w:val="en-US" w:eastAsia="zh-CN"/>
              </w:rPr>
              <w:t>外溢</w:t>
            </w:r>
            <w:r>
              <w:rPr>
                <w:rFonts w:hint="eastAsia"/>
                <w:color w:val="auto"/>
                <w:highlight w:val="none"/>
              </w:rPr>
              <w:t>，会产生噪声。</w:t>
            </w:r>
          </w:p>
          <w:p>
            <w:pPr>
              <w:pStyle w:val="2"/>
              <w:keepNext w:val="0"/>
              <w:keepLines w:val="0"/>
              <w:pageBreakBefore w:val="0"/>
              <w:widowControl/>
              <w:kinsoku/>
              <w:wordWrap/>
              <w:overflowPunct/>
              <w:topLinePunct w:val="0"/>
              <w:autoSpaceDE w:val="0"/>
              <w:autoSpaceDN w:val="0"/>
              <w:bidi w:val="0"/>
              <w:adjustRightInd w:val="0"/>
              <w:snapToGrid/>
              <w:ind w:firstLine="420" w:firstLineChars="200"/>
              <w:textAlignment w:val="auto"/>
              <w:rPr>
                <w:rFonts w:hint="eastAsia" w:eastAsia="宋体"/>
                <w:color w:val="auto"/>
                <w:highlight w:val="none"/>
                <w:lang w:val="en-US" w:eastAsia="zh-CN"/>
              </w:rPr>
            </w:pPr>
            <w:r>
              <w:rPr>
                <w:rFonts w:hint="eastAsia"/>
                <w:color w:val="auto"/>
                <w:highlight w:val="none"/>
                <w:lang w:val="en-US" w:eastAsia="zh-CN"/>
              </w:rPr>
              <w:t>产品：成品罐有1个进料口，1个下料口，1个废气设备连接口，该工序会产生呼吸粉尘。</w:t>
            </w:r>
          </w:p>
          <w:p>
            <w:pPr>
              <w:widowControl w:val="0"/>
              <w:adjustRightInd w:val="0"/>
              <w:snapToGrid w:val="0"/>
              <w:ind w:firstLine="422" w:firstLineChars="200"/>
              <w:rPr>
                <w:b/>
                <w:bCs/>
                <w:color w:val="auto"/>
                <w:highlight w:val="none"/>
              </w:rPr>
            </w:pPr>
            <w:r>
              <w:rPr>
                <w:b/>
                <w:bCs/>
                <w:color w:val="auto"/>
                <w:highlight w:val="none"/>
              </w:rPr>
              <w:t>2、</w:t>
            </w:r>
            <w:r>
              <w:rPr>
                <w:rFonts w:hint="eastAsia"/>
                <w:b/>
                <w:bCs/>
                <w:color w:val="auto"/>
                <w:highlight w:val="none"/>
              </w:rPr>
              <w:t>氧化钙</w:t>
            </w:r>
          </w:p>
          <w:p>
            <w:pPr>
              <w:pStyle w:val="2"/>
              <w:snapToGrid w:val="0"/>
              <w:spacing w:line="240" w:lineRule="auto"/>
              <w:jc w:val="center"/>
              <w:rPr>
                <w:color w:val="auto"/>
                <w:highlight w:val="none"/>
              </w:rPr>
            </w:pPr>
            <w:r>
              <w:rPr>
                <w:color w:val="auto"/>
                <w:highlight w:val="none"/>
              </w:rPr>
              <w:object>
                <v:shape id="_x0000_i1028" o:spt="75" type="#_x0000_t75" style="height:82.65pt;width:376pt;" o:ole="t" filled="f" o:preferrelative="t" stroked="f" coordsize="21600,21600">
                  <v:path/>
                  <v:fill on="f" focussize="0,0"/>
                  <v:stroke on="f"/>
                  <v:imagedata r:id="rId15" cropleft="1564f" o:title=""/>
                  <o:lock v:ext="edit" aspectratio="t"/>
                  <w10:wrap type="none"/>
                  <w10:anchorlock/>
                </v:shape>
                <o:OLEObject Type="Embed" ProgID="Visio.Drawing.11" ShapeID="_x0000_i1028" DrawAspect="Content" ObjectID="_1468075728" r:id="rId14">
                  <o:LockedField>false</o:LockedField>
                </o:OLEObject>
              </w:object>
            </w:r>
          </w:p>
          <w:p>
            <w:pPr>
              <w:pStyle w:val="2"/>
              <w:jc w:val="center"/>
              <w:rPr>
                <w:b/>
                <w:bCs/>
                <w:color w:val="auto"/>
                <w:highlight w:val="none"/>
              </w:rPr>
            </w:pPr>
            <w:r>
              <w:rPr>
                <w:rFonts w:hint="eastAsia"/>
                <w:b/>
                <w:bCs/>
                <w:color w:val="auto"/>
                <w:highlight w:val="none"/>
              </w:rPr>
              <w:t>图4 氧化钙生产工艺流程及产污环节图</w:t>
            </w:r>
          </w:p>
          <w:p>
            <w:pPr>
              <w:adjustRightInd w:val="0"/>
              <w:snapToGrid w:val="0"/>
              <w:ind w:firstLine="420" w:firstLineChars="200"/>
              <w:jc w:val="both"/>
              <w:rPr>
                <w:rFonts w:hint="eastAsia" w:eastAsia="宋体"/>
                <w:color w:val="auto"/>
                <w:highlight w:val="none"/>
                <w:lang w:val="en-US" w:eastAsia="zh-CN"/>
              </w:rPr>
            </w:pPr>
            <w:r>
              <w:rPr>
                <w:rFonts w:hint="eastAsia"/>
                <w:color w:val="auto"/>
                <w:highlight w:val="none"/>
                <w:lang w:val="en-US" w:eastAsia="zh-CN"/>
              </w:rPr>
              <w:t>物料平衡：</w:t>
            </w:r>
          </w:p>
          <w:p>
            <w:pPr>
              <w:adjustRightInd w:val="0"/>
              <w:snapToGrid w:val="0"/>
              <w:jc w:val="both"/>
              <w:rPr>
                <w:rFonts w:hint="eastAsia"/>
                <w:color w:val="auto"/>
                <w:highlight w:val="none"/>
              </w:rPr>
            </w:pPr>
            <w:r>
              <w:rPr>
                <w:color w:val="auto"/>
                <w:highlight w:val="none"/>
              </w:rPr>
              <w:object>
                <v:shape id="_x0000_i1029" o:spt="75" type="#_x0000_t75" style="height:83.45pt;width:379.6pt;" o:ole="t" filled="f" o:preferrelative="t" stroked="f" coordsize="21600,21600">
                  <v:path/>
                  <v:fill on="f" focussize="0,0"/>
                  <v:stroke on="f"/>
                  <v:imagedata r:id="rId17" cropleft="1564f" o:title=""/>
                  <o:lock v:ext="edit" aspectratio="t"/>
                  <w10:wrap type="none"/>
                  <w10:anchorlock/>
                </v:shape>
                <o:OLEObject Type="Embed" ProgID="Visio.Drawing.11" ShapeID="_x0000_i1029" DrawAspect="Content" ObjectID="_1468075729" r:id="rId16">
                  <o:LockedField>false</o:LockedField>
                </o:OLEObject>
              </w:object>
            </w:r>
          </w:p>
          <w:p>
            <w:pPr>
              <w:pStyle w:val="2"/>
              <w:jc w:val="center"/>
              <w:rPr>
                <w:b/>
                <w:bCs/>
                <w:color w:val="auto"/>
                <w:highlight w:val="none"/>
              </w:rPr>
            </w:pPr>
            <w:r>
              <w:rPr>
                <w:rFonts w:hint="eastAsia"/>
                <w:b/>
                <w:bCs/>
                <w:color w:val="auto"/>
                <w:highlight w:val="none"/>
              </w:rPr>
              <w:t>图</w:t>
            </w:r>
            <w:r>
              <w:rPr>
                <w:rFonts w:hint="eastAsia"/>
                <w:b/>
                <w:bCs/>
                <w:color w:val="auto"/>
                <w:highlight w:val="none"/>
                <w:lang w:val="en-US" w:eastAsia="zh-CN"/>
              </w:rPr>
              <w:t>5</w:t>
            </w:r>
            <w:r>
              <w:rPr>
                <w:rFonts w:hint="eastAsia"/>
                <w:b/>
                <w:bCs/>
                <w:color w:val="auto"/>
                <w:highlight w:val="none"/>
              </w:rPr>
              <w:t xml:space="preserve"> 氧化钙</w:t>
            </w:r>
            <w:r>
              <w:rPr>
                <w:rFonts w:hint="default" w:ascii="Times New Roman" w:hAnsi="Times New Roman" w:eastAsia="宋体" w:cs="宋体"/>
                <w:b/>
                <w:bCs/>
                <w:color w:val="auto"/>
                <w:kern w:val="2"/>
                <w:sz w:val="21"/>
                <w:szCs w:val="24"/>
                <w:highlight w:val="none"/>
                <w:lang w:val="en-US" w:eastAsia="zh-CN" w:bidi="ar-SA"/>
              </w:rPr>
              <w:t>物料平衡</w:t>
            </w:r>
            <w:r>
              <w:rPr>
                <w:rFonts w:hint="eastAsia"/>
                <w:b/>
                <w:bCs/>
                <w:color w:val="auto"/>
                <w:highlight w:val="none"/>
              </w:rPr>
              <w:t>图</w:t>
            </w:r>
            <w:r>
              <w:rPr>
                <w:rFonts w:hint="eastAsia" w:ascii="Times New Roman" w:hAnsi="Times New Roman" w:eastAsia="宋体" w:cs="宋体"/>
                <w:b/>
                <w:bCs/>
                <w:color w:val="auto"/>
                <w:kern w:val="2"/>
                <w:sz w:val="21"/>
                <w:szCs w:val="24"/>
                <w:highlight w:val="none"/>
                <w:lang w:val="en-US" w:eastAsia="zh-CN" w:bidi="ar-SA"/>
              </w:rPr>
              <w:t>（单位：t/a）</w:t>
            </w:r>
          </w:p>
          <w:p>
            <w:pPr>
              <w:adjustRightInd w:val="0"/>
              <w:snapToGrid w:val="0"/>
              <w:ind w:firstLine="422" w:firstLineChars="200"/>
              <w:jc w:val="both"/>
              <w:rPr>
                <w:b/>
                <w:bCs/>
                <w:color w:val="auto"/>
                <w:highlight w:val="none"/>
              </w:rPr>
            </w:pPr>
            <w:r>
              <w:rPr>
                <w:rFonts w:hint="eastAsia"/>
                <w:b/>
                <w:bCs/>
                <w:color w:val="auto"/>
                <w:highlight w:val="none"/>
              </w:rPr>
              <w:t>工艺流程说明：</w:t>
            </w:r>
          </w:p>
          <w:p>
            <w:pPr>
              <w:widowControl w:val="0"/>
              <w:adjustRightInd w:val="0"/>
              <w:snapToGrid w:val="0"/>
              <w:ind w:firstLine="420" w:firstLineChars="200"/>
              <w:rPr>
                <w:color w:val="auto"/>
                <w:highlight w:val="none"/>
              </w:rPr>
            </w:pPr>
            <w:r>
              <w:rPr>
                <w:rFonts w:hint="eastAsia"/>
                <w:color w:val="auto"/>
                <w:highlight w:val="none"/>
              </w:rPr>
              <w:t xml:space="preserve">投料：将石灰石用铲车经振动给料器投料至料斗，该过程会产生粉尘。 </w:t>
            </w:r>
          </w:p>
          <w:p>
            <w:pPr>
              <w:widowControl w:val="0"/>
              <w:adjustRightInd w:val="0"/>
              <w:snapToGrid w:val="0"/>
              <w:ind w:firstLine="420" w:firstLineChars="200"/>
              <w:rPr>
                <w:color w:val="auto"/>
                <w:highlight w:val="none"/>
              </w:rPr>
            </w:pPr>
            <w:r>
              <w:rPr>
                <w:rFonts w:hint="eastAsia"/>
                <w:color w:val="auto"/>
                <w:highlight w:val="none"/>
              </w:rPr>
              <w:t>破碎：将石灰石块通过破碎机破碎成10mm-30mm的颗粒物状，</w:t>
            </w:r>
            <w:r>
              <w:rPr>
                <w:rFonts w:hint="eastAsia"/>
                <w:color w:val="auto"/>
                <w:highlight w:val="none"/>
                <w:lang w:val="en-US" w:eastAsia="zh-CN"/>
              </w:rPr>
              <w:t>破碎会产生粉尘，由于</w:t>
            </w:r>
            <w:r>
              <w:rPr>
                <w:rFonts w:hint="eastAsia"/>
                <w:color w:val="auto"/>
                <w:highlight w:val="none"/>
              </w:rPr>
              <w:t>破碎机为密闭，</w:t>
            </w:r>
            <w:r>
              <w:rPr>
                <w:rFonts w:hint="eastAsia"/>
                <w:color w:val="auto"/>
                <w:highlight w:val="none"/>
                <w:lang w:val="en-US" w:eastAsia="zh-CN"/>
              </w:rPr>
              <w:t>粉尘在破碎机沉降，</w:t>
            </w:r>
            <w:r>
              <w:rPr>
                <w:rFonts w:hint="eastAsia"/>
                <w:color w:val="auto"/>
                <w:highlight w:val="none"/>
              </w:rPr>
              <w:t>产生</w:t>
            </w:r>
            <w:r>
              <w:rPr>
                <w:rFonts w:hint="eastAsia"/>
                <w:color w:val="auto"/>
                <w:highlight w:val="none"/>
                <w:lang w:val="en-US" w:eastAsia="zh-CN"/>
              </w:rPr>
              <w:t>的</w:t>
            </w:r>
            <w:r>
              <w:rPr>
                <w:rFonts w:hint="eastAsia"/>
                <w:color w:val="auto"/>
                <w:highlight w:val="none"/>
              </w:rPr>
              <w:t>粉尘</w:t>
            </w:r>
            <w:r>
              <w:rPr>
                <w:rFonts w:hint="eastAsia"/>
                <w:color w:val="auto"/>
                <w:highlight w:val="none"/>
                <w:lang w:val="en-US" w:eastAsia="zh-CN"/>
              </w:rPr>
              <w:t>沉降后进入下一道工序</w:t>
            </w:r>
            <w:r>
              <w:rPr>
                <w:rFonts w:hint="eastAsia"/>
                <w:color w:val="auto"/>
                <w:highlight w:val="none"/>
              </w:rPr>
              <w:t xml:space="preserve">，该过程会产生噪声。  </w:t>
            </w:r>
          </w:p>
          <w:p>
            <w:pPr>
              <w:widowControl w:val="0"/>
              <w:adjustRightInd w:val="0"/>
              <w:snapToGrid w:val="0"/>
              <w:ind w:firstLine="420" w:firstLineChars="200"/>
              <w:rPr>
                <w:color w:val="auto"/>
                <w:highlight w:val="none"/>
              </w:rPr>
            </w:pPr>
            <w:r>
              <w:rPr>
                <w:rFonts w:hint="eastAsia"/>
                <w:color w:val="auto"/>
                <w:highlight w:val="none"/>
              </w:rPr>
              <w:t>提升1</w:t>
            </w:r>
            <w:r>
              <w:rPr>
                <w:rFonts w:hint="eastAsia"/>
                <w:color w:val="auto"/>
                <w:highlight w:val="none"/>
                <w:lang w:val="en-US" w:eastAsia="zh-CN"/>
              </w:rPr>
              <w:t>#</w:t>
            </w:r>
            <w:r>
              <w:rPr>
                <w:rFonts w:hint="eastAsia"/>
                <w:color w:val="auto"/>
                <w:highlight w:val="none"/>
              </w:rPr>
              <w:t xml:space="preserve">：将破碎后的石灰通过提升机输送至原料罐。 </w:t>
            </w:r>
          </w:p>
          <w:p>
            <w:pPr>
              <w:widowControl w:val="0"/>
              <w:adjustRightInd w:val="0"/>
              <w:snapToGrid w:val="0"/>
              <w:ind w:firstLine="420" w:firstLineChars="200"/>
              <w:rPr>
                <w:color w:val="auto"/>
                <w:highlight w:val="none"/>
              </w:rPr>
            </w:pPr>
            <w:r>
              <w:rPr>
                <w:rFonts w:hint="eastAsia"/>
                <w:color w:val="auto"/>
                <w:highlight w:val="none"/>
              </w:rPr>
              <w:t>风选研磨：氧化钙粉经给料螺旋输送到磨机中进行风选研磨，氧化钙粉通过雷蒙磨机加工成细粉状，既得到氧化钙，氧化钙细度（目数）可根据客户的需求调节，磨机自带离心高压风机，产生</w:t>
            </w:r>
            <w:r>
              <w:rPr>
                <w:rFonts w:hint="eastAsia"/>
                <w:color w:val="auto"/>
                <w:highlight w:val="none"/>
                <w:lang w:val="en-US" w:eastAsia="zh-CN"/>
              </w:rPr>
              <w:t>的</w:t>
            </w:r>
            <w:r>
              <w:rPr>
                <w:rFonts w:hint="eastAsia"/>
                <w:color w:val="auto"/>
                <w:highlight w:val="none"/>
              </w:rPr>
              <w:t>粉尘</w:t>
            </w:r>
            <w:r>
              <w:rPr>
                <w:rFonts w:hint="eastAsia"/>
                <w:color w:val="auto"/>
                <w:highlight w:val="none"/>
                <w:lang w:val="en-US" w:eastAsia="zh-CN"/>
              </w:rPr>
              <w:t>既为产品粉，</w:t>
            </w:r>
            <w:r>
              <w:rPr>
                <w:rFonts w:hint="eastAsia"/>
                <w:color w:val="auto"/>
                <w:highlight w:val="none"/>
              </w:rPr>
              <w:t>研磨后的氧化钙粉经鼓风机进入成品罐，该过程不会</w:t>
            </w:r>
            <w:r>
              <w:rPr>
                <w:rFonts w:hint="eastAsia"/>
                <w:color w:val="auto"/>
                <w:highlight w:val="none"/>
                <w:lang w:val="en-US" w:eastAsia="zh-CN"/>
              </w:rPr>
              <w:t>有</w:t>
            </w:r>
            <w:r>
              <w:rPr>
                <w:rFonts w:hint="eastAsia"/>
                <w:color w:val="auto"/>
                <w:highlight w:val="none"/>
              </w:rPr>
              <w:t>粉尘</w:t>
            </w:r>
            <w:r>
              <w:rPr>
                <w:rFonts w:hint="eastAsia"/>
                <w:color w:val="auto"/>
                <w:highlight w:val="none"/>
                <w:lang w:val="en-US" w:eastAsia="zh-CN"/>
              </w:rPr>
              <w:t>外溢</w:t>
            </w:r>
            <w:r>
              <w:rPr>
                <w:rFonts w:hint="eastAsia"/>
                <w:color w:val="auto"/>
                <w:highlight w:val="none"/>
              </w:rPr>
              <w:t>，会产生噪声。</w:t>
            </w:r>
          </w:p>
          <w:p>
            <w:pPr>
              <w:widowControl w:val="0"/>
              <w:adjustRightInd w:val="0"/>
              <w:snapToGrid w:val="0"/>
              <w:ind w:firstLine="420" w:firstLineChars="200"/>
              <w:rPr>
                <w:rFonts w:hint="eastAsia"/>
                <w:color w:val="auto"/>
                <w:highlight w:val="none"/>
                <w:lang w:val="en-US" w:eastAsia="zh-CN"/>
              </w:rPr>
            </w:pPr>
            <w:r>
              <w:rPr>
                <w:rFonts w:hint="eastAsia"/>
                <w:color w:val="auto"/>
                <w:highlight w:val="none"/>
              </w:rPr>
              <w:t>提升2</w:t>
            </w:r>
            <w:r>
              <w:rPr>
                <w:rFonts w:hint="eastAsia"/>
                <w:color w:val="auto"/>
                <w:highlight w:val="none"/>
                <w:lang w:val="en-US" w:eastAsia="zh-CN"/>
              </w:rPr>
              <w:t>#</w:t>
            </w:r>
            <w:r>
              <w:rPr>
                <w:rFonts w:hint="eastAsia"/>
                <w:color w:val="auto"/>
                <w:highlight w:val="none"/>
              </w:rPr>
              <w:t>：</w:t>
            </w:r>
            <w:r>
              <w:rPr>
                <w:rFonts w:hint="eastAsia"/>
                <w:color w:val="auto"/>
                <w:highlight w:val="none"/>
                <w:lang w:val="en-US" w:eastAsia="zh-CN"/>
              </w:rPr>
              <w:t>将氧化钙粉</w:t>
            </w:r>
            <w:r>
              <w:rPr>
                <w:rFonts w:hint="eastAsia"/>
                <w:color w:val="auto"/>
                <w:highlight w:val="none"/>
              </w:rPr>
              <w:t>经皮带输送后提升至</w:t>
            </w:r>
            <w:r>
              <w:rPr>
                <w:rFonts w:hint="eastAsia"/>
                <w:color w:val="auto"/>
                <w:highlight w:val="none"/>
                <w:lang w:val="en-US" w:eastAsia="zh-CN"/>
              </w:rPr>
              <w:t>成品罐中。</w:t>
            </w:r>
          </w:p>
          <w:p>
            <w:pPr>
              <w:widowControl w:val="0"/>
              <w:adjustRightInd w:val="0"/>
              <w:snapToGrid w:val="0"/>
              <w:ind w:firstLine="420" w:firstLineChars="200"/>
              <w:rPr>
                <w:rFonts w:hint="eastAsia"/>
                <w:color w:val="auto"/>
                <w:highlight w:val="none"/>
              </w:rPr>
            </w:pPr>
            <w:r>
              <w:rPr>
                <w:rFonts w:hint="eastAsia"/>
                <w:color w:val="auto"/>
                <w:highlight w:val="none"/>
                <w:lang w:val="en-US" w:eastAsia="zh-CN"/>
              </w:rPr>
              <w:t>产品：成品罐有1个进料口，1个下料口，1个废气设备连接口，该工序会产生呼吸粉尘。</w:t>
            </w:r>
          </w:p>
          <w:p>
            <w:pPr>
              <w:widowControl w:val="0"/>
              <w:adjustRightInd w:val="0"/>
              <w:snapToGrid w:val="0"/>
              <w:ind w:firstLine="422" w:firstLineChars="200"/>
              <w:rPr>
                <w:b/>
                <w:bCs/>
                <w:color w:val="auto"/>
                <w:highlight w:val="none"/>
              </w:rPr>
            </w:pPr>
            <w:r>
              <w:rPr>
                <w:rFonts w:hint="eastAsia"/>
                <w:b/>
                <w:bCs/>
                <w:color w:val="auto"/>
                <w:highlight w:val="none"/>
              </w:rPr>
              <w:t>本项目产污环节：</w:t>
            </w:r>
          </w:p>
          <w:p>
            <w:pPr>
              <w:widowControl w:val="0"/>
              <w:adjustRightInd w:val="0"/>
              <w:snapToGrid w:val="0"/>
              <w:ind w:firstLine="420" w:firstLineChars="200"/>
              <w:rPr>
                <w:color w:val="auto"/>
                <w:highlight w:val="none"/>
              </w:rPr>
            </w:pPr>
            <w:r>
              <w:rPr>
                <w:rFonts w:hint="eastAsia"/>
                <w:color w:val="auto"/>
                <w:highlight w:val="none"/>
              </w:rPr>
              <w:t>（1）废气</w:t>
            </w:r>
          </w:p>
          <w:p>
            <w:pPr>
              <w:widowControl w:val="0"/>
              <w:adjustRightInd w:val="0"/>
              <w:snapToGrid w:val="0"/>
              <w:ind w:firstLine="420" w:firstLineChars="200"/>
              <w:rPr>
                <w:color w:val="auto"/>
                <w:highlight w:val="none"/>
              </w:rPr>
            </w:pPr>
            <w:r>
              <w:rPr>
                <w:rFonts w:hint="eastAsia"/>
                <w:color w:val="auto"/>
                <w:highlight w:val="none"/>
              </w:rPr>
              <w:t>本项目的废气主要为投料过程产生的粉尘，消化过程产生的粉尘，卸料、堆存过程产生的粉尘、</w:t>
            </w:r>
            <w:r>
              <w:rPr>
                <w:rFonts w:hint="eastAsia"/>
                <w:color w:val="auto"/>
                <w:highlight w:val="none"/>
                <w:lang w:val="en-US" w:eastAsia="zh-CN"/>
              </w:rPr>
              <w:t>成品罐呼吸粉尘及研磨粉尘、</w:t>
            </w:r>
            <w:r>
              <w:rPr>
                <w:rFonts w:hint="eastAsia"/>
                <w:color w:val="auto"/>
                <w:highlight w:val="none"/>
              </w:rPr>
              <w:t>厨房油烟。</w:t>
            </w:r>
          </w:p>
          <w:p>
            <w:pPr>
              <w:widowControl w:val="0"/>
              <w:adjustRightInd w:val="0"/>
              <w:snapToGrid w:val="0"/>
              <w:ind w:firstLine="420" w:firstLineChars="200"/>
              <w:rPr>
                <w:color w:val="auto"/>
                <w:highlight w:val="none"/>
              </w:rPr>
            </w:pPr>
            <w:r>
              <w:rPr>
                <w:rFonts w:hint="eastAsia"/>
                <w:color w:val="auto"/>
                <w:highlight w:val="none"/>
              </w:rPr>
              <w:t>（2）废水</w:t>
            </w:r>
          </w:p>
          <w:p>
            <w:pPr>
              <w:widowControl w:val="0"/>
              <w:adjustRightInd w:val="0"/>
              <w:snapToGrid w:val="0"/>
              <w:ind w:firstLine="420" w:firstLineChars="200"/>
              <w:rPr>
                <w:color w:val="auto"/>
                <w:highlight w:val="none"/>
              </w:rPr>
            </w:pPr>
            <w:r>
              <w:rPr>
                <w:color w:val="auto"/>
                <w:highlight w:val="none"/>
              </w:rPr>
              <w:t>本项目</w:t>
            </w:r>
            <w:r>
              <w:rPr>
                <w:rFonts w:hint="eastAsia"/>
                <w:color w:val="auto"/>
                <w:highlight w:val="none"/>
              </w:rPr>
              <w:t>无生产废水产生及排放</w:t>
            </w:r>
            <w:r>
              <w:rPr>
                <w:rFonts w:hint="eastAsia"/>
                <w:color w:val="auto"/>
                <w:highlight w:val="none"/>
                <w:lang w:eastAsia="zh-CN"/>
              </w:rPr>
              <w:t>，</w:t>
            </w:r>
            <w:r>
              <w:rPr>
                <w:rFonts w:hint="eastAsia"/>
                <w:color w:val="auto"/>
                <w:highlight w:val="none"/>
                <w:lang w:val="en-US" w:eastAsia="zh-CN"/>
              </w:rPr>
              <w:t>产生的</w:t>
            </w:r>
            <w:r>
              <w:rPr>
                <w:color w:val="auto"/>
                <w:highlight w:val="none"/>
              </w:rPr>
              <w:t>废水主要是员工生活污水</w:t>
            </w:r>
            <w:r>
              <w:rPr>
                <w:rFonts w:hint="eastAsia"/>
                <w:color w:val="auto"/>
                <w:highlight w:val="none"/>
              </w:rPr>
              <w:t>。</w:t>
            </w:r>
          </w:p>
          <w:p>
            <w:pPr>
              <w:widowControl w:val="0"/>
              <w:adjustRightInd w:val="0"/>
              <w:snapToGrid w:val="0"/>
              <w:ind w:firstLine="420" w:firstLineChars="200"/>
              <w:rPr>
                <w:color w:val="auto"/>
                <w:highlight w:val="none"/>
              </w:rPr>
            </w:pPr>
            <w:r>
              <w:rPr>
                <w:rFonts w:hint="eastAsia"/>
                <w:color w:val="auto"/>
                <w:highlight w:val="none"/>
              </w:rPr>
              <w:t>（3）噪声</w:t>
            </w:r>
          </w:p>
          <w:p>
            <w:pPr>
              <w:widowControl w:val="0"/>
              <w:adjustRightInd w:val="0"/>
              <w:snapToGrid w:val="0"/>
              <w:ind w:firstLine="420" w:firstLineChars="200"/>
              <w:rPr>
                <w:color w:val="auto"/>
                <w:highlight w:val="none"/>
              </w:rPr>
            </w:pPr>
            <w:r>
              <w:rPr>
                <w:rFonts w:hint="eastAsia"/>
                <w:color w:val="auto"/>
                <w:highlight w:val="none"/>
              </w:rPr>
              <w:t>设备运行噪声。</w:t>
            </w:r>
          </w:p>
          <w:p>
            <w:pPr>
              <w:widowControl w:val="0"/>
              <w:adjustRightInd w:val="0"/>
              <w:snapToGrid w:val="0"/>
              <w:ind w:firstLine="420" w:firstLineChars="200"/>
              <w:rPr>
                <w:color w:val="auto"/>
                <w:highlight w:val="none"/>
              </w:rPr>
            </w:pPr>
            <w:r>
              <w:rPr>
                <w:rFonts w:hint="eastAsia"/>
                <w:color w:val="auto"/>
                <w:highlight w:val="none"/>
              </w:rPr>
              <w:t>（4）固废</w:t>
            </w:r>
          </w:p>
          <w:p>
            <w:pPr>
              <w:widowControl w:val="0"/>
              <w:adjustRightInd w:val="0"/>
              <w:snapToGrid w:val="0"/>
              <w:ind w:firstLine="420" w:firstLineChars="200"/>
              <w:rPr>
                <w:rFonts w:hint="default" w:eastAsia="宋体"/>
                <w:color w:val="auto"/>
                <w:highlight w:val="none"/>
                <w:lang w:val="en-US" w:eastAsia="zh-CN"/>
              </w:rPr>
            </w:pPr>
            <w:r>
              <w:rPr>
                <w:rFonts w:hint="eastAsia"/>
                <w:color w:val="auto"/>
                <w:highlight w:val="none"/>
              </w:rPr>
              <w:t>本项目产生的固废主要为布袋除尘器收集粉尘、废机油、废含油抹布手套、生活垃圾。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djustRightInd w:val="0"/>
              <w:snapToGrid w:val="0"/>
              <w:spacing w:line="288" w:lineRule="auto"/>
              <w:jc w:val="center"/>
              <w:rPr>
                <w:color w:val="auto"/>
                <w:kern w:val="0"/>
                <w:szCs w:val="21"/>
                <w:highlight w:val="none"/>
              </w:rPr>
            </w:pPr>
            <w:r>
              <w:rPr>
                <w:rFonts w:hint="eastAsia"/>
                <w:color w:val="auto"/>
                <w:kern w:val="0"/>
                <w:szCs w:val="21"/>
                <w:highlight w:val="none"/>
              </w:rPr>
              <w:t>与项目有关的原有环境污染问题</w:t>
            </w:r>
          </w:p>
        </w:tc>
        <w:tc>
          <w:tcPr>
            <w:tcW w:w="7621" w:type="dxa"/>
            <w:tcBorders>
              <w:top w:val="single" w:color="auto" w:sz="4" w:space="0"/>
            </w:tcBorders>
            <w:vAlign w:val="center"/>
          </w:tcPr>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本项目为新建项目，不存在与本项目相关的原有污染源。</w:t>
            </w: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p>
            <w:pPr>
              <w:pStyle w:val="21"/>
              <w:ind w:firstLine="420" w:firstLineChars="200"/>
              <w:rPr>
                <w:rFonts w:hint="eastAsia" w:ascii="宋体" w:hAnsi="宋体"/>
                <w:bCs/>
                <w:color w:val="auto"/>
                <w:sz w:val="21"/>
                <w:szCs w:val="21"/>
                <w:highlight w:val="none"/>
              </w:rPr>
            </w:pPr>
          </w:p>
        </w:tc>
      </w:tr>
    </w:tbl>
    <w:p>
      <w:pPr>
        <w:adjustRightInd w:val="0"/>
        <w:snapToGrid w:val="0"/>
        <w:spacing w:line="288" w:lineRule="auto"/>
        <w:jc w:val="center"/>
        <w:rPr>
          <w:color w:val="auto"/>
          <w:sz w:val="36"/>
          <w:szCs w:val="36"/>
          <w:highlight w:val="none"/>
        </w:rPr>
        <w:sectPr>
          <w:pgSz w:w="11906" w:h="16838"/>
          <w:pgMar w:top="1440" w:right="1800" w:bottom="1440" w:left="1800" w:header="851" w:footer="992" w:gutter="0"/>
          <w:cols w:space="425" w:num="1"/>
          <w:docGrid w:type="lines" w:linePitch="312" w:charSpace="0"/>
        </w:sectPr>
      </w:pPr>
    </w:p>
    <w:p>
      <w:pPr>
        <w:pStyle w:val="25"/>
        <w:jc w:val="center"/>
        <w:outlineLvl w:val="0"/>
        <w:rPr>
          <w:rFonts w:ascii="Times New Roman" w:hAnsi="Times New Roman"/>
          <w:snapToGrid w:val="0"/>
          <w:color w:val="auto"/>
          <w:sz w:val="30"/>
          <w:szCs w:val="30"/>
          <w:highlight w:val="none"/>
        </w:rPr>
      </w:pPr>
      <w:r>
        <w:rPr>
          <w:rFonts w:hint="eastAsia" w:ascii="Times New Roman" w:hAnsi="Times New Roman"/>
          <w:snapToGrid w:val="0"/>
          <w:color w:val="auto"/>
          <w:sz w:val="30"/>
          <w:szCs w:val="30"/>
          <w:highlight w:val="none"/>
        </w:rPr>
        <w:t>三</w:t>
      </w:r>
      <w:r>
        <w:rPr>
          <w:rFonts w:ascii="Times New Roman" w:hAnsi="Times New Roman"/>
          <w:snapToGrid w:val="0"/>
          <w:color w:val="auto"/>
          <w:sz w:val="30"/>
          <w:szCs w:val="30"/>
          <w:highlight w:val="none"/>
        </w:rPr>
        <w:t>、</w:t>
      </w:r>
      <w:r>
        <w:rPr>
          <w:rFonts w:hint="eastAsia" w:ascii="Times New Roman" w:hAnsi="Times New Roman"/>
          <w:snapToGrid w:val="0"/>
          <w:color w:val="auto"/>
          <w:sz w:val="30"/>
          <w:szCs w:val="30"/>
          <w:highlight w:val="none"/>
        </w:rPr>
        <w:t>区域环境质量现状、环境保护目标及评价标准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trPr>
        <w:tc>
          <w:tcPr>
            <w:tcW w:w="407" w:type="dxa"/>
            <w:vAlign w:val="center"/>
          </w:tcPr>
          <w:p>
            <w:pPr>
              <w:adjustRightInd w:val="0"/>
              <w:snapToGrid w:val="0"/>
              <w:spacing w:line="288" w:lineRule="auto"/>
              <w:jc w:val="center"/>
              <w:rPr>
                <w:color w:val="auto"/>
                <w:kern w:val="0"/>
                <w:szCs w:val="21"/>
                <w:highlight w:val="none"/>
              </w:rPr>
            </w:pPr>
            <w:r>
              <w:rPr>
                <w:rFonts w:hint="eastAsia"/>
                <w:color w:val="auto"/>
                <w:kern w:val="0"/>
                <w:szCs w:val="21"/>
                <w:highlight w:val="none"/>
              </w:rPr>
              <w:t>区域环境质量现状</w:t>
            </w:r>
          </w:p>
        </w:tc>
        <w:tc>
          <w:tcPr>
            <w:tcW w:w="7889" w:type="dxa"/>
          </w:tcPr>
          <w:p>
            <w:pPr>
              <w:adjustRightInd w:val="0"/>
              <w:snapToGrid w:val="0"/>
              <w:ind w:firstLine="422" w:firstLineChars="200"/>
              <w:jc w:val="both"/>
              <w:rPr>
                <w:b/>
                <w:bCs/>
                <w:color w:val="auto"/>
                <w:kern w:val="0"/>
                <w:szCs w:val="21"/>
                <w:highlight w:val="none"/>
              </w:rPr>
            </w:pPr>
            <w:r>
              <w:rPr>
                <w:rFonts w:hint="eastAsia"/>
                <w:b/>
                <w:bCs/>
                <w:color w:val="auto"/>
                <w:kern w:val="0"/>
                <w:szCs w:val="21"/>
                <w:highlight w:val="none"/>
              </w:rPr>
              <w:t>1、大气环境质量现状</w:t>
            </w:r>
          </w:p>
          <w:p>
            <w:pPr>
              <w:pStyle w:val="2"/>
              <w:ind w:firstLine="422" w:firstLineChars="200"/>
              <w:rPr>
                <w:rFonts w:cs="Times New Roman"/>
                <w:b/>
                <w:bCs/>
                <w:color w:val="auto"/>
                <w:kern w:val="0"/>
                <w:szCs w:val="21"/>
                <w:highlight w:val="none"/>
              </w:rPr>
            </w:pPr>
            <w:r>
              <w:rPr>
                <w:rFonts w:cs="Times New Roman"/>
                <w:b/>
                <w:bCs/>
                <w:color w:val="auto"/>
                <w:kern w:val="0"/>
                <w:szCs w:val="21"/>
                <w:highlight w:val="none"/>
              </w:rPr>
              <w:t>（1）</w:t>
            </w:r>
            <w:r>
              <w:rPr>
                <w:rFonts w:hint="eastAsia" w:cs="Times New Roman"/>
                <w:b/>
                <w:bCs/>
                <w:color w:val="auto"/>
                <w:kern w:val="0"/>
                <w:szCs w:val="21"/>
                <w:highlight w:val="none"/>
              </w:rPr>
              <w:t>基本</w:t>
            </w:r>
            <w:r>
              <w:rPr>
                <w:rFonts w:cs="Times New Roman"/>
                <w:b/>
                <w:bCs/>
                <w:color w:val="auto"/>
                <w:kern w:val="0"/>
                <w:szCs w:val="21"/>
                <w:highlight w:val="none"/>
              </w:rPr>
              <w:t>污染物环境空气质量现状调查</w:t>
            </w:r>
          </w:p>
          <w:p>
            <w:pPr>
              <w:pStyle w:val="2"/>
              <w:ind w:firstLine="420" w:firstLineChars="200"/>
              <w:rPr>
                <w:rFonts w:cs="Times New Roman"/>
                <w:b/>
                <w:color w:val="auto"/>
                <w:kern w:val="0"/>
                <w:szCs w:val="21"/>
                <w:highlight w:val="none"/>
              </w:rPr>
            </w:pPr>
            <w:r>
              <w:rPr>
                <w:rFonts w:hint="eastAsia" w:cs="Times New Roman"/>
                <w:color w:val="auto"/>
                <w:kern w:val="0"/>
                <w:szCs w:val="21"/>
                <w:highlight w:val="none"/>
              </w:rPr>
              <w:t>根据《关于确认我市环境空气质量功能区划分的函》（清环函[2011]317号），本项目所在区域的环境空气质量功能类别为二类功能区，环境空气质量执行《环境空气质量标准》(GB3095-2012)及其修改单二级标准。</w:t>
            </w:r>
            <w:r>
              <w:rPr>
                <w:rFonts w:cs="Times New Roman"/>
                <w:color w:val="auto"/>
                <w:kern w:val="0"/>
                <w:szCs w:val="21"/>
                <w:highlight w:val="none"/>
              </w:rPr>
              <w:t>根据清远市生态环境局发布的《</w:t>
            </w:r>
            <w:r>
              <w:rPr>
                <w:rFonts w:hint="eastAsia" w:cs="Times New Roman"/>
                <w:color w:val="auto"/>
                <w:kern w:val="0"/>
                <w:szCs w:val="21"/>
                <w:highlight w:val="none"/>
              </w:rPr>
              <w:t>2020年清远市环境质量报告书</w:t>
            </w:r>
            <w:r>
              <w:rPr>
                <w:rFonts w:cs="Times New Roman"/>
                <w:color w:val="auto"/>
                <w:kern w:val="0"/>
                <w:szCs w:val="21"/>
                <w:highlight w:val="none"/>
              </w:rPr>
              <w:t>》，2020年</w:t>
            </w:r>
            <w:r>
              <w:rPr>
                <w:rFonts w:hint="eastAsia" w:cs="Times New Roman"/>
                <w:color w:val="auto"/>
                <w:kern w:val="0"/>
                <w:szCs w:val="21"/>
                <w:highlight w:val="none"/>
              </w:rPr>
              <w:t>清城区</w:t>
            </w:r>
            <w:r>
              <w:rPr>
                <w:rFonts w:cs="Times New Roman"/>
                <w:color w:val="auto"/>
                <w:kern w:val="0"/>
                <w:szCs w:val="21"/>
                <w:highlight w:val="none"/>
              </w:rPr>
              <w:t>环境空气质量如下表。</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b/>
                <w:color w:val="auto"/>
                <w:kern w:val="0"/>
                <w:szCs w:val="21"/>
                <w:highlight w:val="none"/>
              </w:rPr>
              <w:t>区域空气质量现状评价表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86"/>
              <w:gridCol w:w="1260"/>
              <w:gridCol w:w="1055"/>
              <w:gridCol w:w="92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污染物</w:t>
                  </w:r>
                </w:p>
              </w:tc>
              <w:tc>
                <w:tcPr>
                  <w:tcW w:w="2586"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年评价指标</w:t>
                  </w:r>
                </w:p>
              </w:tc>
              <w:tc>
                <w:tcPr>
                  <w:tcW w:w="126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现状浓度</w:t>
                  </w:r>
                </w:p>
              </w:tc>
              <w:tc>
                <w:tcPr>
                  <w:tcW w:w="105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标准值</w:t>
                  </w:r>
                </w:p>
              </w:tc>
              <w:tc>
                <w:tcPr>
                  <w:tcW w:w="929"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占标率</w:t>
                  </w:r>
                </w:p>
              </w:tc>
              <w:tc>
                <w:tcPr>
                  <w:tcW w:w="91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SO</w:t>
                  </w:r>
                  <w:r>
                    <w:rPr>
                      <w:color w:val="auto"/>
                      <w:kern w:val="0"/>
                      <w:szCs w:val="21"/>
                      <w:highlight w:val="none"/>
                      <w:vertAlign w:val="subscript"/>
                    </w:rPr>
                    <w:t>2</w:t>
                  </w:r>
                </w:p>
              </w:tc>
              <w:tc>
                <w:tcPr>
                  <w:tcW w:w="2586"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年平均质量浓度</w:t>
                  </w:r>
                </w:p>
              </w:tc>
              <w:tc>
                <w:tcPr>
                  <w:tcW w:w="1260" w:type="dxa"/>
                  <w:vAlign w:val="center"/>
                </w:tcPr>
                <w:p>
                  <w:pPr>
                    <w:pStyle w:val="58"/>
                    <w:rPr>
                      <w:color w:val="auto"/>
                      <w:kern w:val="0"/>
                      <w:szCs w:val="21"/>
                      <w:highlight w:val="none"/>
                    </w:rPr>
                  </w:pPr>
                  <w:r>
                    <w:rPr>
                      <w:color w:val="auto"/>
                      <w:highlight w:val="none"/>
                    </w:rPr>
                    <w:t>8μg/m³</w:t>
                  </w:r>
                </w:p>
              </w:tc>
              <w:tc>
                <w:tcPr>
                  <w:tcW w:w="1055" w:type="dxa"/>
                  <w:vAlign w:val="center"/>
                </w:tcPr>
                <w:p>
                  <w:pPr>
                    <w:pStyle w:val="58"/>
                    <w:rPr>
                      <w:color w:val="auto"/>
                      <w:kern w:val="0"/>
                      <w:szCs w:val="21"/>
                      <w:highlight w:val="none"/>
                    </w:rPr>
                  </w:pPr>
                  <w:r>
                    <w:rPr>
                      <w:color w:val="auto"/>
                      <w:highlight w:val="none"/>
                    </w:rPr>
                    <w:t>60μg/m³</w:t>
                  </w:r>
                </w:p>
              </w:tc>
              <w:tc>
                <w:tcPr>
                  <w:tcW w:w="929" w:type="dxa"/>
                  <w:vAlign w:val="center"/>
                </w:tcPr>
                <w:p>
                  <w:pPr>
                    <w:pStyle w:val="58"/>
                    <w:rPr>
                      <w:color w:val="auto"/>
                      <w:kern w:val="0"/>
                      <w:szCs w:val="21"/>
                      <w:highlight w:val="none"/>
                    </w:rPr>
                  </w:pPr>
                  <w:r>
                    <w:rPr>
                      <w:color w:val="auto"/>
                      <w:highlight w:val="none"/>
                    </w:rPr>
                    <w:t>13.33%</w:t>
                  </w:r>
                </w:p>
              </w:tc>
              <w:tc>
                <w:tcPr>
                  <w:tcW w:w="91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NO</w:t>
                  </w:r>
                  <w:r>
                    <w:rPr>
                      <w:color w:val="auto"/>
                      <w:kern w:val="0"/>
                      <w:szCs w:val="21"/>
                      <w:highlight w:val="none"/>
                      <w:vertAlign w:val="subscript"/>
                    </w:rPr>
                    <w:t>2</w:t>
                  </w:r>
                </w:p>
              </w:tc>
              <w:tc>
                <w:tcPr>
                  <w:tcW w:w="2586"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年平均质量浓度</w:t>
                  </w:r>
                </w:p>
              </w:tc>
              <w:tc>
                <w:tcPr>
                  <w:tcW w:w="1260" w:type="dxa"/>
                  <w:vAlign w:val="center"/>
                </w:tcPr>
                <w:p>
                  <w:pPr>
                    <w:pStyle w:val="58"/>
                    <w:rPr>
                      <w:color w:val="auto"/>
                      <w:kern w:val="0"/>
                      <w:szCs w:val="21"/>
                      <w:highlight w:val="none"/>
                    </w:rPr>
                  </w:pPr>
                  <w:r>
                    <w:rPr>
                      <w:color w:val="auto"/>
                      <w:highlight w:val="none"/>
                    </w:rPr>
                    <w:t>24μg/m³</w:t>
                  </w:r>
                </w:p>
              </w:tc>
              <w:tc>
                <w:tcPr>
                  <w:tcW w:w="1055" w:type="dxa"/>
                  <w:vAlign w:val="center"/>
                </w:tcPr>
                <w:p>
                  <w:pPr>
                    <w:pStyle w:val="58"/>
                    <w:rPr>
                      <w:color w:val="auto"/>
                      <w:kern w:val="0"/>
                      <w:szCs w:val="21"/>
                      <w:highlight w:val="none"/>
                    </w:rPr>
                  </w:pPr>
                  <w:r>
                    <w:rPr>
                      <w:color w:val="auto"/>
                      <w:highlight w:val="none"/>
                    </w:rPr>
                    <w:t>40μg/m³</w:t>
                  </w:r>
                </w:p>
              </w:tc>
              <w:tc>
                <w:tcPr>
                  <w:tcW w:w="929" w:type="dxa"/>
                  <w:vAlign w:val="center"/>
                </w:tcPr>
                <w:p>
                  <w:pPr>
                    <w:pStyle w:val="58"/>
                    <w:rPr>
                      <w:color w:val="auto"/>
                      <w:kern w:val="0"/>
                      <w:szCs w:val="21"/>
                      <w:highlight w:val="none"/>
                    </w:rPr>
                  </w:pPr>
                  <w:r>
                    <w:rPr>
                      <w:color w:val="auto"/>
                      <w:highlight w:val="none"/>
                    </w:rPr>
                    <w:t>60.00%</w:t>
                  </w:r>
                </w:p>
              </w:tc>
              <w:tc>
                <w:tcPr>
                  <w:tcW w:w="91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PM</w:t>
                  </w:r>
                  <w:r>
                    <w:rPr>
                      <w:color w:val="auto"/>
                      <w:kern w:val="0"/>
                      <w:szCs w:val="21"/>
                      <w:highlight w:val="none"/>
                      <w:vertAlign w:val="subscript"/>
                    </w:rPr>
                    <w:t>10</w:t>
                  </w:r>
                </w:p>
              </w:tc>
              <w:tc>
                <w:tcPr>
                  <w:tcW w:w="2586"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年平均质量浓度</w:t>
                  </w:r>
                </w:p>
              </w:tc>
              <w:tc>
                <w:tcPr>
                  <w:tcW w:w="1260" w:type="dxa"/>
                  <w:vAlign w:val="center"/>
                </w:tcPr>
                <w:p>
                  <w:pPr>
                    <w:pStyle w:val="58"/>
                    <w:rPr>
                      <w:color w:val="auto"/>
                      <w:kern w:val="0"/>
                      <w:szCs w:val="21"/>
                      <w:highlight w:val="none"/>
                    </w:rPr>
                  </w:pPr>
                  <w:r>
                    <w:rPr>
                      <w:color w:val="auto"/>
                      <w:highlight w:val="none"/>
                    </w:rPr>
                    <w:t>45μg/m³</w:t>
                  </w:r>
                </w:p>
              </w:tc>
              <w:tc>
                <w:tcPr>
                  <w:tcW w:w="1055" w:type="dxa"/>
                  <w:vAlign w:val="center"/>
                </w:tcPr>
                <w:p>
                  <w:pPr>
                    <w:pStyle w:val="58"/>
                    <w:rPr>
                      <w:color w:val="auto"/>
                      <w:kern w:val="0"/>
                      <w:szCs w:val="21"/>
                      <w:highlight w:val="none"/>
                    </w:rPr>
                  </w:pPr>
                  <w:r>
                    <w:rPr>
                      <w:color w:val="auto"/>
                      <w:highlight w:val="none"/>
                    </w:rPr>
                    <w:t>70μg/m³</w:t>
                  </w:r>
                </w:p>
              </w:tc>
              <w:tc>
                <w:tcPr>
                  <w:tcW w:w="929" w:type="dxa"/>
                  <w:vAlign w:val="center"/>
                </w:tcPr>
                <w:p>
                  <w:pPr>
                    <w:pStyle w:val="58"/>
                    <w:rPr>
                      <w:color w:val="auto"/>
                      <w:kern w:val="0"/>
                      <w:szCs w:val="21"/>
                      <w:highlight w:val="none"/>
                    </w:rPr>
                  </w:pPr>
                  <w:r>
                    <w:rPr>
                      <w:color w:val="auto"/>
                      <w:highlight w:val="none"/>
                    </w:rPr>
                    <w:t>64.29%</w:t>
                  </w:r>
                </w:p>
              </w:tc>
              <w:tc>
                <w:tcPr>
                  <w:tcW w:w="91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PM</w:t>
                  </w:r>
                  <w:r>
                    <w:rPr>
                      <w:color w:val="auto"/>
                      <w:kern w:val="0"/>
                      <w:szCs w:val="21"/>
                      <w:highlight w:val="none"/>
                      <w:vertAlign w:val="subscript"/>
                    </w:rPr>
                    <w:t>2.5</w:t>
                  </w:r>
                </w:p>
              </w:tc>
              <w:tc>
                <w:tcPr>
                  <w:tcW w:w="2586"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年平均质量浓度</w:t>
                  </w:r>
                </w:p>
              </w:tc>
              <w:tc>
                <w:tcPr>
                  <w:tcW w:w="1260" w:type="dxa"/>
                  <w:vAlign w:val="center"/>
                </w:tcPr>
                <w:p>
                  <w:pPr>
                    <w:pStyle w:val="58"/>
                    <w:rPr>
                      <w:color w:val="auto"/>
                      <w:kern w:val="0"/>
                      <w:szCs w:val="21"/>
                      <w:highlight w:val="none"/>
                    </w:rPr>
                  </w:pPr>
                  <w:r>
                    <w:rPr>
                      <w:color w:val="auto"/>
                      <w:highlight w:val="none"/>
                    </w:rPr>
                    <w:t>26μg/m³</w:t>
                  </w:r>
                </w:p>
              </w:tc>
              <w:tc>
                <w:tcPr>
                  <w:tcW w:w="1055" w:type="dxa"/>
                  <w:vAlign w:val="center"/>
                </w:tcPr>
                <w:p>
                  <w:pPr>
                    <w:pStyle w:val="58"/>
                    <w:rPr>
                      <w:color w:val="auto"/>
                      <w:kern w:val="0"/>
                      <w:szCs w:val="21"/>
                      <w:highlight w:val="none"/>
                    </w:rPr>
                  </w:pPr>
                  <w:r>
                    <w:rPr>
                      <w:color w:val="auto"/>
                      <w:highlight w:val="none"/>
                    </w:rPr>
                    <w:t>35μg/m³</w:t>
                  </w:r>
                </w:p>
              </w:tc>
              <w:tc>
                <w:tcPr>
                  <w:tcW w:w="929" w:type="dxa"/>
                  <w:vAlign w:val="center"/>
                </w:tcPr>
                <w:p>
                  <w:pPr>
                    <w:pStyle w:val="58"/>
                    <w:rPr>
                      <w:color w:val="auto"/>
                      <w:kern w:val="0"/>
                      <w:szCs w:val="21"/>
                      <w:highlight w:val="none"/>
                    </w:rPr>
                  </w:pPr>
                  <w:r>
                    <w:rPr>
                      <w:color w:val="auto"/>
                      <w:highlight w:val="none"/>
                    </w:rPr>
                    <w:t>74.29%</w:t>
                  </w:r>
                </w:p>
              </w:tc>
              <w:tc>
                <w:tcPr>
                  <w:tcW w:w="91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CO</w:t>
                  </w:r>
                </w:p>
              </w:tc>
              <w:tc>
                <w:tcPr>
                  <w:tcW w:w="258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highlight w:val="none"/>
                    </w:rPr>
                  </w:pPr>
                  <w:r>
                    <w:rPr>
                      <w:color w:val="auto"/>
                      <w:highlight w:val="none"/>
                    </w:rPr>
                    <w:t>日平均质量浓度值第95百分位数</w:t>
                  </w:r>
                </w:p>
              </w:tc>
              <w:tc>
                <w:tcPr>
                  <w:tcW w:w="1260" w:type="dxa"/>
                  <w:vAlign w:val="center"/>
                </w:tcPr>
                <w:p>
                  <w:pPr>
                    <w:pStyle w:val="58"/>
                    <w:rPr>
                      <w:color w:val="auto"/>
                      <w:kern w:val="0"/>
                      <w:szCs w:val="21"/>
                      <w:highlight w:val="none"/>
                    </w:rPr>
                  </w:pPr>
                  <w:r>
                    <w:rPr>
                      <w:color w:val="auto"/>
                      <w:highlight w:val="none"/>
                    </w:rPr>
                    <w:t>1.0mg/m³</w:t>
                  </w:r>
                </w:p>
              </w:tc>
              <w:tc>
                <w:tcPr>
                  <w:tcW w:w="1055" w:type="dxa"/>
                  <w:vAlign w:val="center"/>
                </w:tcPr>
                <w:p>
                  <w:pPr>
                    <w:pStyle w:val="58"/>
                    <w:rPr>
                      <w:color w:val="auto"/>
                      <w:kern w:val="0"/>
                      <w:szCs w:val="21"/>
                      <w:highlight w:val="none"/>
                    </w:rPr>
                  </w:pPr>
                  <w:r>
                    <w:rPr>
                      <w:color w:val="auto"/>
                      <w:highlight w:val="none"/>
                    </w:rPr>
                    <w:t>4mg/m³</w:t>
                  </w:r>
                </w:p>
              </w:tc>
              <w:tc>
                <w:tcPr>
                  <w:tcW w:w="929" w:type="dxa"/>
                  <w:vAlign w:val="center"/>
                </w:tcPr>
                <w:p>
                  <w:pPr>
                    <w:pStyle w:val="58"/>
                    <w:rPr>
                      <w:color w:val="auto"/>
                      <w:kern w:val="0"/>
                      <w:szCs w:val="21"/>
                      <w:highlight w:val="none"/>
                    </w:rPr>
                  </w:pPr>
                  <w:r>
                    <w:rPr>
                      <w:color w:val="auto"/>
                      <w:highlight w:val="none"/>
                    </w:rPr>
                    <w:t>25.00%</w:t>
                  </w:r>
                </w:p>
              </w:tc>
              <w:tc>
                <w:tcPr>
                  <w:tcW w:w="91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O</w:t>
                  </w:r>
                  <w:r>
                    <w:rPr>
                      <w:color w:val="auto"/>
                      <w:kern w:val="0"/>
                      <w:szCs w:val="21"/>
                      <w:highlight w:val="none"/>
                      <w:vertAlign w:val="subscript"/>
                    </w:rPr>
                    <w:t>3</w:t>
                  </w:r>
                </w:p>
              </w:tc>
              <w:tc>
                <w:tcPr>
                  <w:tcW w:w="258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highlight w:val="none"/>
                    </w:rPr>
                  </w:pPr>
                  <w:r>
                    <w:rPr>
                      <w:color w:val="auto"/>
                      <w:highlight w:val="none"/>
                    </w:rPr>
                    <w:t>8h平均质量浓度第90百分位数</w:t>
                  </w:r>
                </w:p>
              </w:tc>
              <w:tc>
                <w:tcPr>
                  <w:tcW w:w="1260" w:type="dxa"/>
                  <w:vAlign w:val="center"/>
                </w:tcPr>
                <w:p>
                  <w:pPr>
                    <w:pStyle w:val="58"/>
                    <w:rPr>
                      <w:color w:val="auto"/>
                      <w:kern w:val="0"/>
                      <w:szCs w:val="21"/>
                      <w:highlight w:val="none"/>
                    </w:rPr>
                  </w:pPr>
                  <w:r>
                    <w:rPr>
                      <w:color w:val="auto"/>
                      <w:highlight w:val="none"/>
                    </w:rPr>
                    <w:t>142μg/m³</w:t>
                  </w:r>
                </w:p>
              </w:tc>
              <w:tc>
                <w:tcPr>
                  <w:tcW w:w="1055" w:type="dxa"/>
                  <w:vAlign w:val="center"/>
                </w:tcPr>
                <w:p>
                  <w:pPr>
                    <w:pStyle w:val="58"/>
                    <w:rPr>
                      <w:color w:val="auto"/>
                      <w:kern w:val="0"/>
                      <w:szCs w:val="21"/>
                      <w:highlight w:val="none"/>
                    </w:rPr>
                  </w:pPr>
                  <w:r>
                    <w:rPr>
                      <w:color w:val="auto"/>
                      <w:highlight w:val="none"/>
                    </w:rPr>
                    <w:t>160μg/m³</w:t>
                  </w:r>
                </w:p>
              </w:tc>
              <w:tc>
                <w:tcPr>
                  <w:tcW w:w="929" w:type="dxa"/>
                  <w:vAlign w:val="center"/>
                </w:tcPr>
                <w:p>
                  <w:pPr>
                    <w:pStyle w:val="58"/>
                    <w:rPr>
                      <w:color w:val="auto"/>
                      <w:kern w:val="0"/>
                      <w:szCs w:val="21"/>
                      <w:highlight w:val="none"/>
                    </w:rPr>
                  </w:pPr>
                  <w:r>
                    <w:rPr>
                      <w:color w:val="auto"/>
                      <w:highlight w:val="none"/>
                    </w:rPr>
                    <w:t>88.75%</w:t>
                  </w:r>
                </w:p>
              </w:tc>
              <w:tc>
                <w:tcPr>
                  <w:tcW w:w="910" w:type="dxa"/>
                  <w:vAlign w:val="center"/>
                </w:tcPr>
                <w:p>
                  <w:pPr>
                    <w:spacing w:line="240" w:lineRule="auto"/>
                    <w:ind w:left="-105" w:leftChars="-50" w:right="-105" w:rightChars="-50"/>
                    <w:jc w:val="center"/>
                    <w:rPr>
                      <w:color w:val="auto"/>
                      <w:kern w:val="0"/>
                      <w:szCs w:val="21"/>
                      <w:highlight w:val="none"/>
                    </w:rPr>
                  </w:pPr>
                  <w:r>
                    <w:rPr>
                      <w:color w:val="auto"/>
                      <w:kern w:val="0"/>
                      <w:szCs w:val="21"/>
                      <w:highlight w:val="none"/>
                    </w:rPr>
                    <w:t>达标</w:t>
                  </w:r>
                </w:p>
              </w:tc>
            </w:tr>
          </w:tbl>
          <w:p>
            <w:pPr>
              <w:pStyle w:val="2"/>
              <w:adjustRightInd/>
              <w:ind w:firstLine="420" w:firstLineChars="200"/>
              <w:rPr>
                <w:rFonts w:cs="Times New Roman"/>
                <w:b/>
                <w:bCs/>
                <w:color w:val="auto"/>
                <w:kern w:val="0"/>
                <w:szCs w:val="21"/>
                <w:highlight w:val="none"/>
              </w:rPr>
            </w:pPr>
            <w:r>
              <w:rPr>
                <w:rFonts w:cs="Times New Roman"/>
                <w:bCs/>
                <w:color w:val="auto"/>
                <w:kern w:val="0"/>
                <w:szCs w:val="21"/>
                <w:highlight w:val="none"/>
              </w:rPr>
              <w:t>由上表可知，</w:t>
            </w:r>
            <w:r>
              <w:rPr>
                <w:color w:val="auto"/>
                <w:highlight w:val="none"/>
              </w:rPr>
              <w:t>项目所在区域</w:t>
            </w:r>
            <w:r>
              <w:rPr>
                <w:rFonts w:hint="eastAsia" w:cs="Times New Roman"/>
                <w:bCs/>
                <w:color w:val="auto"/>
                <w:kern w:val="0"/>
                <w:szCs w:val="21"/>
                <w:highlight w:val="none"/>
              </w:rPr>
              <w:t>2</w:t>
            </w:r>
            <w:r>
              <w:rPr>
                <w:rFonts w:cs="Times New Roman"/>
                <w:bCs/>
                <w:color w:val="auto"/>
                <w:kern w:val="0"/>
                <w:szCs w:val="21"/>
                <w:highlight w:val="none"/>
              </w:rPr>
              <w:t>020年1~12月清城区二氧化硫、二氧化氮、可吸入颗粒物（PM</w:t>
            </w:r>
            <w:r>
              <w:rPr>
                <w:rFonts w:cs="Times New Roman"/>
                <w:bCs/>
                <w:color w:val="auto"/>
                <w:kern w:val="0"/>
                <w:szCs w:val="21"/>
                <w:highlight w:val="none"/>
                <w:vertAlign w:val="subscript"/>
              </w:rPr>
              <w:t>10</w:t>
            </w:r>
            <w:r>
              <w:rPr>
                <w:rFonts w:cs="Times New Roman"/>
                <w:bCs/>
                <w:color w:val="auto"/>
                <w:kern w:val="0"/>
                <w:szCs w:val="21"/>
                <w:highlight w:val="none"/>
              </w:rPr>
              <w:t>）、细颗粒物（PM</w:t>
            </w:r>
            <w:r>
              <w:rPr>
                <w:rFonts w:cs="Times New Roman"/>
                <w:bCs/>
                <w:color w:val="auto"/>
                <w:kern w:val="0"/>
                <w:szCs w:val="21"/>
                <w:highlight w:val="none"/>
                <w:vertAlign w:val="subscript"/>
              </w:rPr>
              <w:t>2.5</w:t>
            </w:r>
            <w:r>
              <w:rPr>
                <w:rFonts w:cs="Times New Roman"/>
                <w:bCs/>
                <w:color w:val="auto"/>
                <w:kern w:val="0"/>
                <w:szCs w:val="21"/>
                <w:highlight w:val="none"/>
              </w:rPr>
              <w:t>）、臭氧日最大8小时滑动平均值第90百分位数及一氧化碳日均值第95百分位数均能达到《环境空气质量标准》（GB3095-2012）及其2018年修改单的二级标准</w:t>
            </w:r>
            <w:r>
              <w:rPr>
                <w:rFonts w:hint="eastAsia" w:cs="Times New Roman"/>
                <w:bCs/>
                <w:color w:val="auto"/>
                <w:kern w:val="0"/>
                <w:szCs w:val="21"/>
                <w:highlight w:val="none"/>
              </w:rPr>
              <w:t>，</w:t>
            </w:r>
            <w:r>
              <w:rPr>
                <w:rFonts w:hint="eastAsia"/>
                <w:color w:val="auto"/>
                <w:highlight w:val="none"/>
              </w:rPr>
              <w:t>项目所在地属于达标区</w:t>
            </w:r>
            <w:r>
              <w:rPr>
                <w:rFonts w:cs="Times New Roman"/>
                <w:bCs/>
                <w:color w:val="auto"/>
                <w:kern w:val="0"/>
                <w:szCs w:val="21"/>
                <w:highlight w:val="none"/>
              </w:rPr>
              <w:t>。</w:t>
            </w:r>
          </w:p>
          <w:p>
            <w:pPr>
              <w:pStyle w:val="2"/>
              <w:adjustRightInd/>
              <w:ind w:firstLine="422" w:firstLineChars="200"/>
              <w:rPr>
                <w:rFonts w:cs="Times New Roman"/>
                <w:b/>
                <w:color w:val="auto"/>
                <w:kern w:val="0"/>
                <w:szCs w:val="21"/>
                <w:highlight w:val="none"/>
              </w:rPr>
            </w:pPr>
            <w:r>
              <w:rPr>
                <w:rFonts w:hint="eastAsia" w:cs="Times New Roman"/>
                <w:b/>
                <w:color w:val="auto"/>
                <w:kern w:val="0"/>
                <w:szCs w:val="21"/>
                <w:highlight w:val="none"/>
              </w:rPr>
              <w:t>（2）其他污染物环境空气质量现状调查</w:t>
            </w:r>
          </w:p>
          <w:p>
            <w:pPr>
              <w:pStyle w:val="2"/>
              <w:adjustRightInd/>
              <w:ind w:firstLine="420" w:firstLineChars="200"/>
              <w:rPr>
                <w:rFonts w:cs="Times New Roman"/>
                <w:b/>
                <w:bCs/>
                <w:color w:val="auto"/>
                <w:kern w:val="0"/>
                <w:szCs w:val="21"/>
                <w:highlight w:val="none"/>
              </w:rPr>
            </w:pPr>
            <w:r>
              <w:rPr>
                <w:rFonts w:hint="eastAsia" w:cs="Times New Roman"/>
                <w:bCs/>
                <w:color w:val="auto"/>
                <w:kern w:val="0"/>
                <w:szCs w:val="21"/>
                <w:highlight w:val="none"/>
              </w:rPr>
              <w:t>本项目运营过程中产生的大气污染物主要为颗粒物，根据《建设项目环境影响报告表编制指南》（污染影响类）（试行）中“排放国家、地方标准环境空气质量标准中有标准限值要求的特征污染物时，引用建设项目5千米范围内近三年的现有监测数据，无相关数据的选择当季主导风向下风向1个点位补充不少于3天的监测数据。”本次评价特征污染物为TSP。</w:t>
            </w:r>
          </w:p>
          <w:p>
            <w:pPr>
              <w:ind w:firstLine="420" w:firstLineChars="200"/>
              <w:jc w:val="both"/>
              <w:rPr>
                <w:color w:val="auto"/>
                <w:kern w:val="0"/>
                <w:szCs w:val="21"/>
                <w:highlight w:val="none"/>
              </w:rPr>
            </w:pPr>
            <w:r>
              <w:rPr>
                <w:rFonts w:hint="eastAsia"/>
                <w:bCs/>
                <w:color w:val="auto"/>
                <w:kern w:val="0"/>
                <w:szCs w:val="21"/>
                <w:highlight w:val="none"/>
              </w:rPr>
              <w:t>为了解</w:t>
            </w:r>
            <w:r>
              <w:rPr>
                <w:color w:val="auto"/>
                <w:kern w:val="0"/>
                <w:szCs w:val="21"/>
                <w:highlight w:val="none"/>
              </w:rPr>
              <w:t>本项目周边大气特征因子的环境质量现状，本次评价引用</w:t>
            </w:r>
            <w:r>
              <w:rPr>
                <w:rFonts w:hint="eastAsia"/>
                <w:color w:val="auto"/>
                <w:kern w:val="0"/>
                <w:szCs w:val="21"/>
                <w:highlight w:val="none"/>
              </w:rPr>
              <w:t>的TSP环境质量现状监测数据为清远市展鸿环保科技有限公司</w:t>
            </w:r>
            <w:r>
              <w:rPr>
                <w:rFonts w:hint="eastAsia"/>
                <w:color w:val="auto"/>
                <w:highlight w:val="none"/>
              </w:rPr>
              <w:t>委托广东海能检测有限公司对本项目所在区域的TSP、氨进行连续7天的现状监测（报告编号：HN20200102015，详见附件6），监测时间为2020年7月2日~2020年7月8日，监测点与本项目的位置关系见表11和附图5，监测结果见表12</w:t>
            </w:r>
            <w:r>
              <w:rPr>
                <w:rFonts w:hint="eastAsia"/>
                <w:color w:val="auto"/>
                <w:kern w:val="0"/>
                <w:szCs w:val="21"/>
                <w:highlight w:val="none"/>
              </w:rPr>
              <w:t>。</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b/>
                <w:color w:val="auto"/>
                <w:kern w:val="0"/>
                <w:szCs w:val="21"/>
                <w:highlight w:val="none"/>
              </w:rPr>
              <w:t>大气监测布点情况一览表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3108"/>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highlight w:val="none"/>
                    </w:rPr>
                    <w:t>监测点位</w:t>
                  </w:r>
                </w:p>
              </w:tc>
              <w:tc>
                <w:tcPr>
                  <w:tcW w:w="3108" w:type="dxa"/>
                  <w:vAlign w:val="center"/>
                </w:tcPr>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highlight w:val="none"/>
                    </w:rPr>
                    <w:t>与本项目相对位置</w:t>
                  </w:r>
                </w:p>
              </w:tc>
              <w:tc>
                <w:tcPr>
                  <w:tcW w:w="2686" w:type="dxa"/>
                  <w:vAlign w:val="center"/>
                </w:tcPr>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highlight w:val="none"/>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highlight w:val="none"/>
                    </w:rPr>
                    <w:t>牛掩村</w:t>
                  </w:r>
                </w:p>
              </w:tc>
              <w:tc>
                <w:tcPr>
                  <w:tcW w:w="3108" w:type="dxa"/>
                  <w:vAlign w:val="center"/>
                </w:tcPr>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highlight w:val="none"/>
                    </w:rPr>
                    <w:t>项目东南面120m处</w:t>
                  </w:r>
                </w:p>
              </w:tc>
              <w:tc>
                <w:tcPr>
                  <w:tcW w:w="2686" w:type="dxa"/>
                  <w:vAlign w:val="center"/>
                </w:tcPr>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highlight w:val="none"/>
                    </w:rPr>
                    <w:t>TSP</w:t>
                  </w:r>
                  <w:r>
                    <w:rPr>
                      <w:rFonts w:hint="eastAsia" w:ascii="Times New Roman" w:hAnsi="Times New Roman" w:cs="Times New Roman"/>
                      <w:color w:val="auto"/>
                      <w:highlight w:val="none"/>
                    </w:rPr>
                    <w:t>：</w:t>
                  </w:r>
                  <w:r>
                    <w:rPr>
                      <w:rFonts w:ascii="Times New Roman" w:hAnsi="Times New Roman" w:cs="Times New Roman"/>
                      <w:color w:val="auto"/>
                      <w:highlight w:val="none"/>
                    </w:rPr>
                    <w:t>24h均值</w:t>
                  </w:r>
                </w:p>
              </w:tc>
            </w:tr>
          </w:tbl>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TSP</w:t>
            </w:r>
            <w:r>
              <w:rPr>
                <w:b/>
                <w:color w:val="auto"/>
                <w:kern w:val="0"/>
                <w:szCs w:val="21"/>
                <w:highlight w:val="none"/>
              </w:rPr>
              <w:t>现状监测结果一览表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143"/>
              <w:gridCol w:w="1946"/>
              <w:gridCol w:w="1336"/>
              <w:gridCol w:w="1407"/>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1"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污染物</w:t>
                  </w:r>
                </w:p>
              </w:tc>
              <w:tc>
                <w:tcPr>
                  <w:tcW w:w="1143"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监测点</w:t>
                  </w:r>
                </w:p>
              </w:tc>
              <w:tc>
                <w:tcPr>
                  <w:tcW w:w="1946"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浓度范围（mg/m</w:t>
                  </w:r>
                  <w:r>
                    <w:rPr>
                      <w:rFonts w:ascii="Times New Roman" w:hAnsi="Times New Roman" w:cs="Times New Roman"/>
                      <w:color w:val="auto"/>
                      <w:highlight w:val="none"/>
                      <w:vertAlign w:val="superscript"/>
                    </w:rPr>
                    <w:t>3</w:t>
                  </w:r>
                  <w:r>
                    <w:rPr>
                      <w:rFonts w:ascii="Times New Roman" w:hAnsi="Times New Roman" w:cs="Times New Roman"/>
                      <w:color w:val="auto"/>
                      <w:highlight w:val="none"/>
                    </w:rPr>
                    <w:t>）</w:t>
                  </w:r>
                </w:p>
              </w:tc>
              <w:tc>
                <w:tcPr>
                  <w:tcW w:w="1336"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标准值（mg/m</w:t>
                  </w:r>
                  <w:r>
                    <w:rPr>
                      <w:rFonts w:ascii="Times New Roman" w:hAnsi="Times New Roman" w:cs="Times New Roman"/>
                      <w:color w:val="auto"/>
                      <w:highlight w:val="none"/>
                      <w:vertAlign w:val="superscript"/>
                    </w:rPr>
                    <w:t>3</w:t>
                  </w:r>
                  <w:r>
                    <w:rPr>
                      <w:rFonts w:ascii="Times New Roman" w:hAnsi="Times New Roman" w:cs="Times New Roman"/>
                      <w:color w:val="auto"/>
                      <w:highlight w:val="none"/>
                    </w:rPr>
                    <w:t>）</w:t>
                  </w:r>
                </w:p>
              </w:tc>
              <w:tc>
                <w:tcPr>
                  <w:tcW w:w="1407"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最大浓度占标率（%）</w:t>
                  </w:r>
                </w:p>
              </w:tc>
              <w:tc>
                <w:tcPr>
                  <w:tcW w:w="890"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41"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TSP</w:t>
                  </w:r>
                </w:p>
              </w:tc>
              <w:tc>
                <w:tcPr>
                  <w:tcW w:w="1143"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牛掩村</w:t>
                  </w:r>
                </w:p>
              </w:tc>
              <w:tc>
                <w:tcPr>
                  <w:tcW w:w="1946"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0.117~0.234</w:t>
                  </w:r>
                </w:p>
              </w:tc>
              <w:tc>
                <w:tcPr>
                  <w:tcW w:w="1336"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≤0.3</w:t>
                  </w:r>
                </w:p>
              </w:tc>
              <w:tc>
                <w:tcPr>
                  <w:tcW w:w="1407"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78</w:t>
                  </w:r>
                </w:p>
              </w:tc>
              <w:tc>
                <w:tcPr>
                  <w:tcW w:w="890" w:type="dxa"/>
                  <w:vAlign w:val="center"/>
                </w:tcPr>
                <w:p>
                  <w:pPr>
                    <w:pStyle w:val="50"/>
                    <w:spacing w:before="31" w:after="31"/>
                    <w:rPr>
                      <w:rFonts w:ascii="Times New Roman" w:hAnsi="Times New Roman" w:cs="Times New Roman"/>
                      <w:color w:val="auto"/>
                      <w:highlight w:val="none"/>
                    </w:rPr>
                  </w:pPr>
                  <w:r>
                    <w:rPr>
                      <w:rFonts w:ascii="Times New Roman" w:hAnsi="Times New Roman" w:cs="Times New Roman"/>
                      <w:color w:val="auto"/>
                      <w:highlight w:val="none"/>
                    </w:rPr>
                    <w:t>0</w:t>
                  </w:r>
                </w:p>
              </w:tc>
            </w:tr>
          </w:tbl>
          <w:p>
            <w:pPr>
              <w:pStyle w:val="13"/>
              <w:ind w:left="0" w:firstLine="420" w:firstLineChars="200"/>
              <w:rPr>
                <w:bCs/>
                <w:color w:val="auto"/>
                <w:kern w:val="0"/>
                <w:szCs w:val="21"/>
                <w:highlight w:val="none"/>
              </w:rPr>
            </w:pPr>
            <w:r>
              <w:rPr>
                <w:color w:val="auto"/>
                <w:kern w:val="0"/>
                <w:szCs w:val="21"/>
                <w:highlight w:val="none"/>
              </w:rPr>
              <w:t>环境空气质量现状调查结果表明，</w:t>
            </w:r>
            <w:r>
              <w:rPr>
                <w:color w:val="auto"/>
                <w:kern w:val="0"/>
                <w:szCs w:val="21"/>
                <w:highlight w:val="none"/>
                <w:lang w:val="zh-CN"/>
              </w:rPr>
              <w:t>项目所在区域TSP现状值满足《环境空气质量标准》（GB3095-2012）及其</w:t>
            </w:r>
            <w:r>
              <w:rPr>
                <w:rFonts w:hint="eastAsia"/>
                <w:color w:val="auto"/>
                <w:kern w:val="0"/>
                <w:szCs w:val="21"/>
                <w:highlight w:val="none"/>
              </w:rPr>
              <w:t>2018年</w:t>
            </w:r>
            <w:r>
              <w:rPr>
                <w:color w:val="auto"/>
                <w:kern w:val="0"/>
                <w:szCs w:val="21"/>
                <w:highlight w:val="none"/>
                <w:lang w:val="zh-CN"/>
              </w:rPr>
              <w:t>修改单中的二级标准</w:t>
            </w:r>
            <w:r>
              <w:rPr>
                <w:rFonts w:hint="eastAsia"/>
                <w:color w:val="auto"/>
                <w:kern w:val="0"/>
                <w:szCs w:val="21"/>
                <w:highlight w:val="none"/>
                <w:lang w:val="zh-CN"/>
              </w:rPr>
              <w:t>，</w:t>
            </w:r>
            <w:r>
              <w:rPr>
                <w:color w:val="auto"/>
                <w:kern w:val="0"/>
                <w:szCs w:val="21"/>
                <w:highlight w:val="none"/>
                <w:lang w:val="zh-CN"/>
              </w:rPr>
              <w:t>项目所在区域环境空气质量现状良好。</w:t>
            </w:r>
          </w:p>
          <w:p>
            <w:pPr>
              <w:pStyle w:val="13"/>
              <w:ind w:left="0" w:firstLine="422" w:firstLineChars="200"/>
              <w:rPr>
                <w:b/>
                <w:color w:val="auto"/>
                <w:kern w:val="0"/>
                <w:szCs w:val="21"/>
                <w:highlight w:val="none"/>
              </w:rPr>
            </w:pPr>
            <w:r>
              <w:rPr>
                <w:rFonts w:hint="eastAsia"/>
                <w:b/>
                <w:color w:val="auto"/>
                <w:kern w:val="0"/>
                <w:szCs w:val="21"/>
                <w:highlight w:val="none"/>
              </w:rPr>
              <w:t>（3）</w:t>
            </w:r>
            <w:r>
              <w:rPr>
                <w:b/>
                <w:color w:val="auto"/>
                <w:kern w:val="0"/>
                <w:szCs w:val="21"/>
                <w:highlight w:val="none"/>
              </w:rPr>
              <w:t>达标情况判定</w:t>
            </w:r>
          </w:p>
          <w:p>
            <w:pPr>
              <w:pStyle w:val="13"/>
              <w:ind w:left="0" w:firstLine="420" w:firstLineChars="200"/>
              <w:rPr>
                <w:bCs/>
                <w:color w:val="auto"/>
                <w:kern w:val="0"/>
                <w:szCs w:val="21"/>
                <w:highlight w:val="none"/>
              </w:rPr>
            </w:pPr>
            <w:r>
              <w:rPr>
                <w:bCs/>
                <w:color w:val="auto"/>
                <w:kern w:val="0"/>
                <w:szCs w:val="21"/>
                <w:highlight w:val="none"/>
              </w:rPr>
              <w:t>综上所述，项目所在区域大气环境常规污染物及特征污染物均满足《环境空气质量标准》（GB3095-2012）及其</w:t>
            </w:r>
            <w:r>
              <w:rPr>
                <w:rFonts w:hint="eastAsia"/>
                <w:bCs/>
                <w:color w:val="auto"/>
                <w:kern w:val="0"/>
                <w:szCs w:val="21"/>
                <w:highlight w:val="none"/>
              </w:rPr>
              <w:t>2018年</w:t>
            </w:r>
            <w:r>
              <w:rPr>
                <w:bCs/>
                <w:color w:val="auto"/>
                <w:kern w:val="0"/>
                <w:szCs w:val="21"/>
                <w:highlight w:val="none"/>
              </w:rPr>
              <w:t>修改单的二级标准，大气环境质量现状达标。</w:t>
            </w:r>
          </w:p>
          <w:p>
            <w:pPr>
              <w:ind w:firstLine="422" w:firstLineChars="200"/>
              <w:rPr>
                <w:b/>
                <w:bCs/>
                <w:color w:val="auto"/>
                <w:kern w:val="0"/>
                <w:szCs w:val="21"/>
                <w:highlight w:val="none"/>
              </w:rPr>
            </w:pPr>
            <w:r>
              <w:rPr>
                <w:rFonts w:hint="eastAsia"/>
                <w:b/>
                <w:bCs/>
                <w:color w:val="auto"/>
                <w:kern w:val="0"/>
                <w:szCs w:val="21"/>
                <w:highlight w:val="none"/>
              </w:rPr>
              <w:t>2、地表水环境质量现状</w:t>
            </w:r>
          </w:p>
          <w:p>
            <w:pPr>
              <w:pStyle w:val="2"/>
              <w:adjustRightInd/>
              <w:ind w:firstLine="420" w:firstLineChars="200"/>
              <w:rPr>
                <w:rFonts w:cs="Times New Roman"/>
                <w:b/>
                <w:color w:val="auto"/>
                <w:kern w:val="0"/>
                <w:szCs w:val="21"/>
                <w:highlight w:val="none"/>
              </w:rPr>
            </w:pPr>
            <w:r>
              <w:rPr>
                <w:rFonts w:hint="eastAsia"/>
                <w:color w:val="auto"/>
                <w:highlight w:val="none"/>
              </w:rPr>
              <w:t>本项目无废水外排，因此无污水受纳水体，项目附近地表水体为滨江。根据《广东省地表水环境功能区划》（粵环[2011]14号文），滨江（清新大雾山至清新区自来水厂吸水口下游 500 米）执行《水环境质量标准》（GB3838-2002）II 类标准</w:t>
            </w:r>
            <w:r>
              <w:rPr>
                <w:rFonts w:hint="eastAsia" w:cs="Times New Roman"/>
                <w:color w:val="auto"/>
                <w:kern w:val="0"/>
                <w:szCs w:val="21"/>
                <w:highlight w:val="none"/>
              </w:rPr>
              <w:t>。</w:t>
            </w:r>
          </w:p>
          <w:p>
            <w:pPr>
              <w:widowControl w:val="0"/>
              <w:wordWrap w:val="0"/>
              <w:ind w:firstLine="482"/>
              <w:rPr>
                <w:rFonts w:cs="宋体"/>
                <w:color w:val="auto"/>
                <w:highlight w:val="none"/>
              </w:rPr>
            </w:pPr>
            <w:r>
              <w:rPr>
                <w:rFonts w:cs="宋体"/>
                <w:color w:val="auto"/>
                <w:highlight w:val="none"/>
              </w:rPr>
              <w:t>根据《清远市环境质量报告书</w:t>
            </w:r>
            <w:r>
              <w:rPr>
                <w:rFonts w:hint="eastAsia" w:cs="宋体"/>
                <w:color w:val="auto"/>
                <w:highlight w:val="none"/>
              </w:rPr>
              <w:t>2020年（公众版）</w:t>
            </w:r>
            <w:r>
              <w:rPr>
                <w:rFonts w:cs="宋体"/>
                <w:color w:val="auto"/>
                <w:highlight w:val="none"/>
              </w:rPr>
              <w:t>》，</w:t>
            </w:r>
            <w:r>
              <w:rPr>
                <w:rFonts w:hint="eastAsia" w:cs="宋体"/>
                <w:color w:val="auto"/>
                <w:highlight w:val="none"/>
              </w:rPr>
              <w:t>滨江</w:t>
            </w:r>
            <w:r>
              <w:rPr>
                <w:rFonts w:cs="宋体"/>
                <w:color w:val="auto"/>
                <w:highlight w:val="none"/>
              </w:rPr>
              <w:t>2020年水质情况符合《地表水环境质量标准》（GB3838-2002）</w:t>
            </w:r>
            <w:r>
              <w:rPr>
                <w:rFonts w:hint="eastAsia"/>
                <w:color w:val="auto"/>
                <w:highlight w:val="none"/>
              </w:rPr>
              <w:t xml:space="preserve">II </w:t>
            </w:r>
            <w:r>
              <w:rPr>
                <w:rFonts w:cs="宋体"/>
                <w:color w:val="auto"/>
                <w:highlight w:val="none"/>
              </w:rPr>
              <w:t>类标准的要求。</w:t>
            </w:r>
          </w:p>
          <w:p>
            <w:pPr>
              <w:ind w:firstLine="422" w:firstLineChars="200"/>
              <w:rPr>
                <w:b/>
                <w:bCs/>
                <w:color w:val="auto"/>
                <w:kern w:val="0"/>
                <w:szCs w:val="21"/>
                <w:highlight w:val="none"/>
              </w:rPr>
            </w:pPr>
            <w:r>
              <w:rPr>
                <w:b/>
                <w:bCs/>
                <w:color w:val="auto"/>
                <w:kern w:val="0"/>
                <w:szCs w:val="21"/>
                <w:highlight w:val="none"/>
              </w:rPr>
              <w:t>3、声环境</w:t>
            </w:r>
          </w:p>
          <w:p>
            <w:pPr>
              <w:pStyle w:val="13"/>
              <w:ind w:left="0" w:firstLine="420" w:firstLineChars="200"/>
              <w:rPr>
                <w:color w:val="auto"/>
                <w:kern w:val="0"/>
                <w:szCs w:val="21"/>
                <w:highlight w:val="none"/>
              </w:rPr>
            </w:pPr>
            <w:r>
              <w:rPr>
                <w:rFonts w:hint="eastAsia"/>
                <w:color w:val="auto"/>
                <w:highlight w:val="none"/>
              </w:rPr>
              <w:t>本项目属于2类声环境功能区，执行《声环境质量标准》(GB3096-2008)中2类标准。</w:t>
            </w:r>
            <w:r>
              <w:rPr>
                <w:rFonts w:hint="eastAsia"/>
                <w:color w:val="auto"/>
                <w:kern w:val="0"/>
                <w:szCs w:val="21"/>
                <w:highlight w:val="none"/>
              </w:rPr>
              <w:t>本项目厂界周边50米范围内无声环境保护目标，因此本项目不对声环境进行分析与评价。</w:t>
            </w:r>
          </w:p>
          <w:p>
            <w:pPr>
              <w:pStyle w:val="13"/>
              <w:ind w:left="0" w:firstLine="422" w:firstLineChars="200"/>
              <w:rPr>
                <w:bCs/>
                <w:color w:val="auto"/>
                <w:kern w:val="0"/>
                <w:szCs w:val="21"/>
                <w:highlight w:val="none"/>
              </w:rPr>
            </w:pPr>
            <w:r>
              <w:rPr>
                <w:b/>
                <w:color w:val="auto"/>
                <w:kern w:val="0"/>
                <w:szCs w:val="21"/>
                <w:highlight w:val="none"/>
              </w:rPr>
              <w:t>4、生态环境</w:t>
            </w:r>
          </w:p>
          <w:p>
            <w:pPr>
              <w:adjustRightInd w:val="0"/>
              <w:snapToGrid w:val="0"/>
              <w:ind w:firstLine="420" w:firstLineChars="200"/>
              <w:rPr>
                <w:color w:val="auto"/>
                <w:kern w:val="0"/>
                <w:szCs w:val="21"/>
                <w:highlight w:val="none"/>
              </w:rPr>
            </w:pPr>
            <w:r>
              <w:rPr>
                <w:rFonts w:hint="eastAsia"/>
                <w:color w:val="auto"/>
                <w:kern w:val="0"/>
                <w:szCs w:val="21"/>
                <w:highlight w:val="none"/>
              </w:rPr>
              <w:t>本项目租用原有厂房的进行建设，不新增用地且用地范围内无生态环境保护目标，无需进行生态环境现状调查。</w:t>
            </w:r>
          </w:p>
          <w:p>
            <w:pPr>
              <w:pStyle w:val="13"/>
              <w:ind w:left="0" w:firstLine="422" w:firstLineChars="200"/>
              <w:rPr>
                <w:b/>
                <w:color w:val="auto"/>
                <w:kern w:val="0"/>
                <w:szCs w:val="21"/>
                <w:highlight w:val="none"/>
              </w:rPr>
            </w:pPr>
            <w:r>
              <w:rPr>
                <w:b/>
                <w:color w:val="auto"/>
                <w:kern w:val="0"/>
                <w:szCs w:val="21"/>
                <w:highlight w:val="none"/>
              </w:rPr>
              <w:t>5、电磁辐射</w:t>
            </w:r>
          </w:p>
          <w:p>
            <w:pPr>
              <w:pStyle w:val="13"/>
              <w:ind w:left="0" w:firstLine="420" w:firstLineChars="200"/>
              <w:rPr>
                <w:bCs/>
                <w:color w:val="auto"/>
                <w:kern w:val="0"/>
                <w:szCs w:val="21"/>
                <w:highlight w:val="none"/>
              </w:rPr>
            </w:pPr>
            <w:r>
              <w:rPr>
                <w:bCs/>
                <w:color w:val="auto"/>
                <w:kern w:val="0"/>
                <w:szCs w:val="21"/>
                <w:highlight w:val="none"/>
              </w:rPr>
              <w:t>本项目不涉及新建或改建、扩建广播电台、差转台、电视塔台、卫星地球上行站、雷达等电磁辐射类等建设内容，无需开展电磁辐射监测与评价。</w:t>
            </w:r>
          </w:p>
          <w:p>
            <w:pPr>
              <w:pStyle w:val="13"/>
              <w:ind w:left="0" w:firstLine="422" w:firstLineChars="200"/>
              <w:rPr>
                <w:b/>
                <w:color w:val="auto"/>
                <w:kern w:val="0"/>
                <w:szCs w:val="21"/>
                <w:highlight w:val="none"/>
              </w:rPr>
            </w:pPr>
            <w:r>
              <w:rPr>
                <w:b/>
                <w:color w:val="auto"/>
                <w:kern w:val="0"/>
                <w:szCs w:val="21"/>
                <w:highlight w:val="none"/>
              </w:rPr>
              <w:t>6、地下水、土壤环境</w:t>
            </w:r>
          </w:p>
          <w:p>
            <w:pPr>
              <w:pStyle w:val="13"/>
              <w:ind w:left="0" w:firstLine="420" w:firstLineChars="200"/>
              <w:rPr>
                <w:bCs/>
                <w:color w:val="auto"/>
                <w:kern w:val="0"/>
                <w:szCs w:val="21"/>
                <w:highlight w:val="none"/>
              </w:rPr>
            </w:pPr>
            <w:r>
              <w:rPr>
                <w:rFonts w:hint="eastAsia" w:ascii="宋体" w:hAnsi="宋体"/>
                <w:bCs/>
                <w:color w:val="auto"/>
                <w:kern w:val="0"/>
                <w:szCs w:val="21"/>
                <w:highlight w:val="none"/>
              </w:rPr>
              <w:t>本项目不涉及土壤、地下水环境污染途径，可不开展环境质量现状调查。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407" w:type="dxa"/>
            <w:vAlign w:val="center"/>
          </w:tcPr>
          <w:p>
            <w:pPr>
              <w:adjustRightInd w:val="0"/>
              <w:snapToGrid w:val="0"/>
              <w:jc w:val="center"/>
              <w:rPr>
                <w:color w:val="auto"/>
                <w:kern w:val="0"/>
                <w:szCs w:val="21"/>
                <w:highlight w:val="none"/>
              </w:rPr>
            </w:pPr>
            <w:r>
              <w:rPr>
                <w:color w:val="auto"/>
                <w:kern w:val="0"/>
                <w:szCs w:val="21"/>
                <w:highlight w:val="none"/>
              </w:rPr>
              <w:t>环境</w:t>
            </w:r>
          </w:p>
          <w:p>
            <w:pPr>
              <w:adjustRightInd w:val="0"/>
              <w:snapToGrid w:val="0"/>
              <w:jc w:val="center"/>
              <w:rPr>
                <w:color w:val="auto"/>
                <w:kern w:val="0"/>
                <w:szCs w:val="21"/>
                <w:highlight w:val="none"/>
              </w:rPr>
            </w:pPr>
            <w:r>
              <w:rPr>
                <w:color w:val="auto"/>
                <w:kern w:val="0"/>
                <w:szCs w:val="21"/>
                <w:highlight w:val="none"/>
              </w:rPr>
              <w:t>保护</w:t>
            </w:r>
          </w:p>
          <w:p>
            <w:pPr>
              <w:adjustRightInd w:val="0"/>
              <w:snapToGrid w:val="0"/>
              <w:spacing w:line="288" w:lineRule="auto"/>
              <w:jc w:val="center"/>
              <w:rPr>
                <w:color w:val="auto"/>
                <w:kern w:val="0"/>
                <w:szCs w:val="21"/>
                <w:highlight w:val="none"/>
              </w:rPr>
            </w:pPr>
            <w:r>
              <w:rPr>
                <w:color w:val="auto"/>
                <w:kern w:val="0"/>
                <w:szCs w:val="21"/>
                <w:highlight w:val="none"/>
              </w:rPr>
              <w:t>目标</w:t>
            </w:r>
          </w:p>
        </w:tc>
        <w:tc>
          <w:tcPr>
            <w:tcW w:w="7889" w:type="dxa"/>
          </w:tcPr>
          <w:p>
            <w:pPr>
              <w:pStyle w:val="46"/>
              <w:numPr>
                <w:ilvl w:val="8"/>
                <w:numId w:val="8"/>
              </w:numPr>
              <w:autoSpaceDE w:val="0"/>
              <w:autoSpaceDN w:val="0"/>
              <w:adjustRightInd w:val="0"/>
              <w:snapToGrid w:val="0"/>
              <w:spacing w:line="240" w:lineRule="auto"/>
              <w:ind w:firstLineChars="0"/>
              <w:jc w:val="center"/>
              <w:rPr>
                <w:b/>
                <w:bCs/>
                <w:color w:val="auto"/>
                <w:highlight w:val="none"/>
              </w:rPr>
            </w:pPr>
            <w:r>
              <w:rPr>
                <w:rFonts w:hint="eastAsia"/>
                <w:b/>
                <w:bCs/>
                <w:color w:val="auto"/>
                <w:highlight w:val="none"/>
              </w:rPr>
              <w:t>本项目环境保护目标一览表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100"/>
              <w:gridCol w:w="1100"/>
              <w:gridCol w:w="1100"/>
              <w:gridCol w:w="1100"/>
              <w:gridCol w:w="1058"/>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Align w:val="center"/>
                </w:tcPr>
                <w:p>
                  <w:pPr>
                    <w:spacing w:line="240" w:lineRule="auto"/>
                    <w:contextualSpacing/>
                    <w:jc w:val="center"/>
                    <w:rPr>
                      <w:color w:val="auto"/>
                      <w:highlight w:val="none"/>
                    </w:rPr>
                  </w:pPr>
                  <w:r>
                    <w:rPr>
                      <w:rFonts w:hint="eastAsia"/>
                      <w:color w:val="auto"/>
                      <w:highlight w:val="none"/>
                    </w:rPr>
                    <w:t>保护类别</w:t>
                  </w:r>
                </w:p>
              </w:tc>
              <w:tc>
                <w:tcPr>
                  <w:tcW w:w="1097" w:type="dxa"/>
                  <w:vAlign w:val="center"/>
                </w:tcPr>
                <w:p>
                  <w:pPr>
                    <w:spacing w:line="240" w:lineRule="auto"/>
                    <w:contextualSpacing/>
                    <w:jc w:val="center"/>
                    <w:rPr>
                      <w:color w:val="auto"/>
                      <w:highlight w:val="none"/>
                    </w:rPr>
                  </w:pPr>
                  <w:r>
                    <w:rPr>
                      <w:rFonts w:hint="eastAsia"/>
                      <w:color w:val="auto"/>
                      <w:highlight w:val="none"/>
                    </w:rPr>
                    <w:t>保护目标</w:t>
                  </w:r>
                </w:p>
              </w:tc>
              <w:tc>
                <w:tcPr>
                  <w:tcW w:w="1097" w:type="dxa"/>
                  <w:vAlign w:val="center"/>
                </w:tcPr>
                <w:p>
                  <w:pPr>
                    <w:spacing w:line="240" w:lineRule="auto"/>
                    <w:contextualSpacing/>
                    <w:jc w:val="center"/>
                    <w:rPr>
                      <w:color w:val="auto"/>
                      <w:highlight w:val="none"/>
                    </w:rPr>
                  </w:pPr>
                  <w:r>
                    <w:rPr>
                      <w:rFonts w:hint="eastAsia"/>
                      <w:color w:val="auto"/>
                      <w:highlight w:val="none"/>
                    </w:rPr>
                    <w:t>保护对象</w:t>
                  </w:r>
                </w:p>
              </w:tc>
              <w:tc>
                <w:tcPr>
                  <w:tcW w:w="1097" w:type="dxa"/>
                  <w:vAlign w:val="center"/>
                </w:tcPr>
                <w:p>
                  <w:pPr>
                    <w:spacing w:line="240" w:lineRule="auto"/>
                    <w:contextualSpacing/>
                    <w:jc w:val="center"/>
                    <w:rPr>
                      <w:color w:val="auto"/>
                      <w:highlight w:val="none"/>
                    </w:rPr>
                  </w:pPr>
                  <w:r>
                    <w:rPr>
                      <w:rFonts w:hint="eastAsia"/>
                      <w:color w:val="auto"/>
                      <w:highlight w:val="none"/>
                    </w:rPr>
                    <w:t>保护内容</w:t>
                  </w:r>
                </w:p>
              </w:tc>
              <w:tc>
                <w:tcPr>
                  <w:tcW w:w="1097" w:type="dxa"/>
                  <w:vAlign w:val="center"/>
                </w:tcPr>
                <w:p>
                  <w:pPr>
                    <w:spacing w:line="240" w:lineRule="auto"/>
                    <w:contextualSpacing/>
                    <w:jc w:val="center"/>
                    <w:rPr>
                      <w:color w:val="auto"/>
                      <w:highlight w:val="none"/>
                    </w:rPr>
                  </w:pPr>
                  <w:r>
                    <w:rPr>
                      <w:rFonts w:hint="eastAsia"/>
                      <w:color w:val="auto"/>
                      <w:highlight w:val="none"/>
                    </w:rPr>
                    <w:t>环境功能区</w:t>
                  </w:r>
                </w:p>
              </w:tc>
              <w:tc>
                <w:tcPr>
                  <w:tcW w:w="1055" w:type="dxa"/>
                  <w:vAlign w:val="center"/>
                </w:tcPr>
                <w:p>
                  <w:pPr>
                    <w:spacing w:line="240" w:lineRule="auto"/>
                    <w:contextualSpacing/>
                    <w:jc w:val="center"/>
                    <w:rPr>
                      <w:color w:val="auto"/>
                      <w:highlight w:val="none"/>
                    </w:rPr>
                  </w:pPr>
                  <w:r>
                    <w:rPr>
                      <w:rFonts w:hint="eastAsia"/>
                      <w:color w:val="auto"/>
                      <w:highlight w:val="none"/>
                    </w:rPr>
                    <w:t>相对方位</w:t>
                  </w:r>
                </w:p>
              </w:tc>
              <w:tc>
                <w:tcPr>
                  <w:tcW w:w="1102" w:type="dxa"/>
                  <w:vAlign w:val="center"/>
                </w:tcPr>
                <w:p>
                  <w:pPr>
                    <w:spacing w:line="240" w:lineRule="auto"/>
                    <w:contextualSpacing/>
                    <w:jc w:val="center"/>
                    <w:rPr>
                      <w:color w:val="auto"/>
                      <w:highlight w:val="none"/>
                    </w:rPr>
                  </w:pPr>
                  <w:r>
                    <w:rPr>
                      <w:rFonts w:hint="eastAsia"/>
                      <w:color w:val="auto"/>
                      <w:highlight w:val="none"/>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vAlign w:val="center"/>
                </w:tcPr>
                <w:p>
                  <w:pPr>
                    <w:spacing w:line="240" w:lineRule="auto"/>
                    <w:contextualSpacing/>
                    <w:jc w:val="center"/>
                    <w:rPr>
                      <w:color w:val="auto"/>
                      <w:highlight w:val="none"/>
                    </w:rPr>
                  </w:pPr>
                  <w:r>
                    <w:rPr>
                      <w:rFonts w:hint="eastAsia"/>
                      <w:color w:val="auto"/>
                      <w:highlight w:val="none"/>
                    </w:rPr>
                    <w:t>大气环境（500米范围内）</w:t>
                  </w:r>
                </w:p>
              </w:tc>
              <w:tc>
                <w:tcPr>
                  <w:tcW w:w="1097" w:type="dxa"/>
                  <w:vAlign w:val="center"/>
                </w:tcPr>
                <w:p>
                  <w:pPr>
                    <w:spacing w:line="240" w:lineRule="auto"/>
                    <w:contextualSpacing/>
                    <w:jc w:val="center"/>
                    <w:rPr>
                      <w:color w:val="auto"/>
                      <w:highlight w:val="none"/>
                    </w:rPr>
                  </w:pPr>
                  <w:r>
                    <w:rPr>
                      <w:rFonts w:hint="eastAsia"/>
                      <w:color w:val="auto"/>
                      <w:highlight w:val="none"/>
                    </w:rPr>
                    <w:t>牛掩村</w:t>
                  </w:r>
                </w:p>
              </w:tc>
              <w:tc>
                <w:tcPr>
                  <w:tcW w:w="1097" w:type="dxa"/>
                  <w:vAlign w:val="center"/>
                </w:tcPr>
                <w:p>
                  <w:pPr>
                    <w:spacing w:line="240" w:lineRule="auto"/>
                    <w:contextualSpacing/>
                    <w:jc w:val="center"/>
                    <w:rPr>
                      <w:color w:val="auto"/>
                      <w:highlight w:val="none"/>
                    </w:rPr>
                  </w:pPr>
                  <w:r>
                    <w:rPr>
                      <w:rFonts w:hint="eastAsia"/>
                      <w:color w:val="auto"/>
                      <w:highlight w:val="none"/>
                    </w:rPr>
                    <w:t>居民点</w:t>
                  </w:r>
                </w:p>
              </w:tc>
              <w:tc>
                <w:tcPr>
                  <w:tcW w:w="1097" w:type="dxa"/>
                  <w:vAlign w:val="center"/>
                </w:tcPr>
                <w:p>
                  <w:pPr>
                    <w:spacing w:line="240" w:lineRule="auto"/>
                    <w:contextualSpacing/>
                    <w:jc w:val="center"/>
                    <w:rPr>
                      <w:color w:val="auto"/>
                      <w:highlight w:val="none"/>
                    </w:rPr>
                  </w:pPr>
                  <w:r>
                    <w:rPr>
                      <w:rFonts w:hint="eastAsia"/>
                      <w:color w:val="auto"/>
                      <w:highlight w:val="none"/>
                    </w:rPr>
                    <w:t>约680人</w:t>
                  </w:r>
                </w:p>
              </w:tc>
              <w:tc>
                <w:tcPr>
                  <w:tcW w:w="1097" w:type="dxa"/>
                  <w:vMerge w:val="restart"/>
                  <w:vAlign w:val="center"/>
                </w:tcPr>
                <w:p>
                  <w:pPr>
                    <w:spacing w:line="240" w:lineRule="auto"/>
                    <w:contextualSpacing/>
                    <w:jc w:val="center"/>
                    <w:rPr>
                      <w:color w:val="auto"/>
                      <w:highlight w:val="none"/>
                    </w:rPr>
                  </w:pPr>
                  <w:r>
                    <w:rPr>
                      <w:rFonts w:hint="eastAsia"/>
                      <w:color w:val="auto"/>
                      <w:highlight w:val="none"/>
                    </w:rPr>
                    <w:t>大气环境：二类</w:t>
                  </w:r>
                </w:p>
              </w:tc>
              <w:tc>
                <w:tcPr>
                  <w:tcW w:w="1055" w:type="dxa"/>
                  <w:vAlign w:val="center"/>
                </w:tcPr>
                <w:p>
                  <w:pPr>
                    <w:spacing w:line="240" w:lineRule="auto"/>
                    <w:contextualSpacing/>
                    <w:jc w:val="center"/>
                    <w:rPr>
                      <w:color w:val="auto"/>
                      <w:highlight w:val="none"/>
                    </w:rPr>
                  </w:pPr>
                  <w:r>
                    <w:rPr>
                      <w:rFonts w:hint="eastAsia"/>
                      <w:color w:val="auto"/>
                      <w:highlight w:val="none"/>
                    </w:rPr>
                    <w:t>西南</w:t>
                  </w:r>
                </w:p>
              </w:tc>
              <w:tc>
                <w:tcPr>
                  <w:tcW w:w="1102" w:type="dxa"/>
                  <w:vAlign w:val="center"/>
                </w:tcPr>
                <w:p>
                  <w:pPr>
                    <w:spacing w:line="240" w:lineRule="auto"/>
                    <w:contextualSpacing/>
                    <w:jc w:val="center"/>
                    <w:rPr>
                      <w:color w:val="auto"/>
                      <w:highlight w:val="none"/>
                    </w:rPr>
                  </w:pPr>
                  <w:r>
                    <w:rPr>
                      <w:rFonts w:hint="eastAsia"/>
                      <w:color w:val="auto"/>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spacing w:line="240" w:lineRule="auto"/>
                    <w:contextualSpacing/>
                    <w:jc w:val="center"/>
                    <w:rPr>
                      <w:color w:val="auto"/>
                      <w:highlight w:val="none"/>
                    </w:rPr>
                  </w:pPr>
                </w:p>
              </w:tc>
              <w:tc>
                <w:tcPr>
                  <w:tcW w:w="1097" w:type="dxa"/>
                  <w:vAlign w:val="center"/>
                </w:tcPr>
                <w:p>
                  <w:pPr>
                    <w:spacing w:line="240" w:lineRule="auto"/>
                    <w:contextualSpacing/>
                    <w:jc w:val="center"/>
                    <w:rPr>
                      <w:color w:val="auto"/>
                      <w:highlight w:val="none"/>
                    </w:rPr>
                  </w:pPr>
                  <w:r>
                    <w:rPr>
                      <w:rFonts w:hint="eastAsia"/>
                      <w:color w:val="auto"/>
                      <w:highlight w:val="none"/>
                    </w:rPr>
                    <w:t>珠坑村</w:t>
                  </w:r>
                </w:p>
              </w:tc>
              <w:tc>
                <w:tcPr>
                  <w:tcW w:w="1097" w:type="dxa"/>
                  <w:vAlign w:val="center"/>
                </w:tcPr>
                <w:p>
                  <w:pPr>
                    <w:spacing w:line="240" w:lineRule="auto"/>
                    <w:contextualSpacing/>
                    <w:jc w:val="center"/>
                    <w:rPr>
                      <w:color w:val="auto"/>
                      <w:highlight w:val="none"/>
                    </w:rPr>
                  </w:pPr>
                  <w:r>
                    <w:rPr>
                      <w:rFonts w:hint="eastAsia"/>
                      <w:color w:val="auto"/>
                      <w:highlight w:val="none"/>
                    </w:rPr>
                    <w:t>居民点</w:t>
                  </w:r>
                </w:p>
              </w:tc>
              <w:tc>
                <w:tcPr>
                  <w:tcW w:w="1097" w:type="dxa"/>
                  <w:vAlign w:val="center"/>
                </w:tcPr>
                <w:p>
                  <w:pPr>
                    <w:spacing w:line="240" w:lineRule="auto"/>
                    <w:contextualSpacing/>
                    <w:jc w:val="center"/>
                    <w:rPr>
                      <w:color w:val="auto"/>
                      <w:highlight w:val="none"/>
                    </w:rPr>
                  </w:pPr>
                  <w:r>
                    <w:rPr>
                      <w:rFonts w:hint="eastAsia"/>
                      <w:color w:val="auto"/>
                      <w:highlight w:val="none"/>
                    </w:rPr>
                    <w:t>约400人</w:t>
                  </w:r>
                </w:p>
              </w:tc>
              <w:tc>
                <w:tcPr>
                  <w:tcW w:w="1097" w:type="dxa"/>
                  <w:vMerge w:val="continue"/>
                  <w:vAlign w:val="center"/>
                </w:tcPr>
                <w:p>
                  <w:pPr>
                    <w:spacing w:line="240" w:lineRule="auto"/>
                    <w:contextualSpacing/>
                    <w:jc w:val="center"/>
                    <w:rPr>
                      <w:color w:val="auto"/>
                      <w:highlight w:val="none"/>
                    </w:rPr>
                  </w:pPr>
                </w:p>
              </w:tc>
              <w:tc>
                <w:tcPr>
                  <w:tcW w:w="1055" w:type="dxa"/>
                  <w:vAlign w:val="center"/>
                </w:tcPr>
                <w:p>
                  <w:pPr>
                    <w:spacing w:line="240" w:lineRule="auto"/>
                    <w:contextualSpacing/>
                    <w:jc w:val="center"/>
                    <w:rPr>
                      <w:color w:val="auto"/>
                      <w:highlight w:val="none"/>
                    </w:rPr>
                  </w:pPr>
                  <w:r>
                    <w:rPr>
                      <w:rFonts w:hint="eastAsia"/>
                      <w:color w:val="auto"/>
                      <w:highlight w:val="none"/>
                    </w:rPr>
                    <w:t>东南</w:t>
                  </w:r>
                </w:p>
              </w:tc>
              <w:tc>
                <w:tcPr>
                  <w:tcW w:w="1102" w:type="dxa"/>
                  <w:vAlign w:val="center"/>
                </w:tcPr>
                <w:p>
                  <w:pPr>
                    <w:spacing w:line="240" w:lineRule="auto"/>
                    <w:contextualSpacing/>
                    <w:jc w:val="center"/>
                    <w:rPr>
                      <w:color w:val="auto"/>
                      <w:highlight w:val="none"/>
                    </w:rPr>
                  </w:pPr>
                  <w:r>
                    <w:rPr>
                      <w:rFonts w:hint="eastAsia"/>
                      <w:color w:val="auto"/>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spacing w:line="240" w:lineRule="auto"/>
                    <w:contextualSpacing/>
                    <w:jc w:val="center"/>
                    <w:rPr>
                      <w:color w:val="auto"/>
                      <w:highlight w:val="none"/>
                    </w:rPr>
                  </w:pPr>
                </w:p>
              </w:tc>
              <w:tc>
                <w:tcPr>
                  <w:tcW w:w="1097" w:type="dxa"/>
                  <w:vAlign w:val="center"/>
                </w:tcPr>
                <w:p>
                  <w:pPr>
                    <w:spacing w:line="240" w:lineRule="auto"/>
                    <w:contextualSpacing/>
                    <w:jc w:val="center"/>
                    <w:rPr>
                      <w:color w:val="auto"/>
                      <w:highlight w:val="none"/>
                    </w:rPr>
                  </w:pPr>
                  <w:r>
                    <w:rPr>
                      <w:rFonts w:hint="eastAsia"/>
                      <w:color w:val="auto"/>
                      <w:highlight w:val="none"/>
                    </w:rPr>
                    <w:t>同心铭源希望小学</w:t>
                  </w:r>
                </w:p>
              </w:tc>
              <w:tc>
                <w:tcPr>
                  <w:tcW w:w="1097" w:type="dxa"/>
                  <w:vAlign w:val="center"/>
                </w:tcPr>
                <w:p>
                  <w:pPr>
                    <w:spacing w:line="240" w:lineRule="auto"/>
                    <w:contextualSpacing/>
                    <w:jc w:val="center"/>
                    <w:rPr>
                      <w:color w:val="auto"/>
                      <w:highlight w:val="none"/>
                    </w:rPr>
                  </w:pPr>
                  <w:r>
                    <w:rPr>
                      <w:rFonts w:hint="eastAsia"/>
                      <w:color w:val="auto"/>
                      <w:highlight w:val="none"/>
                    </w:rPr>
                    <w:t>师生</w:t>
                  </w:r>
                </w:p>
              </w:tc>
              <w:tc>
                <w:tcPr>
                  <w:tcW w:w="1097" w:type="dxa"/>
                  <w:vAlign w:val="center"/>
                </w:tcPr>
                <w:p>
                  <w:pPr>
                    <w:spacing w:line="240" w:lineRule="auto"/>
                    <w:contextualSpacing/>
                    <w:jc w:val="center"/>
                    <w:rPr>
                      <w:color w:val="auto"/>
                      <w:highlight w:val="none"/>
                    </w:rPr>
                  </w:pPr>
                  <w:r>
                    <w:rPr>
                      <w:rFonts w:hint="eastAsia"/>
                      <w:color w:val="auto"/>
                      <w:highlight w:val="none"/>
                    </w:rPr>
                    <w:t>约420人</w:t>
                  </w:r>
                </w:p>
              </w:tc>
              <w:tc>
                <w:tcPr>
                  <w:tcW w:w="1097" w:type="dxa"/>
                  <w:vMerge w:val="continue"/>
                  <w:vAlign w:val="center"/>
                </w:tcPr>
                <w:p>
                  <w:pPr>
                    <w:spacing w:line="240" w:lineRule="auto"/>
                    <w:contextualSpacing/>
                    <w:jc w:val="center"/>
                    <w:rPr>
                      <w:color w:val="auto"/>
                      <w:highlight w:val="none"/>
                    </w:rPr>
                  </w:pPr>
                </w:p>
              </w:tc>
              <w:tc>
                <w:tcPr>
                  <w:tcW w:w="1055" w:type="dxa"/>
                  <w:vAlign w:val="center"/>
                </w:tcPr>
                <w:p>
                  <w:pPr>
                    <w:spacing w:line="240" w:lineRule="auto"/>
                    <w:contextualSpacing/>
                    <w:jc w:val="center"/>
                    <w:rPr>
                      <w:color w:val="auto"/>
                      <w:highlight w:val="none"/>
                    </w:rPr>
                  </w:pPr>
                  <w:r>
                    <w:rPr>
                      <w:rFonts w:hint="eastAsia"/>
                      <w:color w:val="auto"/>
                      <w:highlight w:val="none"/>
                    </w:rPr>
                    <w:t>东南</w:t>
                  </w:r>
                </w:p>
              </w:tc>
              <w:tc>
                <w:tcPr>
                  <w:tcW w:w="1102" w:type="dxa"/>
                  <w:vAlign w:val="center"/>
                </w:tcPr>
                <w:p>
                  <w:pPr>
                    <w:spacing w:line="240" w:lineRule="auto"/>
                    <w:contextualSpacing/>
                    <w:jc w:val="center"/>
                    <w:rPr>
                      <w:color w:val="auto"/>
                      <w:highlight w:val="none"/>
                    </w:rPr>
                  </w:pPr>
                  <w:r>
                    <w:rPr>
                      <w:rFonts w:hint="eastAsia"/>
                      <w:color w:val="auto"/>
                      <w:highlight w:val="non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Align w:val="center"/>
                </w:tcPr>
                <w:p>
                  <w:pPr>
                    <w:spacing w:line="240" w:lineRule="auto"/>
                    <w:contextualSpacing/>
                    <w:jc w:val="center"/>
                    <w:rPr>
                      <w:color w:val="auto"/>
                      <w:highlight w:val="none"/>
                    </w:rPr>
                  </w:pPr>
                  <w:r>
                    <w:rPr>
                      <w:rFonts w:hint="eastAsia"/>
                      <w:color w:val="auto"/>
                      <w:highlight w:val="none"/>
                    </w:rPr>
                    <w:t>声环境（50米范围内）</w:t>
                  </w:r>
                </w:p>
              </w:tc>
              <w:tc>
                <w:tcPr>
                  <w:tcW w:w="6545" w:type="dxa"/>
                  <w:gridSpan w:val="6"/>
                  <w:vAlign w:val="center"/>
                </w:tcPr>
                <w:p>
                  <w:pPr>
                    <w:spacing w:line="240" w:lineRule="auto"/>
                    <w:ind w:firstLine="420" w:firstLineChars="200"/>
                    <w:jc w:val="center"/>
                    <w:rPr>
                      <w:color w:val="auto"/>
                      <w:highlight w:val="none"/>
                    </w:rPr>
                  </w:pPr>
                  <w:r>
                    <w:rPr>
                      <w:rFonts w:hint="eastAsia"/>
                      <w:color w:val="auto"/>
                      <w:highlight w:val="none"/>
                    </w:rPr>
                    <w:t>项目厂界外50米范围内不涉及声环境保护目标。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Align w:val="center"/>
                </w:tcPr>
                <w:p>
                  <w:pPr>
                    <w:spacing w:line="240" w:lineRule="auto"/>
                    <w:contextualSpacing/>
                    <w:jc w:val="center"/>
                    <w:rPr>
                      <w:color w:val="auto"/>
                      <w:highlight w:val="none"/>
                    </w:rPr>
                  </w:pPr>
                  <w:r>
                    <w:rPr>
                      <w:rFonts w:hint="eastAsia"/>
                      <w:color w:val="auto"/>
                      <w:highlight w:val="none"/>
                    </w:rPr>
                    <w:t>地下水环境</w:t>
                  </w:r>
                </w:p>
              </w:tc>
              <w:tc>
                <w:tcPr>
                  <w:tcW w:w="6545" w:type="dxa"/>
                  <w:gridSpan w:val="6"/>
                  <w:vAlign w:val="center"/>
                </w:tcPr>
                <w:p>
                  <w:pPr>
                    <w:spacing w:line="240" w:lineRule="auto"/>
                    <w:rPr>
                      <w:color w:val="auto"/>
                      <w:highlight w:val="none"/>
                    </w:rPr>
                  </w:pPr>
                  <w:r>
                    <w:rPr>
                      <w:rFonts w:hint="eastAsia"/>
                      <w:color w:val="auto"/>
                      <w:highlight w:val="none"/>
                    </w:rPr>
                    <w:t>项目厂界外</w:t>
                  </w:r>
                  <w:r>
                    <w:rPr>
                      <w:color w:val="auto"/>
                      <w:highlight w:val="none"/>
                    </w:rPr>
                    <w:t>500</w:t>
                  </w:r>
                  <w:r>
                    <w:rPr>
                      <w:rFonts w:hint="eastAsia"/>
                      <w:color w:val="auto"/>
                      <w:highlight w:val="none"/>
                    </w:rPr>
                    <w:t>米范围内不涉及地下水集中式饮用水水源和热水、矿泉水、温泉等特殊地下水资源。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7" w:type="dxa"/>
                  <w:vAlign w:val="center"/>
                </w:tcPr>
                <w:p>
                  <w:pPr>
                    <w:spacing w:line="240" w:lineRule="auto"/>
                    <w:contextualSpacing/>
                    <w:jc w:val="center"/>
                    <w:rPr>
                      <w:color w:val="auto"/>
                      <w:highlight w:val="none"/>
                    </w:rPr>
                  </w:pPr>
                  <w:r>
                    <w:rPr>
                      <w:rFonts w:hint="eastAsia"/>
                      <w:color w:val="auto"/>
                      <w:highlight w:val="none"/>
                    </w:rPr>
                    <w:t>生态环境</w:t>
                  </w:r>
                </w:p>
              </w:tc>
              <w:tc>
                <w:tcPr>
                  <w:tcW w:w="6545" w:type="dxa"/>
                  <w:gridSpan w:val="6"/>
                  <w:vAlign w:val="center"/>
                </w:tcPr>
                <w:p>
                  <w:pPr>
                    <w:spacing w:line="240" w:lineRule="auto"/>
                    <w:contextualSpacing/>
                    <w:jc w:val="center"/>
                    <w:rPr>
                      <w:color w:val="auto"/>
                      <w:highlight w:val="none"/>
                    </w:rPr>
                  </w:pPr>
                  <w:r>
                    <w:rPr>
                      <w:rFonts w:hint="eastAsia"/>
                      <w:color w:val="auto"/>
                      <w:highlight w:val="none"/>
                    </w:rPr>
                    <w:t>本项目无新增用地，无新增生态环境保护目标</w:t>
                  </w:r>
                </w:p>
              </w:tc>
            </w:tr>
          </w:tbl>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07" w:type="dxa"/>
            <w:vAlign w:val="center"/>
          </w:tcPr>
          <w:p>
            <w:pPr>
              <w:adjustRightInd w:val="0"/>
              <w:snapToGrid w:val="0"/>
              <w:jc w:val="center"/>
              <w:rPr>
                <w:color w:val="auto"/>
                <w:kern w:val="0"/>
                <w:szCs w:val="21"/>
                <w:highlight w:val="none"/>
              </w:rPr>
            </w:pPr>
            <w:r>
              <w:rPr>
                <w:color w:val="auto"/>
                <w:kern w:val="0"/>
                <w:szCs w:val="21"/>
                <w:highlight w:val="none"/>
              </w:rPr>
              <w:t>污染</w:t>
            </w:r>
          </w:p>
          <w:p>
            <w:pPr>
              <w:adjustRightInd w:val="0"/>
              <w:snapToGrid w:val="0"/>
              <w:jc w:val="center"/>
              <w:rPr>
                <w:color w:val="auto"/>
                <w:kern w:val="0"/>
                <w:szCs w:val="21"/>
                <w:highlight w:val="none"/>
              </w:rPr>
            </w:pPr>
            <w:r>
              <w:rPr>
                <w:color w:val="auto"/>
                <w:kern w:val="0"/>
                <w:szCs w:val="21"/>
                <w:highlight w:val="none"/>
              </w:rPr>
              <w:t>物排</w:t>
            </w:r>
          </w:p>
          <w:p>
            <w:pPr>
              <w:adjustRightInd w:val="0"/>
              <w:snapToGrid w:val="0"/>
              <w:jc w:val="center"/>
              <w:rPr>
                <w:color w:val="auto"/>
                <w:kern w:val="0"/>
                <w:szCs w:val="21"/>
                <w:highlight w:val="none"/>
              </w:rPr>
            </w:pPr>
            <w:r>
              <w:rPr>
                <w:color w:val="auto"/>
                <w:kern w:val="0"/>
                <w:szCs w:val="21"/>
                <w:highlight w:val="none"/>
              </w:rPr>
              <w:t>放控</w:t>
            </w:r>
          </w:p>
          <w:p>
            <w:pPr>
              <w:adjustRightInd w:val="0"/>
              <w:snapToGrid w:val="0"/>
              <w:jc w:val="center"/>
              <w:rPr>
                <w:color w:val="auto"/>
                <w:kern w:val="0"/>
                <w:szCs w:val="21"/>
                <w:highlight w:val="none"/>
              </w:rPr>
            </w:pPr>
            <w:r>
              <w:rPr>
                <w:color w:val="auto"/>
                <w:kern w:val="0"/>
                <w:szCs w:val="21"/>
                <w:highlight w:val="none"/>
              </w:rPr>
              <w:t>制标</w:t>
            </w:r>
          </w:p>
          <w:p>
            <w:pPr>
              <w:adjustRightInd w:val="0"/>
              <w:snapToGrid w:val="0"/>
              <w:jc w:val="center"/>
              <w:rPr>
                <w:color w:val="auto"/>
                <w:kern w:val="0"/>
                <w:szCs w:val="21"/>
                <w:highlight w:val="none"/>
              </w:rPr>
            </w:pPr>
            <w:r>
              <w:rPr>
                <w:color w:val="auto"/>
                <w:kern w:val="0"/>
                <w:szCs w:val="21"/>
                <w:highlight w:val="none"/>
              </w:rPr>
              <w:t>准</w:t>
            </w:r>
          </w:p>
        </w:tc>
        <w:tc>
          <w:tcPr>
            <w:tcW w:w="7889" w:type="dxa"/>
          </w:tcPr>
          <w:p>
            <w:pPr>
              <w:adjustRightInd w:val="0"/>
              <w:snapToGrid w:val="0"/>
              <w:spacing w:before="156" w:beforeLines="50"/>
              <w:ind w:firstLine="422" w:firstLineChars="200"/>
              <w:rPr>
                <w:b/>
                <w:bCs/>
                <w:color w:val="auto"/>
                <w:kern w:val="0"/>
                <w:szCs w:val="21"/>
                <w:highlight w:val="none"/>
              </w:rPr>
            </w:pPr>
            <w:r>
              <w:rPr>
                <w:b/>
                <w:bCs/>
                <w:color w:val="auto"/>
                <w:kern w:val="0"/>
                <w:szCs w:val="21"/>
                <w:highlight w:val="none"/>
              </w:rPr>
              <w:t>1、废水</w:t>
            </w:r>
          </w:p>
          <w:p>
            <w:pPr>
              <w:adjustRightInd w:val="0"/>
              <w:snapToGrid w:val="0"/>
              <w:ind w:firstLine="420" w:firstLineChars="200"/>
              <w:textAlignment w:val="baseline"/>
              <w:rPr>
                <w:color w:val="auto"/>
                <w:kern w:val="0"/>
                <w:szCs w:val="21"/>
                <w:highlight w:val="none"/>
              </w:rPr>
            </w:pPr>
            <w:r>
              <w:rPr>
                <w:rFonts w:hint="eastAsia" w:cs="宋体"/>
                <w:color w:val="auto"/>
                <w:highlight w:val="none"/>
              </w:rPr>
              <w:t>项目生活污水经化粪池</w:t>
            </w:r>
            <w:r>
              <w:rPr>
                <w:rFonts w:hint="eastAsia"/>
                <w:color w:val="auto"/>
                <w:kern w:val="0"/>
                <w:szCs w:val="21"/>
                <w:highlight w:val="none"/>
              </w:rPr>
              <w:t>、隔油隔渣池</w:t>
            </w:r>
            <w:r>
              <w:rPr>
                <w:rFonts w:hint="eastAsia" w:cs="宋体"/>
                <w:color w:val="auto"/>
                <w:highlight w:val="none"/>
              </w:rPr>
              <w:t>处理后回用于厂区绿化，不外排。</w:t>
            </w:r>
            <w:r>
              <w:rPr>
                <w:rFonts w:hint="eastAsia"/>
                <w:color w:val="auto"/>
                <w:kern w:val="0"/>
                <w:szCs w:val="21"/>
                <w:highlight w:val="none"/>
              </w:rPr>
              <w:t>本项目无外排废水。生活污水</w:t>
            </w:r>
            <w:r>
              <w:rPr>
                <w:rFonts w:hint="eastAsia"/>
                <w:color w:val="auto"/>
                <w:highlight w:val="none"/>
              </w:rPr>
              <w:t>参照执行</w:t>
            </w:r>
            <w:r>
              <w:rPr>
                <w:rFonts w:hint="eastAsia"/>
                <w:color w:val="auto"/>
                <w:kern w:val="0"/>
                <w:szCs w:val="21"/>
                <w:highlight w:val="none"/>
              </w:rPr>
              <w:t>《农田灌溉水质标准》（GB5084-2021）中旱地作物标准。</w:t>
            </w:r>
          </w:p>
          <w:p>
            <w:pPr>
              <w:pStyle w:val="46"/>
              <w:numPr>
                <w:ilvl w:val="8"/>
                <w:numId w:val="8"/>
              </w:numPr>
              <w:autoSpaceDE w:val="0"/>
              <w:autoSpaceDN w:val="0"/>
              <w:adjustRightInd w:val="0"/>
              <w:snapToGrid w:val="0"/>
              <w:spacing w:line="240" w:lineRule="auto"/>
              <w:ind w:firstLineChars="0"/>
              <w:jc w:val="center"/>
              <w:rPr>
                <w:b/>
                <w:bCs/>
                <w:color w:val="auto"/>
                <w:highlight w:val="none"/>
              </w:rPr>
            </w:pPr>
            <w:r>
              <w:rPr>
                <w:rFonts w:hint="eastAsia"/>
                <w:b/>
                <w:bCs/>
                <w:color w:val="auto"/>
                <w:highlight w:val="none"/>
              </w:rPr>
              <w:t>项目</w:t>
            </w:r>
            <w:r>
              <w:rPr>
                <w:rFonts w:hint="eastAsia"/>
                <w:b/>
                <w:bCs/>
                <w:color w:val="auto"/>
                <w:kern w:val="0"/>
                <w:szCs w:val="21"/>
                <w:highlight w:val="none"/>
              </w:rPr>
              <w:t>生活污水</w:t>
            </w:r>
            <w:r>
              <w:rPr>
                <w:rFonts w:hint="eastAsia"/>
                <w:b/>
                <w:bCs/>
                <w:color w:val="auto"/>
                <w:highlight w:val="none"/>
              </w:rPr>
              <w:t>出水执行</w:t>
            </w:r>
            <w:r>
              <w:rPr>
                <w:b/>
                <w:bCs/>
                <w:color w:val="auto"/>
                <w:highlight w:val="none"/>
              </w:rPr>
              <w:t>标准</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141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226" w:type="pct"/>
                  <w:vAlign w:val="center"/>
                </w:tcPr>
                <w:p>
                  <w:pPr>
                    <w:pStyle w:val="58"/>
                    <w:rPr>
                      <w:color w:val="auto"/>
                      <w:highlight w:val="none"/>
                    </w:rPr>
                  </w:pPr>
                  <w:r>
                    <w:rPr>
                      <w:rFonts w:hint="eastAsia"/>
                      <w:color w:val="auto"/>
                      <w:highlight w:val="none"/>
                    </w:rPr>
                    <w:t>执行标准</w:t>
                  </w:r>
                </w:p>
              </w:tc>
              <w:tc>
                <w:tcPr>
                  <w:tcW w:w="924" w:type="pct"/>
                  <w:vAlign w:val="center"/>
                </w:tcPr>
                <w:p>
                  <w:pPr>
                    <w:pStyle w:val="58"/>
                    <w:rPr>
                      <w:color w:val="auto"/>
                      <w:highlight w:val="none"/>
                    </w:rPr>
                  </w:pPr>
                  <w:r>
                    <w:rPr>
                      <w:color w:val="auto"/>
                      <w:highlight w:val="none"/>
                    </w:rPr>
                    <w:t>COD</w:t>
                  </w:r>
                  <w:r>
                    <w:rPr>
                      <w:rFonts w:hint="eastAsia"/>
                      <w:color w:val="auto"/>
                      <w:highlight w:val="none"/>
                      <w:vertAlign w:val="subscript"/>
                    </w:rPr>
                    <w:t>Cr</w:t>
                  </w:r>
                </w:p>
              </w:tc>
              <w:tc>
                <w:tcPr>
                  <w:tcW w:w="924" w:type="pct"/>
                  <w:vAlign w:val="center"/>
                </w:tcPr>
                <w:p>
                  <w:pPr>
                    <w:pStyle w:val="58"/>
                    <w:rPr>
                      <w:color w:val="auto"/>
                      <w:highlight w:val="none"/>
                    </w:rPr>
                  </w:pPr>
                  <w:r>
                    <w:rPr>
                      <w:color w:val="auto"/>
                      <w:highlight w:val="none"/>
                    </w:rPr>
                    <w:t>BOD</w:t>
                  </w:r>
                  <w:r>
                    <w:rPr>
                      <w:color w:val="auto"/>
                      <w:highlight w:val="none"/>
                      <w:vertAlign w:val="subscript"/>
                    </w:rPr>
                    <w:t>5</w:t>
                  </w:r>
                </w:p>
              </w:tc>
              <w:tc>
                <w:tcPr>
                  <w:tcW w:w="924" w:type="pct"/>
                  <w:vAlign w:val="center"/>
                </w:tcPr>
                <w:p>
                  <w:pPr>
                    <w:pStyle w:val="58"/>
                    <w:rPr>
                      <w:color w:val="auto"/>
                      <w:highlight w:val="none"/>
                    </w:rPr>
                  </w:pPr>
                  <w:r>
                    <w:rPr>
                      <w:rFonts w:hint="eastAsia"/>
                      <w:color w:val="auto"/>
                      <w:highlight w:val="none"/>
                    </w:rPr>
                    <w:t>悬浮物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226" w:type="pct"/>
                  <w:vAlign w:val="center"/>
                </w:tcPr>
                <w:p>
                  <w:pPr>
                    <w:pStyle w:val="58"/>
                    <w:rPr>
                      <w:color w:val="auto"/>
                      <w:highlight w:val="none"/>
                    </w:rPr>
                  </w:pPr>
                  <w:r>
                    <w:rPr>
                      <w:rFonts w:hint="eastAsia"/>
                      <w:color w:val="auto"/>
                      <w:highlight w:val="none"/>
                    </w:rPr>
                    <w:t>《农田灌溉水质标准》（GB5084-2021）中旱地作物标准</w:t>
                  </w:r>
                </w:p>
              </w:tc>
              <w:tc>
                <w:tcPr>
                  <w:tcW w:w="924" w:type="pct"/>
                  <w:vAlign w:val="center"/>
                </w:tcPr>
                <w:p>
                  <w:pPr>
                    <w:pStyle w:val="58"/>
                    <w:rPr>
                      <w:color w:val="auto"/>
                      <w:highlight w:val="none"/>
                    </w:rPr>
                  </w:pPr>
                  <w:r>
                    <w:rPr>
                      <w:color w:val="auto"/>
                      <w:highlight w:val="none"/>
                    </w:rPr>
                    <w:t>≤</w:t>
                  </w:r>
                  <w:r>
                    <w:rPr>
                      <w:rFonts w:hint="eastAsia"/>
                      <w:color w:val="auto"/>
                      <w:highlight w:val="none"/>
                    </w:rPr>
                    <w:t>200mg/L</w:t>
                  </w:r>
                </w:p>
              </w:tc>
              <w:tc>
                <w:tcPr>
                  <w:tcW w:w="924" w:type="pct"/>
                  <w:vAlign w:val="center"/>
                </w:tcPr>
                <w:p>
                  <w:pPr>
                    <w:pStyle w:val="58"/>
                    <w:rPr>
                      <w:color w:val="auto"/>
                      <w:highlight w:val="none"/>
                    </w:rPr>
                  </w:pPr>
                  <w:r>
                    <w:rPr>
                      <w:color w:val="auto"/>
                      <w:highlight w:val="none"/>
                    </w:rPr>
                    <w:t>≤</w:t>
                  </w:r>
                  <w:r>
                    <w:rPr>
                      <w:rFonts w:hint="eastAsia"/>
                      <w:color w:val="auto"/>
                      <w:highlight w:val="none"/>
                    </w:rPr>
                    <w:t>100mg/L</w:t>
                  </w:r>
                </w:p>
              </w:tc>
              <w:tc>
                <w:tcPr>
                  <w:tcW w:w="924" w:type="pct"/>
                  <w:vAlign w:val="center"/>
                </w:tcPr>
                <w:p>
                  <w:pPr>
                    <w:pStyle w:val="58"/>
                    <w:rPr>
                      <w:color w:val="auto"/>
                      <w:highlight w:val="none"/>
                    </w:rPr>
                  </w:pPr>
                  <w:r>
                    <w:rPr>
                      <w:color w:val="auto"/>
                      <w:highlight w:val="none"/>
                    </w:rPr>
                    <w:t>≤</w:t>
                  </w:r>
                  <w:r>
                    <w:rPr>
                      <w:rFonts w:hint="eastAsia"/>
                      <w:color w:val="auto"/>
                      <w:highlight w:val="none"/>
                    </w:rPr>
                    <w:t>100mg/L</w:t>
                  </w:r>
                </w:p>
              </w:tc>
            </w:tr>
          </w:tbl>
          <w:p>
            <w:pPr>
              <w:adjustRightInd w:val="0"/>
              <w:snapToGrid w:val="0"/>
              <w:ind w:firstLine="422" w:firstLineChars="200"/>
              <w:rPr>
                <w:b/>
                <w:bCs/>
                <w:color w:val="auto"/>
                <w:kern w:val="0"/>
                <w:szCs w:val="21"/>
                <w:highlight w:val="none"/>
              </w:rPr>
            </w:pPr>
            <w:r>
              <w:rPr>
                <w:b/>
                <w:bCs/>
                <w:color w:val="auto"/>
                <w:kern w:val="0"/>
                <w:szCs w:val="21"/>
                <w:highlight w:val="none"/>
              </w:rPr>
              <w:t>2、废气</w:t>
            </w:r>
          </w:p>
          <w:p>
            <w:pPr>
              <w:ind w:firstLine="420" w:firstLineChars="200"/>
              <w:rPr>
                <w:color w:val="auto"/>
                <w:highlight w:val="none"/>
              </w:rPr>
            </w:pPr>
            <w:r>
              <w:rPr>
                <w:rFonts w:hint="eastAsia"/>
                <w:color w:val="auto"/>
                <w:highlight w:val="none"/>
              </w:rPr>
              <w:t>颗粒物</w:t>
            </w:r>
            <w:r>
              <w:rPr>
                <w:color w:val="auto"/>
                <w:highlight w:val="none"/>
              </w:rPr>
              <w:t>执行</w:t>
            </w:r>
            <w:r>
              <w:rPr>
                <w:rFonts w:hint="eastAsia"/>
                <w:color w:val="auto"/>
                <w:highlight w:val="none"/>
                <w:lang w:val="en-US" w:eastAsia="zh-CN"/>
              </w:rPr>
              <w:t>有组织执行</w:t>
            </w:r>
            <w:r>
              <w:rPr>
                <w:color w:val="auto"/>
                <w:highlight w:val="none"/>
              </w:rPr>
              <w:t>广东省地方标准《大气污染物排放限值》（DB44/27-2001）第二时段二级标准</w:t>
            </w:r>
            <w:r>
              <w:rPr>
                <w:rFonts w:hint="eastAsia"/>
                <w:color w:val="auto"/>
                <w:highlight w:val="none"/>
                <w:lang w:eastAsia="zh-CN"/>
              </w:rPr>
              <w:t>，</w:t>
            </w:r>
            <w:r>
              <w:rPr>
                <w:color w:val="auto"/>
                <w:highlight w:val="none"/>
              </w:rPr>
              <w:t>最高允许排放浓度120mg/m</w:t>
            </w:r>
            <w:r>
              <w:rPr>
                <w:color w:val="auto"/>
                <w:highlight w:val="none"/>
                <w:vertAlign w:val="superscript"/>
              </w:rPr>
              <w:t>3</w:t>
            </w:r>
            <w:r>
              <w:rPr>
                <w:color w:val="auto"/>
                <w:highlight w:val="none"/>
              </w:rPr>
              <w:t>，最高允许排放速率2.9kg/h，排气筒高度为15m。</w:t>
            </w:r>
          </w:p>
          <w:p>
            <w:pPr>
              <w:ind w:firstLine="420" w:firstLineChars="200"/>
              <w:rPr>
                <w:rFonts w:hint="eastAsia"/>
                <w:color w:val="auto"/>
                <w:highlight w:val="none"/>
                <w:lang w:eastAsia="zh-CN"/>
              </w:rPr>
            </w:pPr>
            <w:r>
              <w:rPr>
                <w:rFonts w:hint="eastAsia"/>
                <w:color w:val="auto"/>
                <w:highlight w:val="none"/>
                <w:lang w:val="en-US" w:eastAsia="zh-CN"/>
              </w:rPr>
              <w:t>厂界无组织</w:t>
            </w:r>
            <w:r>
              <w:rPr>
                <w:rFonts w:hint="eastAsia"/>
                <w:color w:val="auto"/>
                <w:highlight w:val="none"/>
              </w:rPr>
              <w:t>颗粒物</w:t>
            </w:r>
            <w:r>
              <w:rPr>
                <w:rFonts w:hint="eastAsia"/>
                <w:color w:val="auto"/>
                <w:highlight w:val="none"/>
                <w:lang w:val="en-US" w:eastAsia="zh-CN"/>
              </w:rPr>
              <w:t>执行</w:t>
            </w:r>
            <w:r>
              <w:rPr>
                <w:color w:val="auto"/>
                <w:highlight w:val="none"/>
              </w:rPr>
              <w:t>广东省地方标准《大气污染物排放限值》（DB44/27-2001）第二时段无组织排放监控点浓度限值1.0mg/m</w:t>
            </w:r>
            <w:r>
              <w:rPr>
                <w:color w:val="auto"/>
                <w:highlight w:val="none"/>
                <w:vertAlign w:val="superscript"/>
              </w:rPr>
              <w:t>3</w:t>
            </w:r>
            <w:r>
              <w:rPr>
                <w:rFonts w:hint="eastAsia"/>
                <w:color w:val="auto"/>
                <w:highlight w:val="none"/>
                <w:lang w:eastAsia="zh-CN"/>
              </w:rPr>
              <w:t>。</w:t>
            </w:r>
          </w:p>
          <w:p>
            <w:pPr>
              <w:ind w:firstLine="420" w:firstLineChars="200"/>
              <w:rPr>
                <w:color w:val="auto"/>
                <w:highlight w:val="none"/>
              </w:rPr>
            </w:pPr>
            <w:r>
              <w:rPr>
                <w:color w:val="auto"/>
                <w:highlight w:val="none"/>
              </w:rPr>
              <w:t>项目厨房油烟</w:t>
            </w:r>
            <w:r>
              <w:rPr>
                <w:rFonts w:hint="eastAsia"/>
                <w:color w:val="auto"/>
                <w:highlight w:val="none"/>
              </w:rPr>
              <w:t>经油烟净化器处理后经排气筒外排，</w:t>
            </w:r>
            <w:r>
              <w:rPr>
                <w:color w:val="auto"/>
                <w:highlight w:val="none"/>
              </w:rPr>
              <w:t>执行《饮食业油烟排放标准(试行)》(GB18483-2001)小型规模标准</w:t>
            </w:r>
            <w:r>
              <w:rPr>
                <w:rFonts w:hint="eastAsia"/>
                <w:color w:val="auto"/>
                <w:highlight w:val="none"/>
              </w:rPr>
              <w:t>。</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（GB</w:t>
            </w:r>
            <w:r>
              <w:rPr>
                <w:b/>
                <w:color w:val="auto"/>
                <w:kern w:val="0"/>
                <w:szCs w:val="21"/>
                <w:highlight w:val="none"/>
              </w:rPr>
              <w:t>31572-2015</w:t>
            </w:r>
            <w:r>
              <w:rPr>
                <w:rFonts w:hint="eastAsia"/>
                <w:b/>
                <w:color w:val="auto"/>
                <w:kern w:val="0"/>
                <w:szCs w:val="21"/>
                <w:highlight w:val="none"/>
              </w:rPr>
              <w:t>）相关标准要求</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329"/>
              <w:gridCol w:w="1225"/>
              <w:gridCol w:w="1359"/>
              <w:gridCol w:w="106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6"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排气筒编号</w:t>
                  </w:r>
                </w:p>
              </w:tc>
              <w:tc>
                <w:tcPr>
                  <w:tcW w:w="1329" w:type="dxa"/>
                  <w:vAlign w:val="center"/>
                </w:tcPr>
                <w:p>
                  <w:pPr>
                    <w:adjustRightInd w:val="0"/>
                    <w:snapToGrid w:val="0"/>
                    <w:spacing w:line="240" w:lineRule="auto"/>
                    <w:ind w:left="-105" w:leftChars="-50" w:right="-105" w:rightChars="-50"/>
                    <w:jc w:val="center"/>
                    <w:rPr>
                      <w:b/>
                      <w:bCs/>
                      <w:color w:val="auto"/>
                      <w:kern w:val="0"/>
                      <w:szCs w:val="21"/>
                      <w:highlight w:val="none"/>
                    </w:rPr>
                  </w:pPr>
                  <w:r>
                    <w:rPr>
                      <w:rFonts w:hint="eastAsia"/>
                      <w:color w:val="auto"/>
                      <w:kern w:val="0"/>
                      <w:szCs w:val="21"/>
                      <w:highlight w:val="none"/>
                    </w:rPr>
                    <w:t>污染物项目</w:t>
                  </w:r>
                </w:p>
              </w:tc>
              <w:tc>
                <w:tcPr>
                  <w:tcW w:w="1225"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排气筒高度</w:t>
                  </w:r>
                </w:p>
              </w:tc>
              <w:tc>
                <w:tcPr>
                  <w:tcW w:w="1359" w:type="dxa"/>
                  <w:vAlign w:val="center"/>
                </w:tcPr>
                <w:p>
                  <w:pPr>
                    <w:adjustRightInd w:val="0"/>
                    <w:snapToGrid w:val="0"/>
                    <w:spacing w:line="240" w:lineRule="auto"/>
                    <w:ind w:left="-105" w:leftChars="-50" w:right="-105" w:rightChars="-50"/>
                    <w:jc w:val="center"/>
                    <w:rPr>
                      <w:color w:val="auto"/>
                      <w:kern w:val="0"/>
                      <w:szCs w:val="21"/>
                      <w:highlight w:val="none"/>
                      <w:lang w:bidi="ar"/>
                    </w:rPr>
                  </w:pPr>
                  <w:r>
                    <w:rPr>
                      <w:rFonts w:hint="eastAsia"/>
                      <w:color w:val="auto"/>
                      <w:kern w:val="0"/>
                      <w:szCs w:val="21"/>
                      <w:highlight w:val="none"/>
                      <w:lang w:bidi="ar"/>
                    </w:rPr>
                    <w:t>最</w:t>
                  </w:r>
                  <w:r>
                    <w:rPr>
                      <w:color w:val="auto"/>
                      <w:kern w:val="0"/>
                      <w:szCs w:val="21"/>
                      <w:highlight w:val="none"/>
                      <w:lang w:bidi="ar"/>
                    </w:rPr>
                    <w:t>高允许</w:t>
                  </w:r>
                </w:p>
                <w:p>
                  <w:pPr>
                    <w:adjustRightInd w:val="0"/>
                    <w:snapToGrid w:val="0"/>
                    <w:spacing w:line="240" w:lineRule="auto"/>
                    <w:ind w:left="-105" w:leftChars="-50" w:right="-105" w:rightChars="-50"/>
                    <w:jc w:val="center"/>
                    <w:rPr>
                      <w:color w:val="auto"/>
                      <w:kern w:val="0"/>
                      <w:szCs w:val="21"/>
                      <w:highlight w:val="none"/>
                    </w:rPr>
                  </w:pPr>
                  <w:r>
                    <w:rPr>
                      <w:color w:val="auto"/>
                      <w:kern w:val="0"/>
                      <w:szCs w:val="21"/>
                      <w:highlight w:val="none"/>
                      <w:lang w:bidi="ar"/>
                    </w:rPr>
                    <w:t>排放浓度</w:t>
                  </w:r>
                </w:p>
              </w:tc>
              <w:tc>
                <w:tcPr>
                  <w:tcW w:w="1069" w:type="dxa"/>
                  <w:vAlign w:val="center"/>
                </w:tcPr>
                <w:p>
                  <w:pPr>
                    <w:adjustRightInd w:val="0"/>
                    <w:snapToGrid w:val="0"/>
                    <w:spacing w:line="240" w:lineRule="auto"/>
                    <w:ind w:left="-105" w:leftChars="-50" w:right="-105" w:rightChars="-50"/>
                    <w:jc w:val="center"/>
                    <w:rPr>
                      <w:color w:val="auto"/>
                      <w:kern w:val="0"/>
                      <w:szCs w:val="21"/>
                      <w:highlight w:val="none"/>
                      <w:lang w:bidi="ar"/>
                    </w:rPr>
                  </w:pPr>
                  <w:r>
                    <w:rPr>
                      <w:color w:val="auto"/>
                      <w:kern w:val="0"/>
                      <w:szCs w:val="21"/>
                      <w:highlight w:val="none"/>
                      <w:lang w:bidi="ar"/>
                    </w:rPr>
                    <w:t>最高允许</w:t>
                  </w:r>
                </w:p>
                <w:p>
                  <w:pPr>
                    <w:adjustRightInd w:val="0"/>
                    <w:snapToGrid w:val="0"/>
                    <w:spacing w:line="240" w:lineRule="auto"/>
                    <w:ind w:left="-105" w:leftChars="-50" w:right="-105" w:rightChars="-50"/>
                    <w:jc w:val="center"/>
                    <w:rPr>
                      <w:color w:val="auto"/>
                      <w:kern w:val="0"/>
                      <w:szCs w:val="21"/>
                      <w:highlight w:val="none"/>
                      <w:lang w:bidi="ar"/>
                    </w:rPr>
                  </w:pPr>
                  <w:r>
                    <w:rPr>
                      <w:color w:val="auto"/>
                      <w:kern w:val="0"/>
                      <w:szCs w:val="21"/>
                      <w:highlight w:val="none"/>
                      <w:lang w:bidi="ar"/>
                    </w:rPr>
                    <w:t>排放速率</w:t>
                  </w:r>
                </w:p>
              </w:tc>
              <w:tc>
                <w:tcPr>
                  <w:tcW w:w="1462"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16"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DA001</w:t>
                  </w:r>
                </w:p>
              </w:tc>
              <w:tc>
                <w:tcPr>
                  <w:tcW w:w="1329"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颗粒物</w:t>
                  </w:r>
                </w:p>
              </w:tc>
              <w:tc>
                <w:tcPr>
                  <w:tcW w:w="1225"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15m</w:t>
                  </w:r>
                </w:p>
              </w:tc>
              <w:tc>
                <w:tcPr>
                  <w:tcW w:w="1359"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120mg</w:t>
                  </w:r>
                  <w:r>
                    <w:rPr>
                      <w:color w:val="auto"/>
                      <w:kern w:val="0"/>
                      <w:szCs w:val="21"/>
                      <w:highlight w:val="none"/>
                    </w:rPr>
                    <w:t>/</w:t>
                  </w:r>
                  <w:r>
                    <w:rPr>
                      <w:rFonts w:hint="eastAsia"/>
                      <w:color w:val="auto"/>
                      <w:kern w:val="0"/>
                      <w:szCs w:val="21"/>
                      <w:highlight w:val="none"/>
                    </w:rPr>
                    <w:t>m</w:t>
                  </w:r>
                  <w:r>
                    <w:rPr>
                      <w:color w:val="auto"/>
                      <w:kern w:val="0"/>
                      <w:szCs w:val="21"/>
                      <w:highlight w:val="none"/>
                      <w:vertAlign w:val="superscript"/>
                    </w:rPr>
                    <w:t>3</w:t>
                  </w:r>
                </w:p>
              </w:tc>
              <w:tc>
                <w:tcPr>
                  <w:tcW w:w="1069" w:type="dxa"/>
                  <w:vAlign w:val="center"/>
                </w:tcPr>
                <w:p>
                  <w:pPr>
                    <w:adjustRightInd w:val="0"/>
                    <w:snapToGrid w:val="0"/>
                    <w:spacing w:line="240" w:lineRule="auto"/>
                    <w:ind w:left="-105" w:leftChars="-50" w:right="-105" w:rightChars="-50"/>
                    <w:jc w:val="center"/>
                    <w:rPr>
                      <w:color w:val="auto"/>
                      <w:kern w:val="0"/>
                      <w:szCs w:val="21"/>
                      <w:highlight w:val="none"/>
                    </w:rPr>
                  </w:pPr>
                  <w:r>
                    <w:rPr>
                      <w:color w:val="auto"/>
                      <w:kern w:val="0"/>
                      <w:szCs w:val="21"/>
                      <w:highlight w:val="none"/>
                      <w:lang w:bidi="ar"/>
                    </w:rPr>
                    <w:t>≤</w:t>
                  </w:r>
                  <w:r>
                    <w:rPr>
                      <w:rFonts w:hint="eastAsia"/>
                      <w:color w:val="auto"/>
                      <w:kern w:val="0"/>
                      <w:szCs w:val="21"/>
                      <w:highlight w:val="none"/>
                      <w:lang w:bidi="ar"/>
                    </w:rPr>
                    <w:t xml:space="preserve"> </w:t>
                  </w:r>
                  <w:r>
                    <w:rPr>
                      <w:color w:val="auto"/>
                      <w:kern w:val="0"/>
                      <w:szCs w:val="21"/>
                      <w:highlight w:val="none"/>
                      <w:lang w:bidi="ar"/>
                    </w:rPr>
                    <w:t>2.9kg/h</w:t>
                  </w:r>
                </w:p>
              </w:tc>
              <w:tc>
                <w:tcPr>
                  <w:tcW w:w="1462" w:type="dxa"/>
                  <w:vAlign w:val="center"/>
                </w:tcPr>
                <w:p>
                  <w:pPr>
                    <w:adjustRightInd w:val="0"/>
                    <w:snapToGrid w:val="0"/>
                    <w:spacing w:line="240" w:lineRule="auto"/>
                    <w:ind w:left="-105" w:leftChars="-50" w:right="-105" w:rightChars="-50"/>
                    <w:jc w:val="center"/>
                    <w:rPr>
                      <w:color w:val="auto"/>
                      <w:kern w:val="0"/>
                      <w:szCs w:val="21"/>
                      <w:highlight w:val="none"/>
                    </w:rPr>
                  </w:pPr>
                  <w:r>
                    <w:rPr>
                      <w:rFonts w:hint="eastAsia"/>
                      <w:color w:val="auto"/>
                      <w:kern w:val="0"/>
                      <w:szCs w:val="21"/>
                      <w:highlight w:val="none"/>
                    </w:rPr>
                    <w:t>1.0mg</w:t>
                  </w:r>
                  <w:r>
                    <w:rPr>
                      <w:color w:val="auto"/>
                      <w:kern w:val="0"/>
                      <w:szCs w:val="21"/>
                      <w:highlight w:val="none"/>
                    </w:rPr>
                    <w:t>/</w:t>
                  </w:r>
                  <w:r>
                    <w:rPr>
                      <w:rFonts w:hint="eastAsia"/>
                      <w:color w:val="auto"/>
                      <w:kern w:val="0"/>
                      <w:szCs w:val="21"/>
                      <w:highlight w:val="none"/>
                    </w:rPr>
                    <w:t>m</w:t>
                  </w:r>
                  <w:r>
                    <w:rPr>
                      <w:color w:val="auto"/>
                      <w:kern w:val="0"/>
                      <w:szCs w:val="21"/>
                      <w:highlight w:val="none"/>
                      <w:vertAlign w:val="superscript"/>
                    </w:rPr>
                    <w:t>3</w:t>
                  </w:r>
                </w:p>
              </w:tc>
            </w:tr>
          </w:tbl>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《饮食业油烟排放标准(试行)》(GB18483-2001)摘录</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7"/>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3" w:type="pct"/>
                  <w:tcBorders>
                    <w:top w:val="single" w:color="auto" w:sz="4" w:space="0"/>
                    <w:left w:val="single" w:color="auto" w:sz="4" w:space="0"/>
                    <w:bottom w:val="single" w:color="auto" w:sz="4" w:space="0"/>
                    <w:right w:val="single" w:color="auto" w:sz="4" w:space="0"/>
                  </w:tcBorders>
                  <w:vAlign w:val="center"/>
                </w:tcPr>
                <w:p>
                  <w:pPr>
                    <w:pStyle w:val="25"/>
                    <w:spacing w:before="0" w:beforeAutospacing="0" w:after="0" w:afterAutospacing="0" w:line="240" w:lineRule="auto"/>
                    <w:jc w:val="center"/>
                    <w:rPr>
                      <w:rFonts w:ascii="Times New Roman" w:hAnsi="Times New Roman"/>
                      <w:bCs/>
                      <w:color w:val="auto"/>
                      <w:sz w:val="21"/>
                      <w:szCs w:val="21"/>
                      <w:highlight w:val="none"/>
                    </w:rPr>
                  </w:pPr>
                  <w:r>
                    <w:rPr>
                      <w:rFonts w:ascii="Times New Roman" w:hAnsi="Times New Roman"/>
                      <w:bCs/>
                      <w:color w:val="auto"/>
                      <w:sz w:val="21"/>
                      <w:szCs w:val="21"/>
                      <w:highlight w:val="none"/>
                      <w:lang w:bidi="ar"/>
                    </w:rPr>
                    <w:t>规模</w:t>
                  </w:r>
                </w:p>
              </w:tc>
              <w:tc>
                <w:tcPr>
                  <w:tcW w:w="2496" w:type="pct"/>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rFonts w:ascii="Times New Roman" w:hAnsi="Times New Roman"/>
                      <w:bCs/>
                      <w:color w:val="auto"/>
                      <w:sz w:val="21"/>
                      <w:szCs w:val="21"/>
                      <w:highlight w:val="none"/>
                    </w:rPr>
                  </w:pPr>
                  <w:r>
                    <w:rPr>
                      <w:rFonts w:ascii="Times New Roman" w:hAnsi="Times New Roman"/>
                      <w:bCs/>
                      <w:color w:val="auto"/>
                      <w:sz w:val="21"/>
                      <w:szCs w:val="21"/>
                      <w:highlight w:val="none"/>
                      <w:lang w:bidi="ar"/>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3" w:type="pct"/>
                  <w:tcBorders>
                    <w:top w:val="single" w:color="auto" w:sz="4" w:space="0"/>
                    <w:left w:val="single" w:color="auto" w:sz="4" w:space="0"/>
                    <w:bottom w:val="single" w:color="auto" w:sz="4" w:space="0"/>
                    <w:right w:val="single" w:color="auto" w:sz="4" w:space="0"/>
                  </w:tcBorders>
                  <w:vAlign w:val="center"/>
                </w:tcPr>
                <w:p>
                  <w:pPr>
                    <w:pStyle w:val="25"/>
                    <w:spacing w:before="0" w:beforeAutospacing="0" w:after="0" w:afterAutospacing="0"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最高允许排放浓度(mg/m</w:t>
                  </w:r>
                  <w:r>
                    <w:rPr>
                      <w:rFonts w:ascii="Times New Roman" w:hAnsi="Times New Roman"/>
                      <w:color w:val="auto"/>
                      <w:sz w:val="21"/>
                      <w:szCs w:val="21"/>
                      <w:highlight w:val="none"/>
                      <w:vertAlign w:val="superscript"/>
                      <w:lang w:bidi="ar"/>
                    </w:rPr>
                    <w:t>3</w:t>
                  </w:r>
                  <w:r>
                    <w:rPr>
                      <w:rFonts w:ascii="Times New Roman" w:hAnsi="Times New Roman"/>
                      <w:color w:val="auto"/>
                      <w:sz w:val="21"/>
                      <w:szCs w:val="21"/>
                      <w:highlight w:val="none"/>
                      <w:lang w:bidi="ar"/>
                    </w:rPr>
                    <w:t>)</w:t>
                  </w:r>
                </w:p>
              </w:tc>
              <w:tc>
                <w:tcPr>
                  <w:tcW w:w="2496" w:type="pct"/>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rFonts w:ascii="Times New Roman" w:hAnsi="Times New Roman"/>
                      <w:color w:val="auto"/>
                      <w:sz w:val="21"/>
                      <w:szCs w:val="21"/>
                      <w:highlight w:val="none"/>
                    </w:rPr>
                  </w:pPr>
                  <w:r>
                    <w:rPr>
                      <w:rFonts w:ascii="Times New Roman" w:hAnsi="Times New Roman"/>
                      <w:color w:val="auto"/>
                      <w:sz w:val="21"/>
                      <w:szCs w:val="21"/>
                      <w:highlight w:val="none"/>
                      <w:lang w:bidi="ar"/>
                    </w:rPr>
                    <w:t>2.0</w:t>
                  </w:r>
                </w:p>
              </w:tc>
            </w:tr>
          </w:tbl>
          <w:p>
            <w:pPr>
              <w:ind w:firstLine="422" w:firstLineChars="200"/>
              <w:rPr>
                <w:b/>
                <w:bCs/>
                <w:color w:val="auto"/>
                <w:kern w:val="0"/>
                <w:szCs w:val="21"/>
                <w:highlight w:val="none"/>
              </w:rPr>
            </w:pPr>
            <w:r>
              <w:rPr>
                <w:b/>
                <w:bCs/>
                <w:color w:val="auto"/>
                <w:kern w:val="0"/>
                <w:szCs w:val="21"/>
                <w:highlight w:val="none"/>
              </w:rPr>
              <w:t>3、噪声</w:t>
            </w:r>
          </w:p>
          <w:p>
            <w:pPr>
              <w:ind w:firstLine="420" w:firstLineChars="200"/>
              <w:rPr>
                <w:color w:val="auto"/>
                <w:kern w:val="0"/>
                <w:szCs w:val="21"/>
                <w:highlight w:val="none"/>
              </w:rPr>
            </w:pPr>
            <w:r>
              <w:rPr>
                <w:color w:val="auto"/>
                <w:kern w:val="0"/>
                <w:szCs w:val="21"/>
                <w:highlight w:val="none"/>
              </w:rPr>
              <w:t>本项目厂界噪声执行《工业企业厂界环境噪声排放标准》(GB12348-2008)中的</w:t>
            </w:r>
            <w:r>
              <w:rPr>
                <w:rFonts w:hint="eastAsia"/>
                <w:color w:val="auto"/>
                <w:kern w:val="0"/>
                <w:szCs w:val="21"/>
                <w:highlight w:val="none"/>
              </w:rPr>
              <w:t>2</w:t>
            </w:r>
            <w:r>
              <w:rPr>
                <w:color w:val="auto"/>
                <w:kern w:val="0"/>
                <w:szCs w:val="21"/>
                <w:highlight w:val="none"/>
              </w:rPr>
              <w:t>类标准，即昼间≤6</w:t>
            </w:r>
            <w:r>
              <w:rPr>
                <w:rFonts w:hint="eastAsia"/>
                <w:color w:val="auto"/>
                <w:kern w:val="0"/>
                <w:szCs w:val="21"/>
                <w:highlight w:val="none"/>
              </w:rPr>
              <w:t>0</w:t>
            </w:r>
            <w:r>
              <w:rPr>
                <w:color w:val="auto"/>
                <w:kern w:val="0"/>
                <w:szCs w:val="21"/>
                <w:highlight w:val="none"/>
              </w:rPr>
              <w:t>dB(A)，夜间≤5</w:t>
            </w:r>
            <w:r>
              <w:rPr>
                <w:rFonts w:hint="eastAsia"/>
                <w:color w:val="auto"/>
                <w:kern w:val="0"/>
                <w:szCs w:val="21"/>
                <w:highlight w:val="none"/>
              </w:rPr>
              <w:t>0</w:t>
            </w:r>
            <w:r>
              <w:rPr>
                <w:color w:val="auto"/>
                <w:kern w:val="0"/>
                <w:szCs w:val="21"/>
                <w:highlight w:val="none"/>
              </w:rPr>
              <w:t>dB(A)。</w:t>
            </w:r>
          </w:p>
          <w:p>
            <w:pPr>
              <w:ind w:firstLine="422" w:firstLineChars="200"/>
              <w:rPr>
                <w:b/>
                <w:bCs/>
                <w:color w:val="auto"/>
                <w:kern w:val="0"/>
                <w:szCs w:val="21"/>
                <w:highlight w:val="none"/>
              </w:rPr>
            </w:pPr>
            <w:r>
              <w:rPr>
                <w:b/>
                <w:bCs/>
                <w:color w:val="auto"/>
                <w:kern w:val="0"/>
                <w:szCs w:val="21"/>
                <w:highlight w:val="none"/>
              </w:rPr>
              <w:t>4、固废</w:t>
            </w:r>
          </w:p>
          <w:p>
            <w:pPr>
              <w:ind w:firstLine="420" w:firstLineChars="200"/>
              <w:jc w:val="both"/>
              <w:rPr>
                <w:b/>
                <w:bCs/>
                <w:color w:val="auto"/>
                <w:kern w:val="0"/>
                <w:szCs w:val="21"/>
                <w:highlight w:val="none"/>
              </w:rPr>
            </w:pPr>
            <w:r>
              <w:rPr>
                <w:color w:val="auto"/>
                <w:kern w:val="0"/>
                <w:szCs w:val="21"/>
                <w:highlight w:val="none"/>
              </w:rPr>
              <w:t xml:space="preserve">本项目固废处理执行《一般工业固废贮存和填埋污染控制标准》(GB18599-2020) </w:t>
            </w:r>
            <w:r>
              <w:rPr>
                <w:rFonts w:hint="eastAsia"/>
                <w:color w:val="auto"/>
                <w:kern w:val="0"/>
                <w:szCs w:val="21"/>
                <w:highlight w:val="none"/>
              </w:rPr>
              <w:t>、</w:t>
            </w:r>
            <w:r>
              <w:rPr>
                <w:color w:val="auto"/>
                <w:highlight w:val="none"/>
              </w:rPr>
              <w:t>本项目产生的危险废物执行《危险废物贮存污染控制标准》(GB18597-2001)及2013年修改单</w:t>
            </w:r>
            <w:r>
              <w:rPr>
                <w:rFonts w:hint="eastAsia"/>
                <w:color w:val="auto"/>
                <w:kern w:val="0"/>
                <w:szCs w:val="21"/>
                <w:highlight w:val="none"/>
              </w:rPr>
              <w:t>。</w:t>
            </w:r>
          </w:p>
          <w:p>
            <w:pPr>
              <w:ind w:firstLine="422" w:firstLineChars="200"/>
              <w:jc w:val="both"/>
              <w:rPr>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407" w:type="dxa"/>
            <w:vAlign w:val="center"/>
          </w:tcPr>
          <w:p>
            <w:pPr>
              <w:adjustRightInd w:val="0"/>
              <w:snapToGrid w:val="0"/>
              <w:jc w:val="center"/>
              <w:rPr>
                <w:color w:val="auto"/>
                <w:kern w:val="0"/>
                <w:szCs w:val="21"/>
                <w:highlight w:val="none"/>
              </w:rPr>
            </w:pPr>
            <w:r>
              <w:rPr>
                <w:color w:val="auto"/>
                <w:kern w:val="0"/>
                <w:szCs w:val="21"/>
                <w:highlight w:val="none"/>
              </w:rPr>
              <w:t>总量</w:t>
            </w:r>
          </w:p>
          <w:p>
            <w:pPr>
              <w:adjustRightInd w:val="0"/>
              <w:snapToGrid w:val="0"/>
              <w:jc w:val="center"/>
              <w:rPr>
                <w:color w:val="auto"/>
                <w:kern w:val="0"/>
                <w:szCs w:val="21"/>
                <w:highlight w:val="none"/>
              </w:rPr>
            </w:pPr>
            <w:r>
              <w:rPr>
                <w:color w:val="auto"/>
                <w:kern w:val="0"/>
                <w:szCs w:val="21"/>
                <w:highlight w:val="none"/>
              </w:rPr>
              <w:t>控制</w:t>
            </w:r>
          </w:p>
          <w:p>
            <w:pPr>
              <w:adjustRightInd w:val="0"/>
              <w:snapToGrid w:val="0"/>
              <w:jc w:val="center"/>
              <w:rPr>
                <w:color w:val="auto"/>
                <w:kern w:val="0"/>
                <w:szCs w:val="21"/>
                <w:highlight w:val="none"/>
              </w:rPr>
            </w:pPr>
            <w:r>
              <w:rPr>
                <w:color w:val="auto"/>
                <w:kern w:val="0"/>
                <w:szCs w:val="21"/>
                <w:highlight w:val="none"/>
              </w:rPr>
              <w:t>指标</w:t>
            </w:r>
          </w:p>
        </w:tc>
        <w:tc>
          <w:tcPr>
            <w:tcW w:w="7889" w:type="dxa"/>
            <w:vAlign w:val="center"/>
          </w:tcPr>
          <w:p>
            <w:pPr>
              <w:ind w:firstLine="420" w:firstLineChars="200"/>
              <w:rPr>
                <w:bCs/>
                <w:color w:val="auto"/>
                <w:kern w:val="0"/>
                <w:szCs w:val="21"/>
                <w:highlight w:val="none"/>
              </w:rPr>
            </w:pPr>
          </w:p>
          <w:p>
            <w:pPr>
              <w:ind w:firstLine="420" w:firstLineChars="200"/>
              <w:rPr>
                <w:bCs/>
                <w:color w:val="auto"/>
                <w:kern w:val="0"/>
                <w:szCs w:val="21"/>
                <w:highlight w:val="none"/>
              </w:rPr>
            </w:pPr>
          </w:p>
          <w:p>
            <w:pPr>
              <w:ind w:firstLine="420" w:firstLineChars="200"/>
              <w:rPr>
                <w:bCs/>
                <w:color w:val="auto"/>
                <w:kern w:val="0"/>
                <w:szCs w:val="21"/>
                <w:highlight w:val="none"/>
              </w:rPr>
            </w:pPr>
          </w:p>
          <w:p>
            <w:pPr>
              <w:ind w:firstLine="420" w:firstLineChars="200"/>
              <w:rPr>
                <w:bCs/>
                <w:color w:val="auto"/>
                <w:kern w:val="0"/>
                <w:szCs w:val="21"/>
                <w:highlight w:val="none"/>
              </w:rPr>
            </w:pPr>
          </w:p>
          <w:p>
            <w:pPr>
              <w:ind w:firstLine="420" w:firstLineChars="200"/>
              <w:rPr>
                <w:bCs/>
                <w:color w:val="auto"/>
                <w:kern w:val="0"/>
                <w:szCs w:val="21"/>
                <w:highlight w:val="none"/>
              </w:rPr>
            </w:pPr>
            <w:r>
              <w:rPr>
                <w:bCs/>
                <w:color w:val="auto"/>
                <w:kern w:val="0"/>
                <w:szCs w:val="21"/>
                <w:highlight w:val="none"/>
              </w:rPr>
              <w:t>根据国务院关于</w:t>
            </w:r>
            <w:r>
              <w:rPr>
                <w:rFonts w:hint="eastAsia"/>
                <w:bCs/>
                <w:color w:val="auto"/>
                <w:kern w:val="0"/>
                <w:szCs w:val="21"/>
                <w:highlight w:val="none"/>
              </w:rPr>
              <w:t>“十三五”期间全国主要污染物排放总量控制计划的批复，我国“十三五”期间对二氧化硫、氮氧化物、化学需氧量、氨氮试行排放总量控制。</w:t>
            </w:r>
          </w:p>
          <w:p>
            <w:pPr>
              <w:ind w:firstLine="420" w:firstLineChars="200"/>
              <w:rPr>
                <w:bCs/>
                <w:color w:val="auto"/>
                <w:kern w:val="0"/>
                <w:szCs w:val="21"/>
                <w:highlight w:val="none"/>
              </w:rPr>
            </w:pPr>
            <w:r>
              <w:rPr>
                <w:rFonts w:hint="eastAsia" w:cs="宋体"/>
                <w:color w:val="auto"/>
                <w:highlight w:val="none"/>
              </w:rPr>
              <w:t>本项目营运期产生的废气为粉尘，废水为生活污水，</w:t>
            </w:r>
            <w:r>
              <w:rPr>
                <w:rFonts w:hint="eastAsia"/>
                <w:bCs/>
                <w:color w:val="auto"/>
                <w:kern w:val="0"/>
                <w:szCs w:val="21"/>
                <w:highlight w:val="none"/>
              </w:rPr>
              <w:t>生活污水</w:t>
            </w:r>
            <w:r>
              <w:rPr>
                <w:rFonts w:hint="eastAsia" w:cs="宋体"/>
                <w:color w:val="auto"/>
                <w:highlight w:val="none"/>
              </w:rPr>
              <w:t>处理后回用于厂区绿化，因此本项目无需设污染物总量控制指标。</w:t>
            </w:r>
          </w:p>
          <w:p>
            <w:pPr>
              <w:ind w:firstLine="420" w:firstLineChars="200"/>
              <w:rPr>
                <w:bCs/>
                <w:color w:val="auto"/>
                <w:kern w:val="0"/>
                <w:szCs w:val="21"/>
                <w:highlight w:val="none"/>
              </w:rPr>
            </w:pPr>
          </w:p>
          <w:p>
            <w:pPr>
              <w:ind w:firstLine="420" w:firstLineChars="200"/>
              <w:rPr>
                <w:bCs/>
                <w:color w:val="auto"/>
                <w:kern w:val="0"/>
                <w:szCs w:val="21"/>
                <w:highlight w:val="none"/>
              </w:rPr>
            </w:pPr>
          </w:p>
          <w:p>
            <w:pPr>
              <w:pStyle w:val="2"/>
              <w:rPr>
                <w:color w:val="auto"/>
                <w:highlight w:val="none"/>
              </w:rPr>
            </w:pPr>
          </w:p>
          <w:p>
            <w:pPr>
              <w:ind w:firstLine="420" w:firstLineChars="200"/>
              <w:rPr>
                <w:bCs/>
                <w:color w:val="auto"/>
                <w:kern w:val="0"/>
                <w:szCs w:val="21"/>
                <w:highlight w:val="none"/>
              </w:rPr>
            </w:pPr>
          </w:p>
          <w:p>
            <w:pPr>
              <w:ind w:firstLine="420" w:firstLineChars="200"/>
              <w:rPr>
                <w:bCs/>
                <w:color w:val="auto"/>
                <w:kern w:val="0"/>
                <w:szCs w:val="21"/>
                <w:highlight w:val="none"/>
              </w:rPr>
            </w:pPr>
          </w:p>
        </w:tc>
      </w:tr>
    </w:tbl>
    <w:p>
      <w:pPr>
        <w:adjustRightInd w:val="0"/>
        <w:snapToGrid w:val="0"/>
        <w:spacing w:line="288" w:lineRule="auto"/>
        <w:jc w:val="center"/>
        <w:rPr>
          <w:color w:val="auto"/>
          <w:sz w:val="36"/>
          <w:szCs w:val="36"/>
          <w:highlight w:val="none"/>
        </w:rPr>
        <w:sectPr>
          <w:pgSz w:w="11906" w:h="16838"/>
          <w:pgMar w:top="1440" w:right="1800" w:bottom="1440" w:left="1800" w:header="851" w:footer="992" w:gutter="0"/>
          <w:cols w:space="425" w:num="1"/>
          <w:docGrid w:type="lines" w:linePitch="312" w:charSpace="0"/>
        </w:sectPr>
      </w:pPr>
    </w:p>
    <w:p>
      <w:pPr>
        <w:pStyle w:val="25"/>
        <w:spacing w:before="0" w:beforeAutospacing="0" w:after="120" w:afterLines="50" w:afterAutospacing="0"/>
        <w:jc w:val="center"/>
        <w:outlineLvl w:val="0"/>
        <w:rPr>
          <w:rFonts w:cs="黑体"/>
          <w:snapToGrid w:val="0"/>
          <w:color w:val="auto"/>
          <w:sz w:val="36"/>
          <w:szCs w:val="36"/>
          <w:highlight w:val="none"/>
        </w:rPr>
      </w:pPr>
      <w:r>
        <w:rPr>
          <w:rFonts w:hint="eastAsia" w:cs="黑体"/>
          <w:snapToGrid w:val="0"/>
          <w:color w:val="auto"/>
          <w:sz w:val="36"/>
          <w:szCs w:val="36"/>
          <w:highlight w:val="none"/>
        </w:rPr>
        <w:t>四、主要环境影响和保护措施</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79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508" w:type="dxa"/>
            <w:tcMar>
              <w:left w:w="28" w:type="dxa"/>
              <w:right w:w="28" w:type="dxa"/>
            </w:tcMar>
            <w:vAlign w:val="center"/>
          </w:tcPr>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施工</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期环</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境保</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护措</w:t>
            </w:r>
          </w:p>
          <w:p>
            <w:pPr>
              <w:pStyle w:val="25"/>
              <w:adjustRightInd w:val="0"/>
              <w:snapToGrid w:val="0"/>
              <w:spacing w:before="0" w:beforeAutospacing="0" w:after="0" w:afterAutospacing="0"/>
              <w:jc w:val="center"/>
              <w:rPr>
                <w:rFonts w:cs="宋体"/>
                <w:bCs/>
                <w:color w:val="auto"/>
                <w:kern w:val="2"/>
                <w:szCs w:val="24"/>
                <w:highlight w:val="none"/>
              </w:rPr>
            </w:pPr>
            <w:r>
              <w:rPr>
                <w:color w:val="auto"/>
                <w:szCs w:val="21"/>
                <w:highlight w:val="none"/>
              </w:rPr>
              <w:t>施</w:t>
            </w:r>
          </w:p>
        </w:tc>
        <w:tc>
          <w:tcPr>
            <w:tcW w:w="7934" w:type="dxa"/>
            <w:vAlign w:val="center"/>
          </w:tcPr>
          <w:p>
            <w:pPr>
              <w:adjustRightInd w:val="0"/>
              <w:snapToGrid w:val="0"/>
              <w:ind w:firstLine="420" w:firstLineChars="200"/>
              <w:jc w:val="both"/>
              <w:rPr>
                <w:rFonts w:ascii="宋体" w:hAnsi="宋体" w:cs="宋体"/>
                <w:bCs/>
                <w:color w:val="auto"/>
                <w:spacing w:val="-10"/>
                <w:sz w:val="24"/>
                <w:highlight w:val="none"/>
              </w:rPr>
            </w:pPr>
            <w:r>
              <w:rPr>
                <w:rFonts w:hint="eastAsia"/>
                <w:color w:val="auto"/>
                <w:szCs w:val="21"/>
                <w:highlight w:val="none"/>
              </w:rPr>
              <w:t>本次项目在已建厂房进行建设</w:t>
            </w:r>
            <w:r>
              <w:rPr>
                <w:color w:val="auto"/>
                <w:szCs w:val="21"/>
                <w:highlight w:val="none"/>
              </w:rPr>
              <w:t>，目前主体建筑已大致完成；</w:t>
            </w:r>
            <w:r>
              <w:rPr>
                <w:color w:val="auto"/>
                <w:spacing w:val="6"/>
                <w:szCs w:val="21"/>
                <w:highlight w:val="none"/>
              </w:rPr>
              <w:t>施工期主要为设备安装调试，主要是人工作业，无大型机械操作；项目施工期污染物主要为设备安装噪音，其噪声级较低，可忽略。因此，本评价不对项目施工期进行分析评价</w:t>
            </w:r>
            <w:r>
              <w:rPr>
                <w:rFonts w:hint="eastAsia"/>
                <w:color w:val="auto"/>
                <w:spacing w:val="6"/>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08" w:type="dxa"/>
            <w:tcMar>
              <w:left w:w="28" w:type="dxa"/>
              <w:right w:w="28" w:type="dxa"/>
            </w:tcMar>
            <w:vAlign w:val="center"/>
          </w:tcPr>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w:t>
            </w:r>
            <w:r>
              <w:rPr>
                <w:rFonts w:hint="eastAsia" w:ascii="宋体" w:hAnsi="宋体" w:cs="宋体"/>
                <w:bCs/>
                <w:color w:val="auto"/>
                <w:szCs w:val="21"/>
                <w:highlight w:val="none"/>
              </w:rPr>
              <w:t>营期环境影响和保护措</w:t>
            </w:r>
            <w:r>
              <w:rPr>
                <w:rFonts w:hint="eastAsia" w:ascii="宋体" w:hAnsi="宋体" w:cs="宋体"/>
                <w:bCs/>
                <w:color w:val="auto"/>
                <w:sz w:val="24"/>
                <w:highlight w:val="none"/>
              </w:rPr>
              <w:t>施</w:t>
            </w:r>
          </w:p>
        </w:tc>
        <w:tc>
          <w:tcPr>
            <w:tcW w:w="7934" w:type="dxa"/>
            <w:vAlign w:val="center"/>
          </w:tcPr>
          <w:p>
            <w:pPr>
              <w:adjustRightInd w:val="0"/>
              <w:snapToGrid w:val="0"/>
              <w:ind w:firstLine="420" w:firstLineChars="200"/>
              <w:rPr>
                <w:bCs/>
                <w:color w:val="auto"/>
                <w:szCs w:val="21"/>
                <w:highlight w:val="none"/>
              </w:rPr>
            </w:pPr>
            <w:r>
              <w:rPr>
                <w:rFonts w:hint="eastAsia"/>
                <w:bCs/>
                <w:color w:val="auto"/>
                <w:szCs w:val="21"/>
                <w:highlight w:val="none"/>
              </w:rPr>
              <w:t>项目运营期污染源见下表。</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项目运营期污染源情况一览表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568"/>
              <w:gridCol w:w="2086"/>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Align w:val="center"/>
                </w:tcPr>
                <w:p>
                  <w:pPr>
                    <w:spacing w:line="240" w:lineRule="auto"/>
                    <w:jc w:val="center"/>
                    <w:rPr>
                      <w:color w:val="auto"/>
                      <w:highlight w:val="none"/>
                    </w:rPr>
                  </w:pPr>
                  <w:r>
                    <w:rPr>
                      <w:rFonts w:hint="eastAsia"/>
                      <w:color w:val="auto"/>
                      <w:highlight w:val="none"/>
                    </w:rPr>
                    <w:t>污染类型</w:t>
                  </w:r>
                </w:p>
              </w:tc>
              <w:tc>
                <w:tcPr>
                  <w:tcW w:w="1017" w:type="pct"/>
                  <w:vAlign w:val="center"/>
                </w:tcPr>
                <w:p>
                  <w:pPr>
                    <w:spacing w:line="240" w:lineRule="auto"/>
                    <w:jc w:val="center"/>
                    <w:rPr>
                      <w:color w:val="auto"/>
                      <w:highlight w:val="none"/>
                    </w:rPr>
                  </w:pPr>
                  <w:r>
                    <w:rPr>
                      <w:rFonts w:hint="eastAsia"/>
                      <w:color w:val="auto"/>
                      <w:highlight w:val="none"/>
                    </w:rPr>
                    <w:t>污染源</w:t>
                  </w:r>
                </w:p>
              </w:tc>
              <w:tc>
                <w:tcPr>
                  <w:tcW w:w="1353" w:type="pct"/>
                  <w:vAlign w:val="center"/>
                </w:tcPr>
                <w:p>
                  <w:pPr>
                    <w:spacing w:line="240" w:lineRule="auto"/>
                    <w:jc w:val="center"/>
                    <w:rPr>
                      <w:color w:val="auto"/>
                      <w:highlight w:val="none"/>
                    </w:rPr>
                  </w:pPr>
                  <w:r>
                    <w:rPr>
                      <w:rFonts w:hint="eastAsia"/>
                      <w:color w:val="auto"/>
                      <w:highlight w:val="none"/>
                    </w:rPr>
                    <w:t>污染物</w:t>
                  </w:r>
                </w:p>
              </w:tc>
              <w:tc>
                <w:tcPr>
                  <w:tcW w:w="2215" w:type="pct"/>
                  <w:vAlign w:val="center"/>
                </w:tcPr>
                <w:p>
                  <w:pPr>
                    <w:spacing w:line="240" w:lineRule="auto"/>
                    <w:jc w:val="center"/>
                    <w:rPr>
                      <w:color w:val="auto"/>
                      <w:highlight w:val="none"/>
                    </w:rPr>
                  </w:pPr>
                  <w:r>
                    <w:rPr>
                      <w:rFonts w:hint="eastAsia"/>
                      <w:color w:val="auto"/>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restart"/>
                  <w:vAlign w:val="center"/>
                </w:tcPr>
                <w:p>
                  <w:pPr>
                    <w:spacing w:line="240" w:lineRule="auto"/>
                    <w:jc w:val="center"/>
                    <w:rPr>
                      <w:color w:val="auto"/>
                      <w:highlight w:val="none"/>
                    </w:rPr>
                  </w:pPr>
                  <w:r>
                    <w:rPr>
                      <w:color w:val="auto"/>
                      <w:highlight w:val="none"/>
                    </w:rPr>
                    <w:t>废气</w:t>
                  </w:r>
                </w:p>
              </w:tc>
              <w:tc>
                <w:tcPr>
                  <w:tcW w:w="1017" w:type="pct"/>
                  <w:vAlign w:val="center"/>
                </w:tcPr>
                <w:p>
                  <w:pPr>
                    <w:adjustRightInd w:val="0"/>
                    <w:snapToGrid w:val="0"/>
                    <w:spacing w:line="240" w:lineRule="auto"/>
                    <w:jc w:val="center"/>
                    <w:rPr>
                      <w:color w:val="auto"/>
                      <w:szCs w:val="21"/>
                      <w:highlight w:val="none"/>
                    </w:rPr>
                  </w:pPr>
                  <w:r>
                    <w:rPr>
                      <w:rFonts w:hint="eastAsia"/>
                      <w:bCs/>
                      <w:color w:val="auto"/>
                      <w:szCs w:val="21"/>
                      <w:highlight w:val="none"/>
                    </w:rPr>
                    <w:t>投料</w:t>
                  </w:r>
                  <w:r>
                    <w:rPr>
                      <w:bCs/>
                      <w:color w:val="auto"/>
                      <w:szCs w:val="21"/>
                      <w:highlight w:val="none"/>
                    </w:rPr>
                    <w:t>过程产生的粉尘</w:t>
                  </w:r>
                </w:p>
              </w:tc>
              <w:tc>
                <w:tcPr>
                  <w:tcW w:w="1353" w:type="pct"/>
                  <w:vAlign w:val="center"/>
                </w:tcPr>
                <w:p>
                  <w:pPr>
                    <w:spacing w:line="240" w:lineRule="auto"/>
                    <w:jc w:val="center"/>
                    <w:rPr>
                      <w:color w:val="auto"/>
                      <w:szCs w:val="21"/>
                      <w:highlight w:val="none"/>
                    </w:rPr>
                  </w:pPr>
                  <w:r>
                    <w:rPr>
                      <w:bCs/>
                      <w:color w:val="auto"/>
                      <w:szCs w:val="21"/>
                      <w:highlight w:val="none"/>
                    </w:rPr>
                    <w:t>颗粒物</w:t>
                  </w:r>
                </w:p>
              </w:tc>
              <w:tc>
                <w:tcPr>
                  <w:tcW w:w="2215" w:type="pct"/>
                  <w:vAlign w:val="center"/>
                </w:tcPr>
                <w:p>
                  <w:pPr>
                    <w:adjustRightInd w:val="0"/>
                    <w:snapToGrid w:val="0"/>
                    <w:spacing w:line="240" w:lineRule="auto"/>
                    <w:jc w:val="center"/>
                    <w:rPr>
                      <w:color w:val="auto"/>
                      <w:szCs w:val="21"/>
                      <w:highlight w:val="none"/>
                    </w:rPr>
                  </w:pPr>
                  <w:r>
                    <w:rPr>
                      <w:rFonts w:hint="eastAsia"/>
                      <w:color w:val="auto"/>
                      <w:szCs w:val="21"/>
                      <w:highlight w:val="none"/>
                    </w:rPr>
                    <w:t>集气罩收集，经脉冲布袋除尘器处理后无组织排放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continue"/>
                  <w:vAlign w:val="center"/>
                </w:tcPr>
                <w:p>
                  <w:pPr>
                    <w:spacing w:line="240" w:lineRule="auto"/>
                    <w:jc w:val="center"/>
                    <w:rPr>
                      <w:color w:val="auto"/>
                      <w:highlight w:val="none"/>
                    </w:rPr>
                  </w:pPr>
                </w:p>
              </w:tc>
              <w:tc>
                <w:tcPr>
                  <w:tcW w:w="1017" w:type="pct"/>
                  <w:vAlign w:val="center"/>
                </w:tcPr>
                <w:p>
                  <w:pPr>
                    <w:adjustRightInd w:val="0"/>
                    <w:snapToGrid w:val="0"/>
                    <w:spacing w:line="240" w:lineRule="auto"/>
                    <w:jc w:val="center"/>
                    <w:rPr>
                      <w:bCs/>
                      <w:color w:val="auto"/>
                      <w:szCs w:val="21"/>
                      <w:highlight w:val="none"/>
                    </w:rPr>
                  </w:pPr>
                  <w:r>
                    <w:rPr>
                      <w:bCs/>
                      <w:color w:val="auto"/>
                      <w:szCs w:val="21"/>
                      <w:highlight w:val="none"/>
                    </w:rPr>
                    <w:t>消化过程的</w:t>
                  </w:r>
                </w:p>
                <w:p>
                  <w:pPr>
                    <w:adjustRightInd w:val="0"/>
                    <w:snapToGrid w:val="0"/>
                    <w:spacing w:line="240" w:lineRule="auto"/>
                    <w:jc w:val="center"/>
                    <w:rPr>
                      <w:color w:val="auto"/>
                      <w:szCs w:val="21"/>
                      <w:highlight w:val="none"/>
                    </w:rPr>
                  </w:pPr>
                  <w:r>
                    <w:rPr>
                      <w:bCs/>
                      <w:color w:val="auto"/>
                      <w:szCs w:val="21"/>
                      <w:highlight w:val="none"/>
                    </w:rPr>
                    <w:t>粉尘</w:t>
                  </w:r>
                </w:p>
              </w:tc>
              <w:tc>
                <w:tcPr>
                  <w:tcW w:w="1353" w:type="pct"/>
                  <w:vAlign w:val="center"/>
                </w:tcPr>
                <w:p>
                  <w:pPr>
                    <w:spacing w:line="240" w:lineRule="auto"/>
                    <w:jc w:val="center"/>
                    <w:rPr>
                      <w:color w:val="auto"/>
                      <w:szCs w:val="21"/>
                      <w:highlight w:val="none"/>
                    </w:rPr>
                  </w:pPr>
                  <w:r>
                    <w:rPr>
                      <w:bCs/>
                      <w:color w:val="auto"/>
                      <w:szCs w:val="21"/>
                      <w:highlight w:val="none"/>
                    </w:rPr>
                    <w:t>颗粒物</w:t>
                  </w:r>
                </w:p>
              </w:tc>
              <w:tc>
                <w:tcPr>
                  <w:tcW w:w="2215" w:type="pct"/>
                  <w:vAlign w:val="center"/>
                </w:tcPr>
                <w:p>
                  <w:pPr>
                    <w:adjustRightInd w:val="0"/>
                    <w:snapToGrid w:val="0"/>
                    <w:spacing w:line="240" w:lineRule="auto"/>
                    <w:jc w:val="center"/>
                    <w:rPr>
                      <w:color w:val="auto"/>
                      <w:szCs w:val="21"/>
                      <w:highlight w:val="none"/>
                    </w:rPr>
                  </w:pPr>
                  <w:r>
                    <w:rPr>
                      <w:rFonts w:hint="eastAsia"/>
                      <w:color w:val="auto"/>
                      <w:szCs w:val="21"/>
                      <w:highlight w:val="none"/>
                    </w:rPr>
                    <w:t>设备自带脉冲布袋</w:t>
                  </w:r>
                  <w:r>
                    <w:rPr>
                      <w:color w:val="auto"/>
                      <w:szCs w:val="21"/>
                      <w:highlight w:val="none"/>
                    </w:rPr>
                    <w:t>除尘器+15m排气筒（</w:t>
                  </w:r>
                  <w:r>
                    <w:rPr>
                      <w:rFonts w:hint="eastAsia"/>
                      <w:color w:val="auto"/>
                      <w:szCs w:val="21"/>
                      <w:highlight w:val="none"/>
                    </w:rPr>
                    <w:t>DA001</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continue"/>
                  <w:vAlign w:val="center"/>
                </w:tcPr>
                <w:p>
                  <w:pPr>
                    <w:spacing w:line="240" w:lineRule="auto"/>
                    <w:jc w:val="center"/>
                    <w:rPr>
                      <w:color w:val="auto"/>
                      <w:highlight w:val="none"/>
                    </w:rPr>
                  </w:pPr>
                </w:p>
              </w:tc>
              <w:tc>
                <w:tcPr>
                  <w:tcW w:w="1017" w:type="pct"/>
                  <w:vAlign w:val="center"/>
                </w:tcPr>
                <w:p>
                  <w:pPr>
                    <w:adjustRightInd w:val="0"/>
                    <w:snapToGrid w:val="0"/>
                    <w:spacing w:line="240" w:lineRule="auto"/>
                    <w:jc w:val="center"/>
                    <w:rPr>
                      <w:color w:val="auto"/>
                      <w:szCs w:val="21"/>
                      <w:highlight w:val="none"/>
                    </w:rPr>
                  </w:pPr>
                  <w:r>
                    <w:rPr>
                      <w:bCs/>
                      <w:color w:val="auto"/>
                      <w:szCs w:val="21"/>
                      <w:highlight w:val="none"/>
                    </w:rPr>
                    <w:t>卸料、堆存过程产生的粉尘</w:t>
                  </w:r>
                </w:p>
              </w:tc>
              <w:tc>
                <w:tcPr>
                  <w:tcW w:w="1353" w:type="pct"/>
                  <w:vAlign w:val="center"/>
                </w:tcPr>
                <w:p>
                  <w:pPr>
                    <w:spacing w:line="240" w:lineRule="auto"/>
                    <w:jc w:val="center"/>
                    <w:rPr>
                      <w:color w:val="auto"/>
                      <w:szCs w:val="21"/>
                      <w:highlight w:val="none"/>
                    </w:rPr>
                  </w:pPr>
                  <w:r>
                    <w:rPr>
                      <w:bCs/>
                      <w:color w:val="auto"/>
                      <w:szCs w:val="21"/>
                      <w:highlight w:val="none"/>
                    </w:rPr>
                    <w:t>颗粒物</w:t>
                  </w:r>
                </w:p>
              </w:tc>
              <w:tc>
                <w:tcPr>
                  <w:tcW w:w="2215" w:type="pct"/>
                  <w:vAlign w:val="center"/>
                </w:tcPr>
                <w:p>
                  <w:pPr>
                    <w:adjustRightInd w:val="0"/>
                    <w:snapToGrid w:val="0"/>
                    <w:spacing w:line="240" w:lineRule="auto"/>
                    <w:jc w:val="center"/>
                    <w:rPr>
                      <w:color w:val="auto"/>
                      <w:szCs w:val="21"/>
                      <w:highlight w:val="none"/>
                    </w:rPr>
                  </w:pPr>
                  <w:r>
                    <w:rPr>
                      <w:rFonts w:hint="eastAsia"/>
                      <w:color w:val="auto"/>
                      <w:szCs w:val="21"/>
                      <w:highlight w:val="none"/>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continue"/>
                  <w:vAlign w:val="center"/>
                </w:tcPr>
                <w:p>
                  <w:pPr>
                    <w:spacing w:line="240" w:lineRule="auto"/>
                    <w:jc w:val="center"/>
                    <w:rPr>
                      <w:color w:val="auto"/>
                      <w:highlight w:val="none"/>
                    </w:rPr>
                  </w:pPr>
                </w:p>
              </w:tc>
              <w:tc>
                <w:tcPr>
                  <w:tcW w:w="1017" w:type="pct"/>
                  <w:vAlign w:val="center"/>
                </w:tcPr>
                <w:p>
                  <w:pPr>
                    <w:adjustRightInd w:val="0"/>
                    <w:snapToGrid w:val="0"/>
                    <w:spacing w:line="240" w:lineRule="auto"/>
                    <w:jc w:val="center"/>
                    <w:rPr>
                      <w:rFonts w:hint="default" w:eastAsia="宋体"/>
                      <w:bCs/>
                      <w:color w:val="auto"/>
                      <w:szCs w:val="21"/>
                      <w:highlight w:val="none"/>
                      <w:lang w:val="en-US" w:eastAsia="zh-CN"/>
                    </w:rPr>
                  </w:pPr>
                  <w:r>
                    <w:rPr>
                      <w:rFonts w:hint="eastAsia"/>
                      <w:bCs/>
                      <w:color w:val="auto"/>
                      <w:szCs w:val="21"/>
                      <w:highlight w:val="none"/>
                      <w:lang w:val="en-US" w:eastAsia="zh-CN"/>
                    </w:rPr>
                    <w:t>成品罐呼吸废气及研磨粉尘</w:t>
                  </w:r>
                </w:p>
              </w:tc>
              <w:tc>
                <w:tcPr>
                  <w:tcW w:w="1353" w:type="pct"/>
                  <w:vAlign w:val="center"/>
                </w:tcPr>
                <w:p>
                  <w:pPr>
                    <w:spacing w:line="240" w:lineRule="auto"/>
                    <w:jc w:val="center"/>
                    <w:rPr>
                      <w:bCs/>
                      <w:color w:val="auto"/>
                      <w:szCs w:val="21"/>
                      <w:highlight w:val="none"/>
                    </w:rPr>
                  </w:pPr>
                  <w:r>
                    <w:rPr>
                      <w:bCs/>
                      <w:color w:val="auto"/>
                      <w:szCs w:val="21"/>
                      <w:highlight w:val="none"/>
                    </w:rPr>
                    <w:t>颗粒物</w:t>
                  </w:r>
                </w:p>
              </w:tc>
              <w:tc>
                <w:tcPr>
                  <w:tcW w:w="2215" w:type="pct"/>
                  <w:vAlign w:val="center"/>
                </w:tcPr>
                <w:p>
                  <w:pPr>
                    <w:adjustRightInd w:val="0"/>
                    <w:snapToGrid w:val="0"/>
                    <w:spacing w:line="240" w:lineRule="auto"/>
                    <w:jc w:val="center"/>
                    <w:rPr>
                      <w:rFonts w:hint="eastAsia"/>
                      <w:color w:val="auto"/>
                      <w:szCs w:val="21"/>
                      <w:highlight w:val="none"/>
                    </w:rPr>
                  </w:pPr>
                  <w:r>
                    <w:rPr>
                      <w:rFonts w:hint="eastAsia"/>
                      <w:color w:val="auto"/>
                      <w:sz w:val="21"/>
                      <w:szCs w:val="21"/>
                      <w:highlight w:val="none"/>
                      <w:lang w:val="en-US" w:eastAsia="zh-CN"/>
                    </w:rPr>
                    <w:t>经</w:t>
                  </w:r>
                  <w:r>
                    <w:rPr>
                      <w:rFonts w:hint="eastAsia"/>
                      <w:color w:val="auto"/>
                      <w:sz w:val="21"/>
                      <w:szCs w:val="21"/>
                      <w:highlight w:val="none"/>
                    </w:rPr>
                    <w:t>设备自带脉冲布袋除尘器</w:t>
                  </w:r>
                  <w:r>
                    <w:rPr>
                      <w:rFonts w:hint="eastAsia"/>
                      <w:color w:val="auto"/>
                      <w:sz w:val="21"/>
                      <w:szCs w:val="21"/>
                      <w:highlight w:val="none"/>
                      <w:lang w:val="en-US" w:eastAsia="zh-CN"/>
                    </w:rPr>
                    <w:t>收集</w:t>
                  </w:r>
                  <w:r>
                    <w:rPr>
                      <w:rFonts w:hint="eastAsia"/>
                      <w:color w:val="auto"/>
                      <w:sz w:val="21"/>
                      <w:szCs w:val="21"/>
                      <w:highlight w:val="none"/>
                    </w:rPr>
                    <w:t>处理后</w:t>
                  </w:r>
                  <w:r>
                    <w:rPr>
                      <w:rFonts w:hint="eastAsia"/>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continue"/>
                  <w:vAlign w:val="center"/>
                </w:tcPr>
                <w:p>
                  <w:pPr>
                    <w:spacing w:line="240" w:lineRule="auto"/>
                    <w:jc w:val="center"/>
                    <w:rPr>
                      <w:color w:val="auto"/>
                      <w:highlight w:val="none"/>
                    </w:rPr>
                  </w:pPr>
                </w:p>
              </w:tc>
              <w:tc>
                <w:tcPr>
                  <w:tcW w:w="1017" w:type="pct"/>
                  <w:vAlign w:val="center"/>
                </w:tcPr>
                <w:p>
                  <w:pPr>
                    <w:adjustRightInd w:val="0"/>
                    <w:snapToGrid w:val="0"/>
                    <w:spacing w:line="240" w:lineRule="auto"/>
                    <w:jc w:val="center"/>
                    <w:rPr>
                      <w:bCs/>
                      <w:color w:val="auto"/>
                      <w:szCs w:val="21"/>
                      <w:highlight w:val="none"/>
                    </w:rPr>
                  </w:pPr>
                  <w:r>
                    <w:rPr>
                      <w:rFonts w:hint="eastAsia"/>
                      <w:bCs/>
                      <w:color w:val="auto"/>
                      <w:szCs w:val="21"/>
                      <w:highlight w:val="none"/>
                    </w:rPr>
                    <w:t>厨房油烟</w:t>
                  </w:r>
                </w:p>
              </w:tc>
              <w:tc>
                <w:tcPr>
                  <w:tcW w:w="1353" w:type="pct"/>
                  <w:vAlign w:val="center"/>
                </w:tcPr>
                <w:p>
                  <w:pPr>
                    <w:spacing w:line="240" w:lineRule="auto"/>
                    <w:jc w:val="center"/>
                    <w:rPr>
                      <w:bCs/>
                      <w:color w:val="auto"/>
                      <w:szCs w:val="21"/>
                      <w:highlight w:val="none"/>
                    </w:rPr>
                  </w:pPr>
                  <w:r>
                    <w:rPr>
                      <w:rFonts w:hint="eastAsia"/>
                      <w:bCs/>
                      <w:color w:val="auto"/>
                      <w:szCs w:val="21"/>
                      <w:highlight w:val="none"/>
                    </w:rPr>
                    <w:t>油烟</w:t>
                  </w:r>
                </w:p>
              </w:tc>
              <w:tc>
                <w:tcPr>
                  <w:tcW w:w="2215" w:type="pct"/>
                  <w:vAlign w:val="center"/>
                </w:tcPr>
                <w:p>
                  <w:pPr>
                    <w:adjustRightInd w:val="0"/>
                    <w:snapToGrid w:val="0"/>
                    <w:spacing w:line="240" w:lineRule="auto"/>
                    <w:jc w:val="center"/>
                    <w:rPr>
                      <w:color w:val="auto"/>
                      <w:szCs w:val="21"/>
                      <w:highlight w:val="none"/>
                    </w:rPr>
                  </w:pPr>
                  <w:r>
                    <w:rPr>
                      <w:color w:val="auto"/>
                      <w:highlight w:val="none"/>
                    </w:rPr>
                    <w:t>经油烟净化器处理后引至</w:t>
                  </w:r>
                  <w:r>
                    <w:rPr>
                      <w:rFonts w:hint="eastAsia"/>
                      <w:color w:val="auto"/>
                      <w:highlight w:val="none"/>
                    </w:rPr>
                    <w:t>排气筒</w:t>
                  </w:r>
                  <w:r>
                    <w:rPr>
                      <w:color w:val="auto"/>
                      <w:highlight w:val="none"/>
                    </w:rPr>
                    <w:t>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Align w:val="center"/>
                </w:tcPr>
                <w:p>
                  <w:pPr>
                    <w:spacing w:line="240" w:lineRule="auto"/>
                    <w:jc w:val="center"/>
                    <w:rPr>
                      <w:color w:val="auto"/>
                      <w:highlight w:val="none"/>
                    </w:rPr>
                  </w:pPr>
                  <w:r>
                    <w:rPr>
                      <w:rFonts w:hint="eastAsia"/>
                      <w:color w:val="auto"/>
                      <w:highlight w:val="none"/>
                    </w:rPr>
                    <w:t>废水</w:t>
                  </w:r>
                </w:p>
              </w:tc>
              <w:tc>
                <w:tcPr>
                  <w:tcW w:w="1017" w:type="pct"/>
                  <w:vAlign w:val="center"/>
                </w:tcPr>
                <w:p>
                  <w:pPr>
                    <w:spacing w:line="240" w:lineRule="auto"/>
                    <w:jc w:val="center"/>
                    <w:rPr>
                      <w:color w:val="auto"/>
                      <w:highlight w:val="none"/>
                    </w:rPr>
                  </w:pPr>
                  <w:r>
                    <w:rPr>
                      <w:rFonts w:hint="eastAsia"/>
                      <w:color w:val="auto"/>
                      <w:highlight w:val="none"/>
                    </w:rPr>
                    <w:t>生活污水</w:t>
                  </w:r>
                </w:p>
              </w:tc>
              <w:tc>
                <w:tcPr>
                  <w:tcW w:w="1353" w:type="pct"/>
                  <w:vAlign w:val="center"/>
                </w:tcPr>
                <w:p>
                  <w:pPr>
                    <w:spacing w:line="240" w:lineRule="auto"/>
                    <w:jc w:val="center"/>
                    <w:rPr>
                      <w:color w:val="auto"/>
                      <w:highlight w:val="none"/>
                    </w:rPr>
                  </w:pPr>
                  <w:r>
                    <w:rPr>
                      <w:color w:val="auto"/>
                      <w:szCs w:val="21"/>
                      <w:highlight w:val="none"/>
                    </w:rPr>
                    <w:t>COD</w:t>
                  </w:r>
                  <w:r>
                    <w:rPr>
                      <w:color w:val="auto"/>
                      <w:szCs w:val="21"/>
                      <w:highlight w:val="none"/>
                      <w:vertAlign w:val="subscript"/>
                    </w:rPr>
                    <w:t>Cr</w:t>
                  </w:r>
                  <w:r>
                    <w:rPr>
                      <w:rFonts w:hint="eastAsia"/>
                      <w:color w:val="auto"/>
                      <w:szCs w:val="21"/>
                      <w:highlight w:val="none"/>
                    </w:rPr>
                    <w:t>、</w:t>
                  </w:r>
                  <w:r>
                    <w:rPr>
                      <w:color w:val="auto"/>
                      <w:szCs w:val="21"/>
                      <w:highlight w:val="none"/>
                    </w:rPr>
                    <w:t>BOD</w:t>
                  </w:r>
                  <w:r>
                    <w:rPr>
                      <w:color w:val="auto"/>
                      <w:szCs w:val="21"/>
                      <w:highlight w:val="none"/>
                      <w:vertAlign w:val="subscript"/>
                    </w:rPr>
                    <w:t>5</w:t>
                  </w:r>
                  <w:r>
                    <w:rPr>
                      <w:rFonts w:hint="eastAsia"/>
                      <w:color w:val="auto"/>
                      <w:szCs w:val="21"/>
                      <w:highlight w:val="none"/>
                    </w:rPr>
                    <w:t>、</w:t>
                  </w:r>
                  <w:r>
                    <w:rPr>
                      <w:color w:val="auto"/>
                      <w:szCs w:val="21"/>
                      <w:highlight w:val="none"/>
                    </w:rPr>
                    <w:t>SS</w:t>
                  </w:r>
                  <w:r>
                    <w:rPr>
                      <w:rFonts w:hint="eastAsia"/>
                      <w:color w:val="auto"/>
                      <w:szCs w:val="21"/>
                      <w:highlight w:val="none"/>
                    </w:rPr>
                    <w:t>、</w:t>
                  </w:r>
                  <w:r>
                    <w:rPr>
                      <w:color w:val="auto"/>
                      <w:szCs w:val="21"/>
                      <w:highlight w:val="none"/>
                    </w:rPr>
                    <w:t>NH</w:t>
                  </w:r>
                  <w:r>
                    <w:rPr>
                      <w:color w:val="auto"/>
                      <w:szCs w:val="21"/>
                      <w:highlight w:val="none"/>
                      <w:vertAlign w:val="subscript"/>
                    </w:rPr>
                    <w:t>3</w:t>
                  </w:r>
                  <w:r>
                    <w:rPr>
                      <w:color w:val="auto"/>
                      <w:szCs w:val="21"/>
                      <w:highlight w:val="none"/>
                    </w:rPr>
                    <w:t>-N</w:t>
                  </w:r>
                  <w:r>
                    <w:rPr>
                      <w:rFonts w:hint="eastAsia"/>
                      <w:color w:val="auto"/>
                      <w:szCs w:val="21"/>
                      <w:highlight w:val="none"/>
                    </w:rPr>
                    <w:t>、动植物油</w:t>
                  </w:r>
                </w:p>
              </w:tc>
              <w:tc>
                <w:tcPr>
                  <w:tcW w:w="2215" w:type="pct"/>
                  <w:vAlign w:val="center"/>
                </w:tcPr>
                <w:p>
                  <w:pPr>
                    <w:spacing w:line="240" w:lineRule="auto"/>
                    <w:jc w:val="center"/>
                    <w:rPr>
                      <w:color w:val="auto"/>
                      <w:szCs w:val="21"/>
                      <w:highlight w:val="none"/>
                    </w:rPr>
                  </w:pPr>
                  <w:r>
                    <w:rPr>
                      <w:rFonts w:hint="eastAsia"/>
                      <w:color w:val="auto"/>
                      <w:szCs w:val="21"/>
                      <w:highlight w:val="none"/>
                    </w:rPr>
                    <w:t>经化粪池</w:t>
                  </w:r>
                  <w:r>
                    <w:rPr>
                      <w:rFonts w:hint="eastAsia"/>
                      <w:color w:val="auto"/>
                      <w:kern w:val="0"/>
                      <w:szCs w:val="21"/>
                      <w:highlight w:val="none"/>
                    </w:rPr>
                    <w:t>、隔油隔渣池</w:t>
                  </w:r>
                  <w:r>
                    <w:rPr>
                      <w:rFonts w:hint="eastAsia"/>
                      <w:color w:val="auto"/>
                      <w:szCs w:val="21"/>
                      <w:highlight w:val="none"/>
                    </w:rPr>
                    <w:t>处理后回用于厂区绿化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restart"/>
                  <w:vAlign w:val="center"/>
                </w:tcPr>
                <w:p>
                  <w:pPr>
                    <w:spacing w:line="240" w:lineRule="auto"/>
                    <w:jc w:val="center"/>
                    <w:rPr>
                      <w:color w:val="auto"/>
                      <w:highlight w:val="none"/>
                    </w:rPr>
                  </w:pPr>
                  <w:r>
                    <w:rPr>
                      <w:rFonts w:hint="eastAsia"/>
                      <w:color w:val="auto"/>
                      <w:highlight w:val="none"/>
                    </w:rPr>
                    <w:t>固废</w:t>
                  </w:r>
                </w:p>
              </w:tc>
              <w:tc>
                <w:tcPr>
                  <w:tcW w:w="1017" w:type="pct"/>
                  <w:vAlign w:val="center"/>
                </w:tcPr>
                <w:p>
                  <w:pPr>
                    <w:adjustRightInd w:val="0"/>
                    <w:snapToGrid w:val="0"/>
                    <w:spacing w:line="240" w:lineRule="auto"/>
                    <w:jc w:val="center"/>
                    <w:rPr>
                      <w:color w:val="auto"/>
                      <w:szCs w:val="21"/>
                      <w:highlight w:val="none"/>
                    </w:rPr>
                  </w:pPr>
                  <w:r>
                    <w:rPr>
                      <w:rFonts w:hint="eastAsia"/>
                      <w:bCs/>
                      <w:color w:val="auto"/>
                      <w:szCs w:val="21"/>
                      <w:highlight w:val="none"/>
                    </w:rPr>
                    <w:t>办公生活</w:t>
                  </w:r>
                </w:p>
              </w:tc>
              <w:tc>
                <w:tcPr>
                  <w:tcW w:w="1353" w:type="pct"/>
                  <w:vAlign w:val="center"/>
                </w:tcPr>
                <w:p>
                  <w:pPr>
                    <w:spacing w:line="240" w:lineRule="auto"/>
                    <w:jc w:val="center"/>
                    <w:rPr>
                      <w:color w:val="auto"/>
                      <w:highlight w:val="none"/>
                    </w:rPr>
                  </w:pPr>
                  <w:r>
                    <w:rPr>
                      <w:rFonts w:hint="eastAsia"/>
                      <w:bCs/>
                      <w:color w:val="auto"/>
                      <w:szCs w:val="21"/>
                      <w:highlight w:val="none"/>
                    </w:rPr>
                    <w:t>生活垃圾</w:t>
                  </w:r>
                </w:p>
              </w:tc>
              <w:tc>
                <w:tcPr>
                  <w:tcW w:w="2215" w:type="pct"/>
                  <w:vAlign w:val="center"/>
                </w:tcPr>
                <w:p>
                  <w:pPr>
                    <w:adjustRightInd w:val="0"/>
                    <w:snapToGrid w:val="0"/>
                    <w:spacing w:line="240" w:lineRule="auto"/>
                    <w:jc w:val="center"/>
                    <w:rPr>
                      <w:color w:val="auto"/>
                      <w:szCs w:val="21"/>
                      <w:highlight w:val="none"/>
                    </w:rPr>
                  </w:pPr>
                  <w:r>
                    <w:rPr>
                      <w:rFonts w:hint="eastAsia"/>
                      <w:bCs/>
                      <w:color w:val="auto"/>
                      <w:szCs w:val="21"/>
                      <w:highlight w:val="none"/>
                    </w:rPr>
                    <w:t>经环卫部门处理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continue"/>
                  <w:vAlign w:val="center"/>
                </w:tcPr>
                <w:p>
                  <w:pPr>
                    <w:spacing w:line="240" w:lineRule="auto"/>
                    <w:jc w:val="center"/>
                    <w:rPr>
                      <w:color w:val="auto"/>
                      <w:highlight w:val="none"/>
                    </w:rPr>
                  </w:pPr>
                </w:p>
              </w:tc>
              <w:tc>
                <w:tcPr>
                  <w:tcW w:w="1017" w:type="pct"/>
                  <w:vMerge w:val="restart"/>
                  <w:vAlign w:val="center"/>
                </w:tcPr>
                <w:p>
                  <w:pPr>
                    <w:adjustRightInd w:val="0"/>
                    <w:snapToGrid w:val="0"/>
                    <w:spacing w:line="240" w:lineRule="auto"/>
                    <w:jc w:val="center"/>
                    <w:rPr>
                      <w:color w:val="auto"/>
                      <w:szCs w:val="21"/>
                      <w:highlight w:val="none"/>
                    </w:rPr>
                  </w:pPr>
                  <w:r>
                    <w:rPr>
                      <w:bCs/>
                      <w:color w:val="auto"/>
                      <w:szCs w:val="21"/>
                      <w:highlight w:val="none"/>
                    </w:rPr>
                    <w:t>生产过程</w:t>
                  </w:r>
                </w:p>
              </w:tc>
              <w:tc>
                <w:tcPr>
                  <w:tcW w:w="1353" w:type="pct"/>
                  <w:vAlign w:val="center"/>
                </w:tcPr>
                <w:p>
                  <w:pPr>
                    <w:adjustRightInd w:val="0"/>
                    <w:snapToGrid w:val="0"/>
                    <w:spacing w:line="240" w:lineRule="auto"/>
                    <w:jc w:val="center"/>
                    <w:rPr>
                      <w:color w:val="auto"/>
                      <w:szCs w:val="21"/>
                      <w:highlight w:val="none"/>
                    </w:rPr>
                  </w:pPr>
                  <w:r>
                    <w:rPr>
                      <w:bCs/>
                      <w:color w:val="auto"/>
                      <w:szCs w:val="21"/>
                      <w:highlight w:val="none"/>
                    </w:rPr>
                    <w:t>布袋除尘器收集的粉尘</w:t>
                  </w:r>
                </w:p>
              </w:tc>
              <w:tc>
                <w:tcPr>
                  <w:tcW w:w="2215" w:type="pct"/>
                  <w:vAlign w:val="center"/>
                </w:tcPr>
                <w:p>
                  <w:pPr>
                    <w:adjustRightInd w:val="0"/>
                    <w:snapToGrid w:val="0"/>
                    <w:spacing w:line="240" w:lineRule="auto"/>
                    <w:jc w:val="center"/>
                    <w:rPr>
                      <w:color w:val="auto"/>
                      <w:szCs w:val="21"/>
                      <w:highlight w:val="none"/>
                    </w:rPr>
                  </w:pPr>
                  <w:r>
                    <w:rPr>
                      <w:bCs/>
                      <w:color w:val="auto"/>
                      <w:szCs w:val="21"/>
                      <w:highlight w:val="none"/>
                    </w:rPr>
                    <w:t>回用于生产工序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continue"/>
                  <w:vAlign w:val="center"/>
                </w:tcPr>
                <w:p>
                  <w:pPr>
                    <w:spacing w:line="240" w:lineRule="auto"/>
                    <w:jc w:val="center"/>
                    <w:rPr>
                      <w:color w:val="auto"/>
                      <w:highlight w:val="none"/>
                    </w:rPr>
                  </w:pPr>
                </w:p>
              </w:tc>
              <w:tc>
                <w:tcPr>
                  <w:tcW w:w="1017" w:type="pct"/>
                  <w:vMerge w:val="continue"/>
                  <w:vAlign w:val="center"/>
                </w:tcPr>
                <w:p>
                  <w:pPr>
                    <w:spacing w:line="240" w:lineRule="auto"/>
                    <w:jc w:val="center"/>
                    <w:rPr>
                      <w:color w:val="auto"/>
                      <w:highlight w:val="none"/>
                    </w:rPr>
                  </w:pPr>
                </w:p>
              </w:tc>
              <w:tc>
                <w:tcPr>
                  <w:tcW w:w="1353" w:type="pct"/>
                  <w:vAlign w:val="center"/>
                </w:tcPr>
                <w:p>
                  <w:pPr>
                    <w:pStyle w:val="62"/>
                    <w:adjustRightInd w:val="0"/>
                    <w:snapToGrid w:val="0"/>
                    <w:spacing w:line="240" w:lineRule="auto"/>
                    <w:jc w:val="center"/>
                    <w:rPr>
                      <w:color w:val="auto"/>
                      <w:highlight w:val="none"/>
                    </w:rPr>
                  </w:pPr>
                  <w:r>
                    <w:rPr>
                      <w:rFonts w:ascii="Times New Roman" w:hAnsi="Times New Roman"/>
                      <w:color w:val="auto"/>
                      <w:highlight w:val="none"/>
                    </w:rPr>
                    <w:t>废机油</w:t>
                  </w:r>
                </w:p>
              </w:tc>
              <w:tc>
                <w:tcPr>
                  <w:tcW w:w="2215" w:type="pct"/>
                  <w:vMerge w:val="restart"/>
                  <w:vAlign w:val="center"/>
                </w:tcPr>
                <w:p>
                  <w:pPr>
                    <w:adjustRightInd w:val="0"/>
                    <w:snapToGrid w:val="0"/>
                    <w:spacing w:line="240" w:lineRule="auto"/>
                    <w:jc w:val="center"/>
                    <w:rPr>
                      <w:color w:val="auto"/>
                      <w:szCs w:val="21"/>
                      <w:highlight w:val="none"/>
                    </w:rPr>
                  </w:pPr>
                  <w:r>
                    <w:rPr>
                      <w:color w:val="auto"/>
                      <w:szCs w:val="21"/>
                      <w:highlight w:val="none"/>
                    </w:rPr>
                    <w:t>交</w:t>
                  </w:r>
                  <w:r>
                    <w:rPr>
                      <w:rFonts w:hint="eastAsia"/>
                      <w:color w:val="auto"/>
                      <w:szCs w:val="21"/>
                      <w:highlight w:val="none"/>
                    </w:rPr>
                    <w:t>由有</w:t>
                  </w:r>
                  <w:r>
                    <w:rPr>
                      <w:color w:val="auto"/>
                      <w:szCs w:val="21"/>
                      <w:highlight w:val="none"/>
                    </w:rPr>
                    <w:t>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4" w:type="pct"/>
                  <w:vMerge w:val="continue"/>
                  <w:vAlign w:val="center"/>
                </w:tcPr>
                <w:p>
                  <w:pPr>
                    <w:spacing w:line="240" w:lineRule="auto"/>
                    <w:jc w:val="center"/>
                    <w:rPr>
                      <w:color w:val="auto"/>
                      <w:highlight w:val="none"/>
                    </w:rPr>
                  </w:pPr>
                </w:p>
              </w:tc>
              <w:tc>
                <w:tcPr>
                  <w:tcW w:w="1017" w:type="pct"/>
                  <w:vMerge w:val="continue"/>
                  <w:vAlign w:val="center"/>
                </w:tcPr>
                <w:p>
                  <w:pPr>
                    <w:spacing w:line="240" w:lineRule="auto"/>
                    <w:jc w:val="center"/>
                    <w:rPr>
                      <w:color w:val="auto"/>
                      <w:highlight w:val="none"/>
                    </w:rPr>
                  </w:pPr>
                </w:p>
              </w:tc>
              <w:tc>
                <w:tcPr>
                  <w:tcW w:w="1353" w:type="pct"/>
                  <w:vAlign w:val="center"/>
                </w:tcPr>
                <w:p>
                  <w:pPr>
                    <w:adjustRightInd w:val="0"/>
                    <w:snapToGrid w:val="0"/>
                    <w:spacing w:line="240" w:lineRule="auto"/>
                    <w:jc w:val="center"/>
                    <w:rPr>
                      <w:bCs/>
                      <w:color w:val="auto"/>
                      <w:szCs w:val="21"/>
                      <w:highlight w:val="none"/>
                    </w:rPr>
                  </w:pPr>
                  <w:r>
                    <w:rPr>
                      <w:bCs/>
                      <w:color w:val="auto"/>
                      <w:szCs w:val="21"/>
                      <w:highlight w:val="none"/>
                    </w:rPr>
                    <w:t>含油废抹布</w:t>
                  </w:r>
                </w:p>
                <w:p>
                  <w:pPr>
                    <w:adjustRightInd w:val="0"/>
                    <w:snapToGrid w:val="0"/>
                    <w:spacing w:line="240" w:lineRule="auto"/>
                    <w:jc w:val="center"/>
                    <w:rPr>
                      <w:color w:val="auto"/>
                      <w:szCs w:val="21"/>
                      <w:highlight w:val="none"/>
                    </w:rPr>
                  </w:pPr>
                  <w:r>
                    <w:rPr>
                      <w:bCs/>
                      <w:color w:val="auto"/>
                      <w:szCs w:val="21"/>
                      <w:highlight w:val="none"/>
                    </w:rPr>
                    <w:t>手套</w:t>
                  </w:r>
                </w:p>
              </w:tc>
              <w:tc>
                <w:tcPr>
                  <w:tcW w:w="2215" w:type="pct"/>
                  <w:vMerge w:val="continue"/>
                  <w:vAlign w:val="center"/>
                </w:tcPr>
                <w:p>
                  <w:pPr>
                    <w:adjustRightInd w:val="0"/>
                    <w:snapToGrid w:val="0"/>
                    <w:jc w:val="center"/>
                    <w:rPr>
                      <w:color w:val="auto"/>
                      <w:highlight w:val="none"/>
                    </w:rPr>
                  </w:pPr>
                </w:p>
              </w:tc>
            </w:tr>
          </w:tbl>
          <w:p>
            <w:pPr>
              <w:adjustRightInd w:val="0"/>
              <w:snapToGrid w:val="0"/>
              <w:rPr>
                <w:b/>
                <w:bCs/>
                <w:color w:val="auto"/>
                <w:spacing w:val="-10"/>
                <w:szCs w:val="21"/>
                <w:highlight w:val="none"/>
              </w:rPr>
            </w:pPr>
            <w:r>
              <w:rPr>
                <w:rFonts w:hint="eastAsia"/>
                <w:b/>
                <w:bCs/>
                <w:color w:val="auto"/>
                <w:spacing w:val="-10"/>
                <w:szCs w:val="21"/>
                <w:highlight w:val="none"/>
              </w:rPr>
              <w:t>一</w:t>
            </w:r>
            <w:r>
              <w:rPr>
                <w:b/>
                <w:bCs/>
                <w:color w:val="auto"/>
                <w:spacing w:val="-10"/>
                <w:szCs w:val="21"/>
                <w:highlight w:val="none"/>
              </w:rPr>
              <w:t>、废气</w:t>
            </w:r>
          </w:p>
          <w:p>
            <w:pPr>
              <w:ind w:firstLine="420" w:firstLineChars="200"/>
              <w:rPr>
                <w:color w:val="auto"/>
                <w:highlight w:val="none"/>
              </w:rPr>
            </w:pPr>
            <w:r>
              <w:rPr>
                <w:color w:val="auto"/>
                <w:highlight w:val="none"/>
              </w:rPr>
              <w:t>本项目产生的废气主要为</w:t>
            </w:r>
            <w:r>
              <w:rPr>
                <w:rFonts w:hint="eastAsia"/>
                <w:color w:val="auto"/>
                <w:highlight w:val="none"/>
              </w:rPr>
              <w:t>投料过程的粉尘，消化过程产生的粉尘，卸料、堆存过程产生的粉尘、</w:t>
            </w:r>
            <w:r>
              <w:rPr>
                <w:rFonts w:hint="eastAsia"/>
                <w:bCs/>
                <w:color w:val="auto"/>
                <w:szCs w:val="21"/>
                <w:highlight w:val="none"/>
                <w:lang w:val="en-US" w:eastAsia="zh-CN"/>
              </w:rPr>
              <w:t>成品罐呼吸废气及研磨粉尘、</w:t>
            </w:r>
            <w:r>
              <w:rPr>
                <w:rFonts w:hint="eastAsia"/>
                <w:color w:val="auto"/>
                <w:highlight w:val="none"/>
              </w:rPr>
              <w:t>厨房油烟。</w:t>
            </w:r>
          </w:p>
          <w:p>
            <w:pPr>
              <w:adjustRightInd w:val="0"/>
              <w:snapToGrid w:val="0"/>
              <w:ind w:firstLine="422" w:firstLineChars="200"/>
              <w:rPr>
                <w:b/>
                <w:bCs/>
                <w:color w:val="auto"/>
                <w:szCs w:val="21"/>
                <w:highlight w:val="none"/>
              </w:rPr>
            </w:pPr>
            <w:r>
              <w:rPr>
                <w:b/>
                <w:bCs/>
                <w:color w:val="auto"/>
                <w:szCs w:val="21"/>
                <w:highlight w:val="none"/>
              </w:rPr>
              <w:t>1</w:t>
            </w:r>
            <w:r>
              <w:rPr>
                <w:rFonts w:hint="eastAsia"/>
                <w:b/>
                <w:bCs/>
                <w:color w:val="auto"/>
                <w:szCs w:val="21"/>
                <w:highlight w:val="none"/>
              </w:rPr>
              <w:t>、</w:t>
            </w:r>
            <w:r>
              <w:rPr>
                <w:b/>
                <w:bCs/>
                <w:color w:val="auto"/>
                <w:szCs w:val="21"/>
                <w:highlight w:val="none"/>
              </w:rPr>
              <w:t>废气源强核算</w:t>
            </w:r>
          </w:p>
          <w:p>
            <w:pPr>
              <w:adjustRightInd w:val="0"/>
              <w:snapToGrid w:val="0"/>
              <w:ind w:firstLine="420" w:firstLineChars="200"/>
              <w:rPr>
                <w:rFonts w:ascii="宋体" w:hAnsi="宋体" w:cs="宋体"/>
                <w:bCs/>
                <w:color w:val="auto"/>
                <w:spacing w:val="-10"/>
                <w:sz w:val="24"/>
                <w:highlight w:val="none"/>
              </w:rPr>
            </w:pPr>
            <w:r>
              <w:rPr>
                <w:rFonts w:hint="eastAsia"/>
                <w:bCs/>
                <w:color w:val="auto"/>
                <w:szCs w:val="21"/>
                <w:highlight w:val="none"/>
              </w:rPr>
              <w:t>废气污染源源强核算结果及相关参数一览表见下表。</w:t>
            </w:r>
          </w:p>
        </w:tc>
      </w:tr>
    </w:tbl>
    <w:p>
      <w:pPr>
        <w:adjustRightInd w:val="0"/>
        <w:snapToGrid w:val="0"/>
        <w:rPr>
          <w:rFonts w:ascii="宋体" w:cs="宋体"/>
          <w:b/>
          <w:color w:val="auto"/>
          <w:kern w:val="0"/>
          <w:sz w:val="28"/>
          <w:szCs w:val="28"/>
          <w:highlight w:val="none"/>
        </w:rPr>
        <w:sectPr>
          <w:pgSz w:w="11907" w:h="16840"/>
          <w:pgMar w:top="1701" w:right="1531" w:bottom="2127" w:left="1531" w:header="851" w:footer="851" w:gutter="0"/>
          <w:cols w:space="720" w:num="1"/>
          <w:docGrid w:linePitch="312" w:charSpace="0"/>
        </w:sectPr>
      </w:pP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3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1" w:hRule="atLeast"/>
          <w:jc w:val="center"/>
        </w:trPr>
        <w:tc>
          <w:tcPr>
            <w:tcW w:w="125" w:type="pct"/>
            <w:tcMar>
              <w:left w:w="28" w:type="dxa"/>
              <w:right w:w="28" w:type="dxa"/>
            </w:tcMar>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运营期环境影响和保护措施</w:t>
            </w:r>
          </w:p>
        </w:tc>
        <w:tc>
          <w:tcPr>
            <w:tcW w:w="4875" w:type="pct"/>
            <w:vAlign w:val="center"/>
          </w:tcPr>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废气污染源源强核算结果及相关参数一览表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74"/>
              <w:gridCol w:w="891"/>
              <w:gridCol w:w="789"/>
              <w:gridCol w:w="698"/>
              <w:gridCol w:w="623"/>
              <w:gridCol w:w="787"/>
              <w:gridCol w:w="702"/>
              <w:gridCol w:w="778"/>
              <w:gridCol w:w="809"/>
              <w:gridCol w:w="533"/>
              <w:gridCol w:w="479"/>
              <w:gridCol w:w="666"/>
              <w:gridCol w:w="754"/>
              <w:gridCol w:w="817"/>
              <w:gridCol w:w="721"/>
              <w:gridCol w:w="752"/>
              <w:gridCol w:w="51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Merge w:val="restart"/>
                  <w:vAlign w:val="center"/>
                </w:tcPr>
                <w:p>
                  <w:pPr>
                    <w:spacing w:line="240" w:lineRule="auto"/>
                    <w:ind w:left="-105" w:leftChars="-50" w:right="-105" w:rightChars="-50"/>
                    <w:jc w:val="center"/>
                    <w:rPr>
                      <w:color w:val="auto"/>
                      <w:szCs w:val="21"/>
                      <w:highlight w:val="none"/>
                    </w:rPr>
                  </w:pPr>
                  <w:r>
                    <w:rPr>
                      <w:color w:val="auto"/>
                      <w:szCs w:val="21"/>
                      <w:highlight w:val="none"/>
                    </w:rPr>
                    <w:t>工序/生产线</w:t>
                  </w:r>
                </w:p>
              </w:tc>
              <w:tc>
                <w:tcPr>
                  <w:tcW w:w="182" w:type="pct"/>
                  <w:vMerge w:val="restart"/>
                  <w:vAlign w:val="center"/>
                </w:tcPr>
                <w:p>
                  <w:pPr>
                    <w:spacing w:line="240" w:lineRule="auto"/>
                    <w:ind w:left="-105" w:leftChars="-50" w:right="-105" w:rightChars="-50"/>
                    <w:jc w:val="center"/>
                    <w:rPr>
                      <w:color w:val="auto"/>
                      <w:szCs w:val="21"/>
                      <w:highlight w:val="none"/>
                    </w:rPr>
                  </w:pPr>
                  <w:r>
                    <w:rPr>
                      <w:color w:val="auto"/>
                      <w:szCs w:val="21"/>
                      <w:highlight w:val="none"/>
                    </w:rPr>
                    <w:t>装置</w:t>
                  </w:r>
                </w:p>
              </w:tc>
              <w:tc>
                <w:tcPr>
                  <w:tcW w:w="342" w:type="pct"/>
                  <w:vMerge w:val="restart"/>
                  <w:vAlign w:val="center"/>
                </w:tcPr>
                <w:p>
                  <w:pPr>
                    <w:spacing w:line="240" w:lineRule="auto"/>
                    <w:ind w:left="-105" w:leftChars="-50" w:right="-105" w:rightChars="-50"/>
                    <w:jc w:val="center"/>
                    <w:rPr>
                      <w:color w:val="auto"/>
                      <w:szCs w:val="21"/>
                      <w:highlight w:val="none"/>
                    </w:rPr>
                  </w:pPr>
                  <w:r>
                    <w:rPr>
                      <w:color w:val="auto"/>
                      <w:szCs w:val="21"/>
                      <w:highlight w:val="none"/>
                    </w:rPr>
                    <w:t>污染源</w:t>
                  </w:r>
                </w:p>
              </w:tc>
              <w:tc>
                <w:tcPr>
                  <w:tcW w:w="303" w:type="pct"/>
                  <w:vMerge w:val="restart"/>
                  <w:vAlign w:val="center"/>
                </w:tcPr>
                <w:p>
                  <w:pPr>
                    <w:spacing w:line="240" w:lineRule="auto"/>
                    <w:ind w:left="-105" w:leftChars="-50" w:right="-105" w:rightChars="-50"/>
                    <w:jc w:val="center"/>
                    <w:rPr>
                      <w:color w:val="auto"/>
                      <w:szCs w:val="21"/>
                      <w:highlight w:val="none"/>
                    </w:rPr>
                  </w:pPr>
                  <w:r>
                    <w:rPr>
                      <w:color w:val="auto"/>
                      <w:szCs w:val="21"/>
                      <w:highlight w:val="none"/>
                    </w:rPr>
                    <w:t>污染物</w:t>
                  </w:r>
                </w:p>
              </w:tc>
              <w:tc>
                <w:tcPr>
                  <w:tcW w:w="1379" w:type="pct"/>
                  <w:gridSpan w:val="5"/>
                  <w:vAlign w:val="center"/>
                </w:tcPr>
                <w:p>
                  <w:pPr>
                    <w:spacing w:line="240" w:lineRule="auto"/>
                    <w:ind w:left="-105" w:leftChars="-50" w:right="-105" w:rightChars="-50"/>
                    <w:jc w:val="center"/>
                    <w:rPr>
                      <w:color w:val="auto"/>
                      <w:szCs w:val="21"/>
                      <w:highlight w:val="none"/>
                    </w:rPr>
                  </w:pPr>
                  <w:r>
                    <w:rPr>
                      <w:color w:val="auto"/>
                      <w:szCs w:val="21"/>
                      <w:highlight w:val="none"/>
                    </w:rPr>
                    <w:t>污染物产生</w:t>
                  </w:r>
                </w:p>
              </w:tc>
              <w:tc>
                <w:tcPr>
                  <w:tcW w:w="700" w:type="pct"/>
                  <w:gridSpan w:val="3"/>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治理措施</w:t>
                  </w:r>
                </w:p>
              </w:tc>
              <w:tc>
                <w:tcPr>
                  <w:tcW w:w="1426" w:type="pct"/>
                  <w:gridSpan w:val="5"/>
                  <w:vAlign w:val="center"/>
                </w:tcPr>
                <w:p>
                  <w:pPr>
                    <w:spacing w:line="240" w:lineRule="auto"/>
                    <w:ind w:left="-105" w:leftChars="-50" w:right="-105" w:rightChars="-50"/>
                    <w:jc w:val="center"/>
                    <w:rPr>
                      <w:color w:val="auto"/>
                      <w:szCs w:val="21"/>
                      <w:highlight w:val="none"/>
                    </w:rPr>
                  </w:pPr>
                  <w:r>
                    <w:rPr>
                      <w:color w:val="auto"/>
                      <w:szCs w:val="21"/>
                      <w:highlight w:val="none"/>
                    </w:rPr>
                    <w:t>污染物排放</w:t>
                  </w:r>
                </w:p>
              </w:tc>
              <w:tc>
                <w:tcPr>
                  <w:tcW w:w="196" w:type="pct"/>
                  <w:vMerge w:val="restart"/>
                  <w:vAlign w:val="center"/>
                </w:tcPr>
                <w:p>
                  <w:pPr>
                    <w:spacing w:line="240" w:lineRule="auto"/>
                    <w:ind w:left="-105" w:leftChars="-50" w:right="-105" w:rightChars="-50"/>
                    <w:jc w:val="center"/>
                    <w:rPr>
                      <w:color w:val="auto"/>
                      <w:szCs w:val="21"/>
                      <w:highlight w:val="none"/>
                    </w:rPr>
                  </w:pPr>
                  <w:r>
                    <w:rPr>
                      <w:color w:val="auto"/>
                      <w:szCs w:val="21"/>
                      <w:highlight w:val="none"/>
                    </w:rPr>
                    <w:t>排放时间/h</w:t>
                  </w:r>
                </w:p>
              </w:tc>
              <w:tc>
                <w:tcPr>
                  <w:tcW w:w="267"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Merge w:val="continue"/>
                  <w:vAlign w:val="center"/>
                </w:tcPr>
                <w:p>
                  <w:pPr>
                    <w:spacing w:line="240" w:lineRule="auto"/>
                    <w:ind w:left="-105" w:leftChars="-50" w:right="-105" w:rightChars="-50"/>
                    <w:jc w:val="center"/>
                    <w:rPr>
                      <w:color w:val="auto"/>
                      <w:szCs w:val="21"/>
                      <w:highlight w:val="none"/>
                    </w:rPr>
                  </w:pPr>
                </w:p>
              </w:tc>
              <w:tc>
                <w:tcPr>
                  <w:tcW w:w="182" w:type="pct"/>
                  <w:vMerge w:val="continue"/>
                  <w:vAlign w:val="center"/>
                </w:tcPr>
                <w:p>
                  <w:pPr>
                    <w:spacing w:line="240" w:lineRule="auto"/>
                    <w:ind w:left="-105" w:leftChars="-50" w:right="-105" w:rightChars="-50"/>
                    <w:jc w:val="center"/>
                    <w:rPr>
                      <w:color w:val="auto"/>
                      <w:szCs w:val="21"/>
                      <w:highlight w:val="none"/>
                    </w:rPr>
                  </w:pPr>
                </w:p>
              </w:tc>
              <w:tc>
                <w:tcPr>
                  <w:tcW w:w="342" w:type="pct"/>
                  <w:vMerge w:val="continue"/>
                  <w:vAlign w:val="center"/>
                </w:tcPr>
                <w:p>
                  <w:pPr>
                    <w:spacing w:line="240" w:lineRule="auto"/>
                    <w:ind w:left="-105" w:leftChars="-50" w:right="-105" w:rightChars="-50"/>
                    <w:jc w:val="center"/>
                    <w:rPr>
                      <w:color w:val="auto"/>
                      <w:szCs w:val="21"/>
                      <w:highlight w:val="none"/>
                    </w:rPr>
                  </w:pPr>
                </w:p>
              </w:tc>
              <w:tc>
                <w:tcPr>
                  <w:tcW w:w="303" w:type="pct"/>
                  <w:vMerge w:val="continue"/>
                  <w:vAlign w:val="center"/>
                </w:tcPr>
                <w:p>
                  <w:pPr>
                    <w:spacing w:line="240" w:lineRule="auto"/>
                    <w:ind w:left="-105" w:leftChars="-50" w:right="-105" w:rightChars="-50"/>
                    <w:jc w:val="center"/>
                    <w:rPr>
                      <w:color w:val="auto"/>
                      <w:szCs w:val="21"/>
                      <w:highlight w:val="none"/>
                    </w:rPr>
                  </w:pPr>
                </w:p>
              </w:tc>
              <w:tc>
                <w:tcPr>
                  <w:tcW w:w="268" w:type="pct"/>
                  <w:vAlign w:val="center"/>
                </w:tcPr>
                <w:p>
                  <w:pPr>
                    <w:spacing w:line="240" w:lineRule="auto"/>
                    <w:ind w:left="-105" w:leftChars="-50" w:right="-105" w:rightChars="-50"/>
                    <w:jc w:val="center"/>
                    <w:rPr>
                      <w:color w:val="auto"/>
                      <w:szCs w:val="21"/>
                      <w:highlight w:val="none"/>
                    </w:rPr>
                  </w:pPr>
                  <w:r>
                    <w:rPr>
                      <w:color w:val="auto"/>
                      <w:szCs w:val="21"/>
                      <w:highlight w:val="none"/>
                    </w:rPr>
                    <w:t>核算方法</w:t>
                  </w:r>
                </w:p>
              </w:tc>
              <w:tc>
                <w:tcPr>
                  <w:tcW w:w="239" w:type="pct"/>
                  <w:vAlign w:val="center"/>
                </w:tcPr>
                <w:p>
                  <w:pPr>
                    <w:spacing w:line="240" w:lineRule="auto"/>
                    <w:ind w:left="-105" w:leftChars="-50" w:right="-105" w:rightChars="-50"/>
                    <w:jc w:val="center"/>
                    <w:rPr>
                      <w:color w:val="auto"/>
                      <w:szCs w:val="21"/>
                      <w:highlight w:val="none"/>
                    </w:rPr>
                  </w:pPr>
                  <w:r>
                    <w:rPr>
                      <w:color w:val="auto"/>
                      <w:szCs w:val="21"/>
                      <w:highlight w:val="none"/>
                    </w:rPr>
                    <w:t>废气产生量/(m</w:t>
                  </w:r>
                  <w:r>
                    <w:rPr>
                      <w:color w:val="auto"/>
                      <w:szCs w:val="21"/>
                      <w:highlight w:val="none"/>
                      <w:vertAlign w:val="superscript"/>
                    </w:rPr>
                    <w:t>3</w:t>
                  </w:r>
                  <w:r>
                    <w:rPr>
                      <w:color w:val="auto"/>
                      <w:szCs w:val="21"/>
                      <w:highlight w:val="none"/>
                    </w:rPr>
                    <w:t>/h)</w:t>
                  </w:r>
                </w:p>
              </w:tc>
              <w:tc>
                <w:tcPr>
                  <w:tcW w:w="302" w:type="pct"/>
                  <w:vAlign w:val="center"/>
                </w:tcPr>
                <w:p>
                  <w:pPr>
                    <w:spacing w:line="240" w:lineRule="auto"/>
                    <w:ind w:left="-105" w:leftChars="-50" w:right="-105" w:rightChars="-50"/>
                    <w:jc w:val="center"/>
                    <w:rPr>
                      <w:color w:val="auto"/>
                      <w:szCs w:val="21"/>
                      <w:highlight w:val="none"/>
                    </w:rPr>
                  </w:pPr>
                  <w:r>
                    <w:rPr>
                      <w:color w:val="auto"/>
                      <w:szCs w:val="21"/>
                      <w:highlight w:val="none"/>
                    </w:rPr>
                    <w:t>产生浓度/(mg/m</w:t>
                  </w:r>
                  <w:r>
                    <w:rPr>
                      <w:color w:val="auto"/>
                      <w:szCs w:val="21"/>
                      <w:highlight w:val="none"/>
                      <w:vertAlign w:val="superscript"/>
                    </w:rPr>
                    <w:t>3</w:t>
                  </w:r>
                  <w:r>
                    <w:rPr>
                      <w:color w:val="auto"/>
                      <w:szCs w:val="21"/>
                      <w:highlight w:val="none"/>
                    </w:rPr>
                    <w:t>)</w:t>
                  </w:r>
                </w:p>
              </w:tc>
              <w:tc>
                <w:tcPr>
                  <w:tcW w:w="26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产生速率</w:t>
                  </w:r>
                  <w:r>
                    <w:rPr>
                      <w:color w:val="auto"/>
                      <w:szCs w:val="21"/>
                      <w:highlight w:val="none"/>
                    </w:rPr>
                    <w:t>/(kg/h)</w:t>
                  </w:r>
                </w:p>
              </w:tc>
              <w:tc>
                <w:tcPr>
                  <w:tcW w:w="299" w:type="pct"/>
                  <w:vAlign w:val="center"/>
                </w:tcPr>
                <w:p>
                  <w:pPr>
                    <w:spacing w:line="240" w:lineRule="auto"/>
                    <w:ind w:left="-105" w:leftChars="-50" w:right="-105" w:rightChars="-50"/>
                    <w:jc w:val="center"/>
                    <w:rPr>
                      <w:color w:val="auto"/>
                      <w:szCs w:val="21"/>
                      <w:highlight w:val="none"/>
                    </w:rPr>
                  </w:pPr>
                  <w:r>
                    <w:rPr>
                      <w:color w:val="auto"/>
                      <w:szCs w:val="21"/>
                      <w:highlight w:val="none"/>
                    </w:rPr>
                    <w:t>产生量/(</w:t>
                  </w:r>
                  <w:r>
                    <w:rPr>
                      <w:rFonts w:hint="eastAsia"/>
                      <w:color w:val="auto"/>
                      <w:szCs w:val="21"/>
                      <w:highlight w:val="none"/>
                    </w:rPr>
                    <w:t>t/a</w:t>
                  </w:r>
                  <w:r>
                    <w:rPr>
                      <w:color w:val="auto"/>
                      <w:szCs w:val="21"/>
                      <w:highlight w:val="none"/>
                    </w:rPr>
                    <w:t>)</w:t>
                  </w:r>
                </w:p>
              </w:tc>
              <w:tc>
                <w:tcPr>
                  <w:tcW w:w="310" w:type="pct"/>
                  <w:vAlign w:val="center"/>
                </w:tcPr>
                <w:p>
                  <w:pPr>
                    <w:spacing w:line="240" w:lineRule="auto"/>
                    <w:ind w:left="-105" w:leftChars="-50" w:right="-105" w:rightChars="-50"/>
                    <w:jc w:val="center"/>
                    <w:rPr>
                      <w:color w:val="auto"/>
                      <w:szCs w:val="21"/>
                      <w:highlight w:val="none"/>
                    </w:rPr>
                  </w:pPr>
                  <w:r>
                    <w:rPr>
                      <w:color w:val="auto"/>
                      <w:szCs w:val="21"/>
                      <w:highlight w:val="none"/>
                    </w:rPr>
                    <w:t>工艺</w:t>
                  </w:r>
                </w:p>
              </w:tc>
              <w:tc>
                <w:tcPr>
                  <w:tcW w:w="204" w:type="pct"/>
                  <w:vAlign w:val="center"/>
                </w:tcPr>
                <w:p>
                  <w:pPr>
                    <w:spacing w:line="240" w:lineRule="auto"/>
                    <w:ind w:left="-105" w:leftChars="-50" w:right="-105" w:rightChars="-50"/>
                    <w:jc w:val="center"/>
                    <w:rPr>
                      <w:color w:val="auto"/>
                      <w:szCs w:val="21"/>
                      <w:highlight w:val="none"/>
                    </w:rPr>
                  </w:pPr>
                  <w:r>
                    <w:rPr>
                      <w:color w:val="auto"/>
                      <w:szCs w:val="21"/>
                      <w:highlight w:val="none"/>
                    </w:rPr>
                    <w:t>效率%</w:t>
                  </w:r>
                </w:p>
              </w:tc>
              <w:tc>
                <w:tcPr>
                  <w:tcW w:w="184" w:type="pct"/>
                  <w:vAlign w:val="center"/>
                </w:tcPr>
                <w:p>
                  <w:pPr>
                    <w:spacing w:line="240" w:lineRule="auto"/>
                    <w:ind w:left="-105" w:leftChars="-50" w:right="-105" w:rightChars="-50"/>
                    <w:jc w:val="center"/>
                    <w:rPr>
                      <w:color w:val="auto"/>
                      <w:szCs w:val="21"/>
                      <w:highlight w:val="none"/>
                    </w:rPr>
                  </w:pPr>
                  <w:r>
                    <w:rPr>
                      <w:color w:val="auto"/>
                      <w:szCs w:val="21"/>
                      <w:highlight w:val="none"/>
                    </w:rPr>
                    <w:t>是否为可行技术</w:t>
                  </w:r>
                </w:p>
              </w:tc>
              <w:tc>
                <w:tcPr>
                  <w:tcW w:w="256" w:type="pct"/>
                  <w:vAlign w:val="center"/>
                </w:tcPr>
                <w:p>
                  <w:pPr>
                    <w:spacing w:line="240" w:lineRule="auto"/>
                    <w:ind w:left="-105" w:leftChars="-50" w:right="-105" w:rightChars="-50"/>
                    <w:jc w:val="center"/>
                    <w:rPr>
                      <w:color w:val="auto"/>
                      <w:szCs w:val="21"/>
                      <w:highlight w:val="none"/>
                    </w:rPr>
                  </w:pPr>
                  <w:r>
                    <w:rPr>
                      <w:color w:val="auto"/>
                      <w:szCs w:val="21"/>
                      <w:highlight w:val="none"/>
                    </w:rPr>
                    <w:t>核算方法</w:t>
                  </w:r>
                </w:p>
              </w:tc>
              <w:tc>
                <w:tcPr>
                  <w:tcW w:w="289" w:type="pct"/>
                  <w:vAlign w:val="center"/>
                </w:tcPr>
                <w:p>
                  <w:pPr>
                    <w:spacing w:line="240" w:lineRule="auto"/>
                    <w:ind w:left="-105" w:leftChars="-50" w:right="-105" w:rightChars="-50"/>
                    <w:jc w:val="center"/>
                    <w:rPr>
                      <w:color w:val="auto"/>
                      <w:szCs w:val="21"/>
                      <w:highlight w:val="none"/>
                    </w:rPr>
                  </w:pPr>
                  <w:r>
                    <w:rPr>
                      <w:color w:val="auto"/>
                      <w:szCs w:val="21"/>
                      <w:highlight w:val="none"/>
                    </w:rPr>
                    <w:t>废气排放量/(m</w:t>
                  </w:r>
                  <w:r>
                    <w:rPr>
                      <w:color w:val="auto"/>
                      <w:szCs w:val="21"/>
                      <w:highlight w:val="none"/>
                      <w:vertAlign w:val="superscript"/>
                    </w:rPr>
                    <w:t>3</w:t>
                  </w:r>
                  <w:r>
                    <w:rPr>
                      <w:color w:val="auto"/>
                      <w:szCs w:val="21"/>
                      <w:highlight w:val="none"/>
                    </w:rPr>
                    <w:t>/h)</w:t>
                  </w:r>
                </w:p>
              </w:tc>
              <w:tc>
                <w:tcPr>
                  <w:tcW w:w="314" w:type="pct"/>
                  <w:vAlign w:val="center"/>
                </w:tcPr>
                <w:p>
                  <w:pPr>
                    <w:spacing w:line="240" w:lineRule="auto"/>
                    <w:ind w:left="-105" w:leftChars="-50" w:right="-105" w:rightChars="-50"/>
                    <w:jc w:val="center"/>
                    <w:rPr>
                      <w:color w:val="auto"/>
                      <w:szCs w:val="21"/>
                      <w:highlight w:val="none"/>
                    </w:rPr>
                  </w:pPr>
                  <w:r>
                    <w:rPr>
                      <w:color w:val="auto"/>
                      <w:szCs w:val="21"/>
                      <w:highlight w:val="none"/>
                    </w:rPr>
                    <w:t>排放浓度/(mg/m</w:t>
                  </w:r>
                  <w:r>
                    <w:rPr>
                      <w:color w:val="auto"/>
                      <w:szCs w:val="21"/>
                      <w:highlight w:val="none"/>
                      <w:vertAlign w:val="superscript"/>
                    </w:rPr>
                    <w:t>3</w:t>
                  </w:r>
                  <w:r>
                    <w:rPr>
                      <w:color w:val="auto"/>
                      <w:szCs w:val="21"/>
                      <w:highlight w:val="none"/>
                    </w:rPr>
                    <w:t>)</w:t>
                  </w:r>
                </w:p>
              </w:tc>
              <w:tc>
                <w:tcPr>
                  <w:tcW w:w="277"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排放速率</w:t>
                  </w:r>
                  <w:r>
                    <w:rPr>
                      <w:color w:val="auto"/>
                      <w:szCs w:val="21"/>
                      <w:highlight w:val="none"/>
                    </w:rPr>
                    <w:t>/(kg/h)</w:t>
                  </w:r>
                </w:p>
              </w:tc>
              <w:tc>
                <w:tcPr>
                  <w:tcW w:w="289" w:type="pct"/>
                  <w:vAlign w:val="center"/>
                </w:tcPr>
                <w:p>
                  <w:pPr>
                    <w:spacing w:line="240" w:lineRule="auto"/>
                    <w:ind w:left="-105" w:leftChars="-50" w:right="-105" w:rightChars="-50"/>
                    <w:jc w:val="center"/>
                    <w:rPr>
                      <w:color w:val="auto"/>
                      <w:szCs w:val="21"/>
                      <w:highlight w:val="none"/>
                    </w:rPr>
                  </w:pPr>
                  <w:r>
                    <w:rPr>
                      <w:color w:val="auto"/>
                      <w:szCs w:val="21"/>
                      <w:highlight w:val="none"/>
                    </w:rPr>
                    <w:t>排放量/(</w:t>
                  </w:r>
                  <w:r>
                    <w:rPr>
                      <w:rFonts w:hint="eastAsia"/>
                      <w:color w:val="auto"/>
                      <w:szCs w:val="21"/>
                      <w:highlight w:val="none"/>
                    </w:rPr>
                    <w:t>t/a</w:t>
                  </w:r>
                  <w:r>
                    <w:rPr>
                      <w:color w:val="auto"/>
                      <w:szCs w:val="21"/>
                      <w:highlight w:val="none"/>
                    </w:rPr>
                    <w:t>)</w:t>
                  </w:r>
                </w:p>
              </w:tc>
              <w:tc>
                <w:tcPr>
                  <w:tcW w:w="196" w:type="pct"/>
                  <w:vMerge w:val="continue"/>
                  <w:vAlign w:val="center"/>
                </w:tcPr>
                <w:p>
                  <w:pPr>
                    <w:spacing w:line="240" w:lineRule="auto"/>
                    <w:ind w:left="-105" w:leftChars="-50" w:right="-105" w:rightChars="-50"/>
                    <w:jc w:val="center"/>
                    <w:rPr>
                      <w:color w:val="auto"/>
                      <w:szCs w:val="21"/>
                      <w:highlight w:val="none"/>
                    </w:rPr>
                  </w:pPr>
                </w:p>
              </w:tc>
              <w:tc>
                <w:tcPr>
                  <w:tcW w:w="267" w:type="pct"/>
                  <w:vMerge w:val="continue"/>
                  <w:vAlign w:val="center"/>
                </w:tcPr>
                <w:p>
                  <w:pPr>
                    <w:spacing w:line="240" w:lineRule="auto"/>
                    <w:ind w:left="-105" w:leftChars="-50" w:right="-105" w:rightChars="-5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投料</w:t>
                  </w:r>
                </w:p>
              </w:tc>
              <w:tc>
                <w:tcPr>
                  <w:tcW w:w="182"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料斗</w:t>
                  </w:r>
                </w:p>
              </w:tc>
              <w:tc>
                <w:tcPr>
                  <w:tcW w:w="342" w:type="pct"/>
                  <w:vMerge w:val="restart"/>
                  <w:vAlign w:val="center"/>
                </w:tcPr>
                <w:p>
                  <w:pPr>
                    <w:spacing w:line="240" w:lineRule="auto"/>
                    <w:jc w:val="center"/>
                    <w:rPr>
                      <w:color w:val="auto"/>
                      <w:szCs w:val="21"/>
                      <w:highlight w:val="none"/>
                    </w:rPr>
                  </w:pPr>
                  <w:r>
                    <w:rPr>
                      <w:rFonts w:hint="eastAsia"/>
                      <w:color w:val="auto"/>
                      <w:szCs w:val="21"/>
                      <w:highlight w:val="none"/>
                    </w:rPr>
                    <w:t>无组织排放</w:t>
                  </w:r>
                </w:p>
              </w:tc>
              <w:tc>
                <w:tcPr>
                  <w:tcW w:w="303"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颗粒物</w:t>
                  </w:r>
                </w:p>
              </w:tc>
              <w:tc>
                <w:tcPr>
                  <w:tcW w:w="268"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3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02" w:type="pct"/>
                  <w:vAlign w:val="center"/>
                </w:tcPr>
                <w:p>
                  <w:pPr>
                    <w:spacing w:line="240" w:lineRule="auto"/>
                    <w:ind w:left="-105" w:leftChars="-50" w:right="-105" w:rightChars="-50"/>
                    <w:jc w:val="center"/>
                    <w:textAlignment w:val="bottom"/>
                    <w:rPr>
                      <w:rFonts w:eastAsia="等线"/>
                      <w:color w:val="auto"/>
                      <w:kern w:val="0"/>
                      <w:szCs w:val="21"/>
                      <w:highlight w:val="none"/>
                      <w:lang w:bidi="ar"/>
                    </w:rPr>
                  </w:pPr>
                  <w:r>
                    <w:rPr>
                      <w:rFonts w:hint="eastAsia" w:eastAsia="等线"/>
                      <w:color w:val="auto"/>
                      <w:kern w:val="0"/>
                      <w:szCs w:val="21"/>
                      <w:highlight w:val="none"/>
                      <w:lang w:bidi="ar"/>
                    </w:rPr>
                    <w:t>/</w:t>
                  </w:r>
                </w:p>
              </w:tc>
              <w:tc>
                <w:tcPr>
                  <w:tcW w:w="702" w:type="dxa"/>
                  <w:vAlign w:val="center"/>
                </w:tcPr>
                <w:p>
                  <w:pPr>
                    <w:keepNext w:val="0"/>
                    <w:keepLines w:val="0"/>
                    <w:widowControl/>
                    <w:suppressLineNumbers w:val="0"/>
                    <w:jc w:val="center"/>
                    <w:textAlignment w:val="center"/>
                    <w:rPr>
                      <w:rFonts w:hint="default" w:ascii="Times New Roman" w:hAnsi="Times New Roman" w:eastAsia="等线"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0.867 </w:t>
                  </w:r>
                </w:p>
              </w:tc>
              <w:tc>
                <w:tcPr>
                  <w:tcW w:w="778" w:type="dxa"/>
                  <w:vAlign w:val="center"/>
                </w:tcPr>
                <w:p>
                  <w:pPr>
                    <w:keepNext w:val="0"/>
                    <w:keepLines w:val="0"/>
                    <w:widowControl/>
                    <w:suppressLineNumbers w:val="0"/>
                    <w:jc w:val="center"/>
                    <w:textAlignment w:val="center"/>
                    <w:rPr>
                      <w:rFonts w:hint="default" w:ascii="Times New Roman" w:hAnsi="Times New Roman" w:eastAsia="等线"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2.08</w:t>
                  </w:r>
                </w:p>
              </w:tc>
              <w:tc>
                <w:tcPr>
                  <w:tcW w:w="31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脉冲布袋除尘器</w:t>
                  </w:r>
                </w:p>
              </w:tc>
              <w:tc>
                <w:tcPr>
                  <w:tcW w:w="20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95</w:t>
                  </w:r>
                </w:p>
              </w:tc>
              <w:tc>
                <w:tcPr>
                  <w:tcW w:w="184" w:type="pct"/>
                  <w:vAlign w:val="center"/>
                </w:tcPr>
                <w:p>
                  <w:pPr>
                    <w:spacing w:line="240" w:lineRule="auto"/>
                    <w:ind w:left="-105" w:leftChars="-50" w:right="-105" w:rightChars="-50"/>
                    <w:jc w:val="center"/>
                    <w:rPr>
                      <w:color w:val="auto"/>
                      <w:szCs w:val="21"/>
                      <w:highlight w:val="none"/>
                    </w:rPr>
                  </w:pPr>
                  <w:r>
                    <w:rPr>
                      <w:color w:val="auto"/>
                      <w:szCs w:val="21"/>
                      <w:highlight w:val="none"/>
                    </w:rPr>
                    <w:t>是</w:t>
                  </w:r>
                </w:p>
              </w:tc>
              <w:tc>
                <w:tcPr>
                  <w:tcW w:w="256"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8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14" w:type="pct"/>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rFonts w:hint="eastAsia" w:eastAsia="等线"/>
                      <w:color w:val="auto"/>
                      <w:kern w:val="0"/>
                      <w:szCs w:val="21"/>
                      <w:highlight w:val="none"/>
                      <w:lang w:bidi="ar"/>
                    </w:rPr>
                    <w:t>/</w:t>
                  </w:r>
                </w:p>
              </w:tc>
              <w:tc>
                <w:tcPr>
                  <w:tcW w:w="721" w:type="dxa"/>
                  <w:vAlign w:val="center"/>
                </w:tcPr>
                <w:p>
                  <w:pPr>
                    <w:keepNext w:val="0"/>
                    <w:keepLines w:val="0"/>
                    <w:widowControl/>
                    <w:suppressLineNumbers w:val="0"/>
                    <w:jc w:val="center"/>
                    <w:textAlignment w:val="center"/>
                    <w:rPr>
                      <w:rFonts w:eastAsia="等线"/>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0.043 </w:t>
                  </w:r>
                </w:p>
              </w:tc>
              <w:tc>
                <w:tcPr>
                  <w:tcW w:w="752" w:type="dxa"/>
                  <w:vAlign w:val="center"/>
                </w:tcPr>
                <w:p>
                  <w:pPr>
                    <w:keepNext w:val="0"/>
                    <w:keepLines w:val="0"/>
                    <w:widowControl/>
                    <w:suppressLineNumbers w:val="0"/>
                    <w:jc w:val="center"/>
                    <w:textAlignment w:val="center"/>
                    <w:rPr>
                      <w:rFonts w:eastAsia="等线"/>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c>
                <w:tcPr>
                  <w:tcW w:w="196"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2400</w:t>
                  </w:r>
                </w:p>
              </w:tc>
              <w:tc>
                <w:tcPr>
                  <w:tcW w:w="267"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1mg/m</w:t>
                  </w:r>
                  <w:r>
                    <w:rPr>
                      <w:rFonts w:hint="eastAsia"/>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Merge w:val="continue"/>
                  <w:vAlign w:val="center"/>
                </w:tcPr>
                <w:p>
                  <w:pPr>
                    <w:spacing w:line="240" w:lineRule="auto"/>
                    <w:ind w:left="-105" w:leftChars="-50" w:right="-105" w:rightChars="-50"/>
                    <w:jc w:val="center"/>
                    <w:rPr>
                      <w:color w:val="auto"/>
                      <w:szCs w:val="21"/>
                      <w:highlight w:val="none"/>
                    </w:rPr>
                  </w:pPr>
                </w:p>
              </w:tc>
              <w:tc>
                <w:tcPr>
                  <w:tcW w:w="182" w:type="pct"/>
                  <w:vMerge w:val="continue"/>
                  <w:vAlign w:val="center"/>
                </w:tcPr>
                <w:p>
                  <w:pPr>
                    <w:spacing w:line="240" w:lineRule="auto"/>
                    <w:ind w:left="-105" w:leftChars="-50" w:right="-105" w:rightChars="-50"/>
                    <w:jc w:val="center"/>
                    <w:rPr>
                      <w:color w:val="auto"/>
                      <w:szCs w:val="21"/>
                      <w:highlight w:val="none"/>
                    </w:rPr>
                  </w:pPr>
                </w:p>
              </w:tc>
              <w:tc>
                <w:tcPr>
                  <w:tcW w:w="342" w:type="pct"/>
                  <w:vMerge w:val="continue"/>
                  <w:vAlign w:val="center"/>
                </w:tcPr>
                <w:p>
                  <w:pPr>
                    <w:spacing w:line="240" w:lineRule="auto"/>
                    <w:ind w:right="-105" w:rightChars="-50"/>
                    <w:jc w:val="center"/>
                    <w:rPr>
                      <w:color w:val="auto"/>
                      <w:szCs w:val="21"/>
                      <w:highlight w:val="none"/>
                    </w:rPr>
                  </w:pPr>
                </w:p>
              </w:tc>
              <w:tc>
                <w:tcPr>
                  <w:tcW w:w="303" w:type="pct"/>
                  <w:vMerge w:val="continue"/>
                  <w:vAlign w:val="center"/>
                </w:tcPr>
                <w:p>
                  <w:pPr>
                    <w:spacing w:line="240" w:lineRule="auto"/>
                    <w:ind w:left="-105" w:leftChars="-50" w:right="-105" w:rightChars="-50"/>
                    <w:jc w:val="center"/>
                    <w:rPr>
                      <w:color w:val="auto"/>
                      <w:szCs w:val="21"/>
                      <w:highlight w:val="none"/>
                    </w:rPr>
                  </w:pPr>
                </w:p>
              </w:tc>
              <w:tc>
                <w:tcPr>
                  <w:tcW w:w="268" w:type="pct"/>
                  <w:vMerge w:val="continue"/>
                  <w:vAlign w:val="center"/>
                </w:tcPr>
                <w:p>
                  <w:pPr>
                    <w:spacing w:line="240" w:lineRule="auto"/>
                    <w:ind w:left="-105" w:leftChars="-50" w:right="-105" w:rightChars="-50"/>
                    <w:jc w:val="center"/>
                    <w:rPr>
                      <w:color w:val="auto"/>
                      <w:szCs w:val="21"/>
                      <w:highlight w:val="none"/>
                    </w:rPr>
                  </w:pPr>
                </w:p>
              </w:tc>
              <w:tc>
                <w:tcPr>
                  <w:tcW w:w="23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02" w:type="pct"/>
                  <w:vAlign w:val="center"/>
                </w:tcPr>
                <w:p>
                  <w:pPr>
                    <w:spacing w:line="240" w:lineRule="auto"/>
                    <w:ind w:left="-105" w:leftChars="-50" w:right="-105" w:rightChars="-50"/>
                    <w:jc w:val="center"/>
                    <w:textAlignment w:val="bottom"/>
                    <w:rPr>
                      <w:rFonts w:eastAsia="等线"/>
                      <w:color w:val="auto"/>
                      <w:kern w:val="0"/>
                      <w:szCs w:val="21"/>
                      <w:highlight w:val="none"/>
                      <w:lang w:bidi="ar"/>
                    </w:rPr>
                  </w:pPr>
                  <w:r>
                    <w:rPr>
                      <w:rFonts w:hint="eastAsia" w:eastAsia="等线"/>
                      <w:color w:val="auto"/>
                      <w:kern w:val="0"/>
                      <w:szCs w:val="21"/>
                      <w:highlight w:val="none"/>
                      <w:lang w:bidi="ar"/>
                    </w:rPr>
                    <w:t>/</w:t>
                  </w:r>
                </w:p>
              </w:tc>
              <w:tc>
                <w:tcPr>
                  <w:tcW w:w="702" w:type="dxa"/>
                  <w:vAlign w:val="center"/>
                </w:tcPr>
                <w:p>
                  <w:pPr>
                    <w:keepNext w:val="0"/>
                    <w:keepLines w:val="0"/>
                    <w:widowControl/>
                    <w:suppressLineNumbers w:val="0"/>
                    <w:jc w:val="center"/>
                    <w:textAlignment w:val="center"/>
                    <w:rPr>
                      <w:rFonts w:hint="default" w:ascii="Times New Roman" w:hAnsi="Times New Roman" w:eastAsia="等线"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0.217 </w:t>
                  </w:r>
                </w:p>
              </w:tc>
              <w:tc>
                <w:tcPr>
                  <w:tcW w:w="778" w:type="dxa"/>
                  <w:vAlign w:val="bottom"/>
                </w:tcPr>
                <w:p>
                  <w:pPr>
                    <w:keepNext w:val="0"/>
                    <w:keepLines w:val="0"/>
                    <w:widowControl/>
                    <w:suppressLineNumbers w:val="0"/>
                    <w:jc w:val="center"/>
                    <w:textAlignment w:val="bottom"/>
                    <w:rPr>
                      <w:rFonts w:hint="default" w:ascii="Times New Roman" w:hAnsi="Times New Roman" w:eastAsia="等线"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0.52</w:t>
                  </w:r>
                </w:p>
              </w:tc>
              <w:tc>
                <w:tcPr>
                  <w:tcW w:w="31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20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18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256" w:type="pct"/>
                  <w:vMerge w:val="continue"/>
                  <w:vAlign w:val="center"/>
                </w:tcPr>
                <w:p>
                  <w:pPr>
                    <w:spacing w:line="240" w:lineRule="auto"/>
                    <w:ind w:left="-105" w:leftChars="-50" w:right="-105" w:rightChars="-50"/>
                    <w:jc w:val="center"/>
                    <w:rPr>
                      <w:color w:val="auto"/>
                      <w:szCs w:val="21"/>
                      <w:highlight w:val="none"/>
                    </w:rPr>
                  </w:pPr>
                </w:p>
              </w:tc>
              <w:tc>
                <w:tcPr>
                  <w:tcW w:w="28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14" w:type="pct"/>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rFonts w:hint="eastAsia" w:eastAsia="等线"/>
                      <w:color w:val="auto"/>
                      <w:kern w:val="0"/>
                      <w:szCs w:val="21"/>
                      <w:highlight w:val="none"/>
                      <w:lang w:bidi="ar"/>
                    </w:rPr>
                    <w:t>/</w:t>
                  </w:r>
                </w:p>
              </w:tc>
              <w:tc>
                <w:tcPr>
                  <w:tcW w:w="721" w:type="dxa"/>
                  <w:vAlign w:val="center"/>
                </w:tcPr>
                <w:p>
                  <w:pPr>
                    <w:keepNext w:val="0"/>
                    <w:keepLines w:val="0"/>
                    <w:widowControl/>
                    <w:suppressLineNumbers w:val="0"/>
                    <w:jc w:val="center"/>
                    <w:textAlignment w:val="center"/>
                    <w:rPr>
                      <w:rFonts w:eastAsia="等线"/>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0.217 </w:t>
                  </w:r>
                </w:p>
              </w:tc>
              <w:tc>
                <w:tcPr>
                  <w:tcW w:w="752" w:type="dxa"/>
                  <w:vAlign w:val="bottom"/>
                </w:tcPr>
                <w:p>
                  <w:pPr>
                    <w:keepNext w:val="0"/>
                    <w:keepLines w:val="0"/>
                    <w:widowControl/>
                    <w:suppressLineNumbers w:val="0"/>
                    <w:jc w:val="center"/>
                    <w:textAlignment w:val="bottom"/>
                    <w:rPr>
                      <w:rFonts w:eastAsia="等线"/>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0.52</w:t>
                  </w:r>
                </w:p>
              </w:tc>
              <w:tc>
                <w:tcPr>
                  <w:tcW w:w="196" w:type="pct"/>
                  <w:vMerge w:val="continue"/>
                  <w:vAlign w:val="center"/>
                </w:tcPr>
                <w:p>
                  <w:pPr>
                    <w:spacing w:line="240" w:lineRule="auto"/>
                    <w:ind w:left="-105" w:leftChars="-50" w:right="-105" w:rightChars="-50"/>
                    <w:jc w:val="center"/>
                    <w:rPr>
                      <w:color w:val="auto"/>
                      <w:szCs w:val="21"/>
                      <w:highlight w:val="none"/>
                    </w:rPr>
                  </w:pPr>
                </w:p>
              </w:tc>
              <w:tc>
                <w:tcPr>
                  <w:tcW w:w="267" w:type="pct"/>
                  <w:vMerge w:val="continue"/>
                  <w:vAlign w:val="center"/>
                </w:tcPr>
                <w:p>
                  <w:pPr>
                    <w:spacing w:line="240" w:lineRule="auto"/>
                    <w:ind w:left="-105" w:leftChars="-50" w:right="-105" w:rightChars="-5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消化</w:t>
                  </w:r>
                </w:p>
              </w:tc>
              <w:tc>
                <w:tcPr>
                  <w:tcW w:w="182"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消化器</w:t>
                  </w:r>
                </w:p>
              </w:tc>
              <w:tc>
                <w:tcPr>
                  <w:tcW w:w="342" w:type="pct"/>
                  <w:vAlign w:val="center"/>
                </w:tcPr>
                <w:p>
                  <w:pPr>
                    <w:spacing w:line="240" w:lineRule="auto"/>
                    <w:ind w:left="-105" w:leftChars="-50" w:right="-105" w:rightChars="-50"/>
                    <w:jc w:val="center"/>
                    <w:rPr>
                      <w:color w:val="auto"/>
                      <w:szCs w:val="21"/>
                      <w:highlight w:val="none"/>
                    </w:rPr>
                  </w:pPr>
                  <w:r>
                    <w:rPr>
                      <w:color w:val="auto"/>
                      <w:szCs w:val="21"/>
                      <w:highlight w:val="none"/>
                    </w:rPr>
                    <w:t>有组织排放</w:t>
                  </w:r>
                </w:p>
                <w:p>
                  <w:pPr>
                    <w:spacing w:line="240" w:lineRule="auto"/>
                    <w:ind w:right="-105" w:rightChars="-50"/>
                    <w:jc w:val="center"/>
                    <w:rPr>
                      <w:color w:val="auto"/>
                      <w:szCs w:val="21"/>
                      <w:highlight w:val="none"/>
                    </w:rPr>
                  </w:pPr>
                  <w:r>
                    <w:rPr>
                      <w:rFonts w:hint="eastAsia"/>
                      <w:color w:val="auto"/>
                      <w:szCs w:val="21"/>
                      <w:highlight w:val="none"/>
                    </w:rPr>
                    <w:t>(DA001)</w:t>
                  </w:r>
                </w:p>
              </w:tc>
              <w:tc>
                <w:tcPr>
                  <w:tcW w:w="30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颗粒物</w:t>
                  </w:r>
                </w:p>
              </w:tc>
              <w:tc>
                <w:tcPr>
                  <w:tcW w:w="268"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3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13000</w:t>
                  </w:r>
                </w:p>
              </w:tc>
              <w:tc>
                <w:tcPr>
                  <w:tcW w:w="302"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525.240 </w:t>
                  </w:r>
                </w:p>
              </w:tc>
              <w:tc>
                <w:tcPr>
                  <w:tcW w:w="269"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6.828 </w:t>
                  </w:r>
                </w:p>
              </w:tc>
              <w:tc>
                <w:tcPr>
                  <w:tcW w:w="299"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16.388 </w:t>
                  </w:r>
                </w:p>
              </w:tc>
              <w:tc>
                <w:tcPr>
                  <w:tcW w:w="31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脉冲布袋除尘器</w:t>
                  </w:r>
                </w:p>
              </w:tc>
              <w:tc>
                <w:tcPr>
                  <w:tcW w:w="20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95</w:t>
                  </w:r>
                </w:p>
              </w:tc>
              <w:tc>
                <w:tcPr>
                  <w:tcW w:w="184" w:type="pct"/>
                  <w:vAlign w:val="center"/>
                </w:tcPr>
                <w:p>
                  <w:pPr>
                    <w:spacing w:line="240" w:lineRule="auto"/>
                    <w:ind w:left="-105" w:leftChars="-50" w:right="-105" w:rightChars="-50"/>
                    <w:jc w:val="center"/>
                    <w:rPr>
                      <w:color w:val="auto"/>
                      <w:szCs w:val="21"/>
                      <w:highlight w:val="none"/>
                    </w:rPr>
                  </w:pPr>
                  <w:r>
                    <w:rPr>
                      <w:color w:val="auto"/>
                      <w:szCs w:val="21"/>
                      <w:highlight w:val="none"/>
                    </w:rPr>
                    <w:t>是</w:t>
                  </w:r>
                </w:p>
              </w:tc>
              <w:tc>
                <w:tcPr>
                  <w:tcW w:w="25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8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13000</w:t>
                  </w:r>
                </w:p>
              </w:tc>
              <w:tc>
                <w:tcPr>
                  <w:tcW w:w="314"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26.262 </w:t>
                  </w:r>
                </w:p>
              </w:tc>
              <w:tc>
                <w:tcPr>
                  <w:tcW w:w="277"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0.341 </w:t>
                  </w:r>
                </w:p>
              </w:tc>
              <w:tc>
                <w:tcPr>
                  <w:tcW w:w="289"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0.819 </w:t>
                  </w:r>
                </w:p>
              </w:tc>
              <w:tc>
                <w:tcPr>
                  <w:tcW w:w="19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2400</w:t>
                  </w:r>
                </w:p>
              </w:tc>
              <w:tc>
                <w:tcPr>
                  <w:tcW w:w="267"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120mg/m</w:t>
                  </w:r>
                  <w:r>
                    <w:rPr>
                      <w:rFonts w:hint="eastAsia"/>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Merge w:val="continue"/>
                  <w:vAlign w:val="center"/>
                </w:tcPr>
                <w:p>
                  <w:pPr>
                    <w:spacing w:line="240" w:lineRule="auto"/>
                    <w:ind w:left="-105" w:leftChars="-50" w:right="-105" w:rightChars="-50"/>
                    <w:jc w:val="center"/>
                    <w:rPr>
                      <w:color w:val="auto"/>
                      <w:szCs w:val="21"/>
                      <w:highlight w:val="none"/>
                    </w:rPr>
                  </w:pPr>
                </w:p>
              </w:tc>
              <w:tc>
                <w:tcPr>
                  <w:tcW w:w="182" w:type="pct"/>
                  <w:vMerge w:val="continue"/>
                  <w:vAlign w:val="center"/>
                </w:tcPr>
                <w:p>
                  <w:pPr>
                    <w:spacing w:line="240" w:lineRule="auto"/>
                    <w:ind w:left="-105" w:leftChars="-50" w:right="-105" w:rightChars="-50"/>
                    <w:jc w:val="center"/>
                    <w:rPr>
                      <w:color w:val="auto"/>
                      <w:szCs w:val="21"/>
                      <w:highlight w:val="none"/>
                    </w:rPr>
                  </w:pPr>
                </w:p>
              </w:tc>
              <w:tc>
                <w:tcPr>
                  <w:tcW w:w="342"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无组织排放</w:t>
                  </w:r>
                </w:p>
              </w:tc>
              <w:tc>
                <w:tcPr>
                  <w:tcW w:w="30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颗粒物</w:t>
                  </w:r>
                </w:p>
              </w:tc>
              <w:tc>
                <w:tcPr>
                  <w:tcW w:w="268"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3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02"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w:t>
                  </w:r>
                </w:p>
              </w:tc>
              <w:tc>
                <w:tcPr>
                  <w:tcW w:w="269"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0.359 </w:t>
                  </w:r>
                </w:p>
              </w:tc>
              <w:tc>
                <w:tcPr>
                  <w:tcW w:w="299"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0.863 </w:t>
                  </w:r>
                </w:p>
              </w:tc>
              <w:tc>
                <w:tcPr>
                  <w:tcW w:w="31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20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18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25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8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14"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w:t>
                  </w:r>
                </w:p>
              </w:tc>
              <w:tc>
                <w:tcPr>
                  <w:tcW w:w="277"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0.359 </w:t>
                  </w:r>
                </w:p>
              </w:tc>
              <w:tc>
                <w:tcPr>
                  <w:tcW w:w="289" w:type="pct"/>
                  <w:vAlign w:val="center"/>
                </w:tcPr>
                <w:p>
                  <w:pPr>
                    <w:spacing w:line="240" w:lineRule="auto"/>
                    <w:ind w:left="-105" w:leftChars="-50" w:right="-105" w:rightChars="-50"/>
                    <w:jc w:val="center"/>
                    <w:textAlignment w:val="bottom"/>
                    <w:rPr>
                      <w:color w:val="auto"/>
                      <w:szCs w:val="21"/>
                      <w:highlight w:val="none"/>
                    </w:rPr>
                  </w:pPr>
                  <w:r>
                    <w:rPr>
                      <w:color w:val="auto"/>
                      <w:kern w:val="0"/>
                      <w:szCs w:val="21"/>
                      <w:highlight w:val="none"/>
                      <w:lang w:bidi="ar"/>
                    </w:rPr>
                    <w:t xml:space="preserve">0.863 </w:t>
                  </w:r>
                </w:p>
              </w:tc>
              <w:tc>
                <w:tcPr>
                  <w:tcW w:w="19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2400</w:t>
                  </w:r>
                </w:p>
              </w:tc>
              <w:tc>
                <w:tcPr>
                  <w:tcW w:w="267"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1mg/m</w:t>
                  </w:r>
                  <w:r>
                    <w:rPr>
                      <w:rFonts w:hint="eastAsia"/>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卸料、堆存</w:t>
                  </w:r>
                </w:p>
              </w:tc>
              <w:tc>
                <w:tcPr>
                  <w:tcW w:w="182"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42" w:type="pct"/>
                  <w:vAlign w:val="center"/>
                </w:tcPr>
                <w:p>
                  <w:pPr>
                    <w:spacing w:line="240" w:lineRule="auto"/>
                    <w:ind w:left="-105" w:leftChars="-50" w:right="-105" w:rightChars="-50"/>
                    <w:jc w:val="center"/>
                    <w:rPr>
                      <w:color w:val="auto"/>
                      <w:szCs w:val="21"/>
                      <w:highlight w:val="none"/>
                    </w:rPr>
                  </w:pPr>
                  <w:r>
                    <w:rPr>
                      <w:color w:val="auto"/>
                      <w:szCs w:val="21"/>
                      <w:highlight w:val="none"/>
                    </w:rPr>
                    <w:t>无组织排放</w:t>
                  </w:r>
                </w:p>
              </w:tc>
              <w:tc>
                <w:tcPr>
                  <w:tcW w:w="30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颗粒物</w:t>
                  </w:r>
                </w:p>
              </w:tc>
              <w:tc>
                <w:tcPr>
                  <w:tcW w:w="268"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3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02" w:type="pct"/>
                  <w:vAlign w:val="center"/>
                </w:tcPr>
                <w:p>
                  <w:pPr>
                    <w:adjustRightInd w:val="0"/>
                    <w:spacing w:line="240" w:lineRule="auto"/>
                    <w:ind w:left="-105" w:leftChars="-50" w:right="-105" w:rightChars="-50"/>
                    <w:jc w:val="center"/>
                    <w:textAlignment w:val="bottom"/>
                    <w:rPr>
                      <w:color w:val="auto"/>
                      <w:szCs w:val="21"/>
                      <w:highlight w:val="none"/>
                    </w:rPr>
                  </w:pPr>
                  <w:r>
                    <w:rPr>
                      <w:rFonts w:hint="eastAsia" w:eastAsia="等线"/>
                      <w:color w:val="auto"/>
                      <w:kern w:val="0"/>
                      <w:szCs w:val="21"/>
                      <w:highlight w:val="none"/>
                      <w:lang w:bidi="ar"/>
                    </w:rPr>
                    <w:t>/</w:t>
                  </w:r>
                  <w:r>
                    <w:rPr>
                      <w:rFonts w:eastAsia="等线"/>
                      <w:color w:val="auto"/>
                      <w:kern w:val="0"/>
                      <w:szCs w:val="21"/>
                      <w:highlight w:val="none"/>
                      <w:lang w:bidi="ar"/>
                    </w:rPr>
                    <w:t xml:space="preserve"> </w:t>
                  </w:r>
                </w:p>
              </w:tc>
              <w:tc>
                <w:tcPr>
                  <w:tcW w:w="269" w:type="pct"/>
                  <w:vAlign w:val="center"/>
                </w:tcPr>
                <w:p>
                  <w:pPr>
                    <w:adjustRightInd w:val="0"/>
                    <w:spacing w:line="240" w:lineRule="auto"/>
                    <w:ind w:left="-105" w:leftChars="-50" w:right="-105" w:rightChars="-50"/>
                    <w:jc w:val="center"/>
                    <w:textAlignment w:val="bottom"/>
                    <w:rPr>
                      <w:rFonts w:hint="default" w:eastAsia="宋体"/>
                      <w:color w:val="auto"/>
                      <w:szCs w:val="21"/>
                      <w:highlight w:val="none"/>
                      <w:lang w:val="en-US" w:eastAsia="zh-CN"/>
                    </w:rPr>
                  </w:pPr>
                  <w:r>
                    <w:rPr>
                      <w:rFonts w:hint="eastAsia"/>
                      <w:color w:val="auto"/>
                      <w:szCs w:val="21"/>
                      <w:highlight w:val="none"/>
                    </w:rPr>
                    <w:t>0.2</w:t>
                  </w:r>
                  <w:r>
                    <w:rPr>
                      <w:rFonts w:hint="eastAsia"/>
                      <w:color w:val="auto"/>
                      <w:szCs w:val="21"/>
                      <w:highlight w:val="none"/>
                      <w:lang w:val="en-US" w:eastAsia="zh-CN"/>
                    </w:rPr>
                    <w:t>17</w:t>
                  </w:r>
                </w:p>
              </w:tc>
              <w:tc>
                <w:tcPr>
                  <w:tcW w:w="299" w:type="pct"/>
                  <w:vAlign w:val="center"/>
                </w:tcPr>
                <w:p>
                  <w:pPr>
                    <w:adjustRightInd w:val="0"/>
                    <w:spacing w:line="240" w:lineRule="auto"/>
                    <w:ind w:left="-105" w:leftChars="-50" w:right="-105" w:rightChars="-50"/>
                    <w:jc w:val="center"/>
                    <w:textAlignment w:val="bottom"/>
                    <w:rPr>
                      <w:rFonts w:hint="default" w:eastAsia="宋体"/>
                      <w:color w:val="auto"/>
                      <w:szCs w:val="21"/>
                      <w:highlight w:val="none"/>
                      <w:lang w:val="en-US" w:eastAsia="zh-CN"/>
                    </w:rPr>
                  </w:pPr>
                  <w:r>
                    <w:rPr>
                      <w:rFonts w:hint="eastAsia"/>
                      <w:color w:val="auto"/>
                      <w:szCs w:val="21"/>
                      <w:highlight w:val="none"/>
                    </w:rPr>
                    <w:t>0.</w:t>
                  </w:r>
                  <w:r>
                    <w:rPr>
                      <w:rFonts w:hint="eastAsia"/>
                      <w:color w:val="auto"/>
                      <w:szCs w:val="21"/>
                      <w:highlight w:val="none"/>
                      <w:lang w:val="en-US" w:eastAsia="zh-CN"/>
                    </w:rPr>
                    <w:t>52</w:t>
                  </w:r>
                </w:p>
              </w:tc>
              <w:tc>
                <w:tcPr>
                  <w:tcW w:w="31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20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18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25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8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14" w:type="pct"/>
                  <w:vAlign w:val="center"/>
                </w:tcPr>
                <w:p>
                  <w:pPr>
                    <w:spacing w:line="240" w:lineRule="auto"/>
                    <w:ind w:left="-105" w:leftChars="-50" w:right="-105" w:rightChars="-50"/>
                    <w:jc w:val="center"/>
                    <w:textAlignment w:val="bottom"/>
                    <w:rPr>
                      <w:color w:val="auto"/>
                      <w:szCs w:val="21"/>
                      <w:highlight w:val="none"/>
                    </w:rPr>
                  </w:pPr>
                  <w:r>
                    <w:rPr>
                      <w:rFonts w:hint="eastAsia"/>
                      <w:color w:val="auto"/>
                      <w:szCs w:val="21"/>
                      <w:highlight w:val="none"/>
                    </w:rPr>
                    <w:t>/</w:t>
                  </w:r>
                </w:p>
              </w:tc>
              <w:tc>
                <w:tcPr>
                  <w:tcW w:w="277" w:type="pct"/>
                  <w:vAlign w:val="center"/>
                </w:tcPr>
                <w:p>
                  <w:pPr>
                    <w:spacing w:line="240" w:lineRule="auto"/>
                    <w:ind w:left="-105" w:leftChars="-50" w:right="-105" w:rightChars="-50"/>
                    <w:jc w:val="center"/>
                    <w:textAlignment w:val="bottom"/>
                    <w:rPr>
                      <w:rFonts w:hint="default" w:eastAsia="宋体"/>
                      <w:color w:val="auto"/>
                      <w:szCs w:val="21"/>
                      <w:highlight w:val="none"/>
                      <w:lang w:val="en-US" w:eastAsia="zh-CN"/>
                    </w:rPr>
                  </w:pPr>
                  <w:r>
                    <w:rPr>
                      <w:rFonts w:hint="eastAsia"/>
                      <w:color w:val="auto"/>
                      <w:szCs w:val="21"/>
                      <w:highlight w:val="none"/>
                    </w:rPr>
                    <w:t>0.</w:t>
                  </w:r>
                  <w:r>
                    <w:rPr>
                      <w:rFonts w:hint="eastAsia"/>
                      <w:color w:val="auto"/>
                      <w:szCs w:val="21"/>
                      <w:highlight w:val="none"/>
                      <w:lang w:val="en-US" w:eastAsia="zh-CN"/>
                    </w:rPr>
                    <w:t>217</w:t>
                  </w:r>
                </w:p>
              </w:tc>
              <w:tc>
                <w:tcPr>
                  <w:tcW w:w="289" w:type="pct"/>
                  <w:vAlign w:val="center"/>
                </w:tcPr>
                <w:p>
                  <w:pPr>
                    <w:spacing w:line="240" w:lineRule="auto"/>
                    <w:ind w:left="-105" w:leftChars="-50" w:right="-105" w:rightChars="-50"/>
                    <w:jc w:val="center"/>
                    <w:textAlignment w:val="bottom"/>
                    <w:rPr>
                      <w:rFonts w:hint="default" w:eastAsia="宋体"/>
                      <w:color w:val="auto"/>
                      <w:szCs w:val="21"/>
                      <w:highlight w:val="none"/>
                      <w:lang w:val="en-US" w:eastAsia="zh-CN"/>
                    </w:rPr>
                  </w:pPr>
                  <w:r>
                    <w:rPr>
                      <w:rFonts w:hint="eastAsia"/>
                      <w:color w:val="auto"/>
                      <w:szCs w:val="21"/>
                      <w:highlight w:val="none"/>
                    </w:rPr>
                    <w:t>0.</w:t>
                  </w:r>
                  <w:r>
                    <w:rPr>
                      <w:rFonts w:hint="eastAsia"/>
                      <w:color w:val="auto"/>
                      <w:szCs w:val="21"/>
                      <w:highlight w:val="none"/>
                      <w:lang w:val="en-US" w:eastAsia="zh-CN"/>
                    </w:rPr>
                    <w:t>52</w:t>
                  </w:r>
                </w:p>
              </w:tc>
              <w:tc>
                <w:tcPr>
                  <w:tcW w:w="19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2400</w:t>
                  </w:r>
                </w:p>
              </w:tc>
              <w:tc>
                <w:tcPr>
                  <w:tcW w:w="267"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1mg/m</w:t>
                  </w:r>
                  <w:r>
                    <w:rPr>
                      <w:rFonts w:hint="eastAsia"/>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成品罐、研磨</w:t>
                  </w:r>
                </w:p>
              </w:tc>
              <w:tc>
                <w:tcPr>
                  <w:tcW w:w="182" w:type="pct"/>
                  <w:vAlign w:val="center"/>
                </w:tcPr>
                <w:p>
                  <w:pPr>
                    <w:spacing w:line="240" w:lineRule="auto"/>
                    <w:ind w:left="-105" w:leftChars="-50" w:right="-105" w:rightChars="-50"/>
                    <w:jc w:val="center"/>
                    <w:rPr>
                      <w:rFonts w:hint="eastAsia"/>
                      <w:color w:val="auto"/>
                      <w:szCs w:val="21"/>
                      <w:highlight w:val="none"/>
                    </w:rPr>
                  </w:pPr>
                  <w:r>
                    <w:rPr>
                      <w:rFonts w:hint="eastAsia"/>
                      <w:color w:val="auto"/>
                      <w:szCs w:val="21"/>
                      <w:highlight w:val="none"/>
                      <w:lang w:val="en-US" w:eastAsia="zh-CN"/>
                    </w:rPr>
                    <w:t>成品罐、雷蒙磨机</w:t>
                  </w:r>
                </w:p>
              </w:tc>
              <w:tc>
                <w:tcPr>
                  <w:tcW w:w="342" w:type="pct"/>
                  <w:vAlign w:val="center"/>
                </w:tcPr>
                <w:p>
                  <w:pPr>
                    <w:spacing w:line="240" w:lineRule="auto"/>
                    <w:ind w:left="-105" w:leftChars="-50" w:right="-105" w:rightChars="-50"/>
                    <w:jc w:val="center"/>
                    <w:rPr>
                      <w:rFonts w:ascii="Times New Roman" w:hAnsi="Times New Roman" w:eastAsia="宋体" w:cs="Times New Roman"/>
                      <w:color w:val="auto"/>
                      <w:kern w:val="2"/>
                      <w:sz w:val="21"/>
                      <w:szCs w:val="21"/>
                      <w:highlight w:val="none"/>
                      <w:lang w:val="en-US" w:eastAsia="zh-CN" w:bidi="ar-SA"/>
                    </w:rPr>
                  </w:pPr>
                  <w:r>
                    <w:rPr>
                      <w:color w:val="auto"/>
                      <w:szCs w:val="21"/>
                      <w:highlight w:val="none"/>
                    </w:rPr>
                    <w:t>无组织排放</w:t>
                  </w:r>
                </w:p>
              </w:tc>
              <w:tc>
                <w:tcPr>
                  <w:tcW w:w="303" w:type="pct"/>
                  <w:vAlign w:val="center"/>
                </w:tcPr>
                <w:p>
                  <w:pPr>
                    <w:spacing w:line="240" w:lineRule="auto"/>
                    <w:ind w:left="-105" w:leftChars="-50" w:right="-105" w:rightChars="-5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颗粒物</w:t>
                  </w:r>
                </w:p>
              </w:tc>
              <w:tc>
                <w:tcPr>
                  <w:tcW w:w="268" w:type="pct"/>
                  <w:vAlign w:val="center"/>
                </w:tcPr>
                <w:p>
                  <w:pPr>
                    <w:spacing w:line="240" w:lineRule="auto"/>
                    <w:ind w:left="-105" w:leftChars="-50" w:right="-105" w:rightChars="-5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w:t>
                  </w:r>
                </w:p>
              </w:tc>
              <w:tc>
                <w:tcPr>
                  <w:tcW w:w="239" w:type="pct"/>
                  <w:vAlign w:val="center"/>
                </w:tcPr>
                <w:p>
                  <w:pPr>
                    <w:spacing w:line="240" w:lineRule="auto"/>
                    <w:ind w:left="-105" w:leftChars="-50" w:right="-105" w:rightChars="-50"/>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rPr>
                    <w:t>/</w:t>
                  </w:r>
                </w:p>
              </w:tc>
              <w:tc>
                <w:tcPr>
                  <w:tcW w:w="302" w:type="pct"/>
                  <w:vAlign w:val="center"/>
                </w:tcPr>
                <w:p>
                  <w:pPr>
                    <w:adjustRightInd w:val="0"/>
                    <w:spacing w:line="240" w:lineRule="auto"/>
                    <w:ind w:left="-105" w:leftChars="-50" w:right="-105" w:rightChars="-50"/>
                    <w:jc w:val="center"/>
                    <w:textAlignment w:val="bottom"/>
                    <w:rPr>
                      <w:rFonts w:hint="eastAsia" w:ascii="Times New Roman" w:hAnsi="Times New Roman" w:eastAsia="宋体" w:cs="Times New Roman"/>
                      <w:color w:val="auto"/>
                      <w:kern w:val="2"/>
                      <w:sz w:val="21"/>
                      <w:szCs w:val="21"/>
                      <w:highlight w:val="none"/>
                      <w:lang w:val="en-US" w:eastAsia="zh-CN" w:bidi="ar-SA"/>
                    </w:rPr>
                  </w:pPr>
                  <w:r>
                    <w:rPr>
                      <w:rFonts w:hint="eastAsia" w:eastAsia="等线"/>
                      <w:color w:val="auto"/>
                      <w:kern w:val="0"/>
                      <w:szCs w:val="21"/>
                      <w:highlight w:val="none"/>
                      <w:lang w:bidi="ar"/>
                    </w:rPr>
                    <w:t>/</w:t>
                  </w:r>
                  <w:r>
                    <w:rPr>
                      <w:rFonts w:eastAsia="等线"/>
                      <w:color w:val="auto"/>
                      <w:kern w:val="0"/>
                      <w:szCs w:val="21"/>
                      <w:highlight w:val="none"/>
                      <w:lang w:bidi="ar"/>
                    </w:rPr>
                    <w:t xml:space="preserve"> </w:t>
                  </w:r>
                </w:p>
              </w:tc>
              <w:tc>
                <w:tcPr>
                  <w:tcW w:w="269" w:type="pct"/>
                  <w:vAlign w:val="center"/>
                </w:tcPr>
                <w:p>
                  <w:pPr>
                    <w:adjustRightInd w:val="0"/>
                    <w:spacing w:line="240" w:lineRule="auto"/>
                    <w:ind w:left="-105" w:leftChars="-50" w:right="-105" w:rightChars="-50"/>
                    <w:jc w:val="center"/>
                    <w:textAlignment w:val="bottom"/>
                    <w:rPr>
                      <w:rFonts w:hint="eastAsia" w:eastAsia="宋体"/>
                      <w:color w:val="auto"/>
                      <w:szCs w:val="21"/>
                      <w:highlight w:val="none"/>
                      <w:lang w:val="en-US" w:eastAsia="zh-CN"/>
                    </w:rPr>
                  </w:pPr>
                  <w:r>
                    <w:rPr>
                      <w:rFonts w:hint="eastAsia"/>
                      <w:color w:val="auto"/>
                      <w:szCs w:val="21"/>
                      <w:highlight w:val="none"/>
                      <w:lang w:val="en-US" w:eastAsia="zh-CN"/>
                    </w:rPr>
                    <w:t>/</w:t>
                  </w:r>
                </w:p>
              </w:tc>
              <w:tc>
                <w:tcPr>
                  <w:tcW w:w="299" w:type="pct"/>
                  <w:vAlign w:val="center"/>
                </w:tcPr>
                <w:p>
                  <w:pPr>
                    <w:adjustRightInd w:val="0"/>
                    <w:spacing w:line="240" w:lineRule="auto"/>
                    <w:ind w:left="-105" w:leftChars="-50" w:right="-105" w:rightChars="-50"/>
                    <w:jc w:val="center"/>
                    <w:textAlignment w:val="bottom"/>
                    <w:rPr>
                      <w:rFonts w:hint="eastAsia" w:eastAsia="宋体"/>
                      <w:color w:val="auto"/>
                      <w:szCs w:val="21"/>
                      <w:highlight w:val="none"/>
                      <w:lang w:val="en-US" w:eastAsia="zh-CN"/>
                    </w:rPr>
                  </w:pPr>
                  <w:r>
                    <w:rPr>
                      <w:rFonts w:hint="eastAsia"/>
                      <w:color w:val="auto"/>
                      <w:szCs w:val="21"/>
                      <w:highlight w:val="none"/>
                      <w:lang w:val="en-US" w:eastAsia="zh-CN"/>
                    </w:rPr>
                    <w:t>少量</w:t>
                  </w:r>
                </w:p>
              </w:tc>
              <w:tc>
                <w:tcPr>
                  <w:tcW w:w="310" w:type="pct"/>
                  <w:vAlign w:val="center"/>
                </w:tcPr>
                <w:p>
                  <w:pPr>
                    <w:spacing w:line="240" w:lineRule="auto"/>
                    <w:ind w:left="-105" w:leftChars="-50" w:right="-105" w:rightChars="-50"/>
                    <w:jc w:val="center"/>
                    <w:rPr>
                      <w:rFonts w:hint="eastAsia"/>
                      <w:color w:val="auto"/>
                      <w:szCs w:val="21"/>
                      <w:highlight w:val="none"/>
                    </w:rPr>
                  </w:pPr>
                  <w:r>
                    <w:rPr>
                      <w:rFonts w:hint="eastAsia"/>
                      <w:color w:val="auto"/>
                      <w:szCs w:val="21"/>
                      <w:highlight w:val="none"/>
                    </w:rPr>
                    <w:t>脉冲布袋除尘器</w:t>
                  </w:r>
                </w:p>
              </w:tc>
              <w:tc>
                <w:tcPr>
                  <w:tcW w:w="533" w:type="dxa"/>
                  <w:vAlign w:val="center"/>
                </w:tcPr>
                <w:p>
                  <w:pPr>
                    <w:spacing w:line="240" w:lineRule="auto"/>
                    <w:ind w:left="-105" w:leftChars="-50" w:right="-105" w:rightChars="-50"/>
                    <w:jc w:val="center"/>
                    <w:rPr>
                      <w:rFonts w:hint="eastAsia"/>
                      <w:color w:val="auto"/>
                      <w:szCs w:val="21"/>
                      <w:highlight w:val="none"/>
                    </w:rPr>
                  </w:pPr>
                  <w:r>
                    <w:rPr>
                      <w:rFonts w:hint="eastAsia"/>
                      <w:color w:val="auto"/>
                      <w:szCs w:val="21"/>
                      <w:highlight w:val="none"/>
                    </w:rPr>
                    <w:t>95</w:t>
                  </w:r>
                </w:p>
              </w:tc>
              <w:tc>
                <w:tcPr>
                  <w:tcW w:w="479" w:type="dxa"/>
                  <w:vAlign w:val="center"/>
                </w:tcPr>
                <w:p>
                  <w:pPr>
                    <w:spacing w:line="240" w:lineRule="auto"/>
                    <w:ind w:left="-105" w:leftChars="-50" w:right="-105" w:rightChars="-50"/>
                    <w:jc w:val="center"/>
                    <w:rPr>
                      <w:rFonts w:hint="eastAsia"/>
                      <w:color w:val="auto"/>
                      <w:szCs w:val="21"/>
                      <w:highlight w:val="none"/>
                    </w:rPr>
                  </w:pPr>
                  <w:r>
                    <w:rPr>
                      <w:color w:val="auto"/>
                      <w:szCs w:val="21"/>
                      <w:highlight w:val="none"/>
                    </w:rPr>
                    <w:t>是</w:t>
                  </w:r>
                </w:p>
              </w:tc>
              <w:tc>
                <w:tcPr>
                  <w:tcW w:w="256" w:type="pct"/>
                  <w:vAlign w:val="center"/>
                </w:tcPr>
                <w:p>
                  <w:pPr>
                    <w:spacing w:line="240" w:lineRule="auto"/>
                    <w:ind w:left="-105" w:leftChars="-50" w:right="-105" w:rightChars="-5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289" w:type="pct"/>
                  <w:vAlign w:val="center"/>
                </w:tcPr>
                <w:p>
                  <w:pPr>
                    <w:spacing w:line="240" w:lineRule="auto"/>
                    <w:ind w:left="-105" w:leftChars="-50" w:right="-105" w:rightChars="-50"/>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314" w:type="pct"/>
                  <w:vAlign w:val="center"/>
                </w:tcPr>
                <w:p>
                  <w:pPr>
                    <w:spacing w:line="240" w:lineRule="auto"/>
                    <w:ind w:left="-105" w:leftChars="-50" w:right="-105" w:rightChars="-50"/>
                    <w:jc w:val="center"/>
                    <w:textAlignment w:val="bottom"/>
                    <w:rPr>
                      <w:rFonts w:hint="eastAsia" w:eastAsia="宋体"/>
                      <w:color w:val="auto"/>
                      <w:szCs w:val="21"/>
                      <w:highlight w:val="none"/>
                      <w:lang w:val="en-US" w:eastAsia="zh-CN"/>
                    </w:rPr>
                  </w:pPr>
                  <w:r>
                    <w:rPr>
                      <w:rFonts w:hint="eastAsia"/>
                      <w:color w:val="auto"/>
                      <w:szCs w:val="21"/>
                      <w:highlight w:val="none"/>
                      <w:lang w:val="en-US" w:eastAsia="zh-CN"/>
                    </w:rPr>
                    <w:t>/</w:t>
                  </w:r>
                </w:p>
              </w:tc>
              <w:tc>
                <w:tcPr>
                  <w:tcW w:w="277" w:type="pct"/>
                  <w:vAlign w:val="center"/>
                </w:tcPr>
                <w:p>
                  <w:pPr>
                    <w:spacing w:line="240" w:lineRule="auto"/>
                    <w:ind w:left="-105" w:leftChars="-50" w:right="-105" w:rightChars="-50"/>
                    <w:jc w:val="center"/>
                    <w:textAlignment w:val="bottom"/>
                    <w:rPr>
                      <w:rFonts w:hint="eastAsia" w:eastAsia="宋体"/>
                      <w:color w:val="auto"/>
                      <w:szCs w:val="21"/>
                      <w:highlight w:val="none"/>
                      <w:lang w:val="en-US" w:eastAsia="zh-CN"/>
                    </w:rPr>
                  </w:pPr>
                  <w:r>
                    <w:rPr>
                      <w:rFonts w:hint="eastAsia"/>
                      <w:color w:val="auto"/>
                      <w:szCs w:val="21"/>
                      <w:highlight w:val="none"/>
                      <w:lang w:val="en-US" w:eastAsia="zh-CN"/>
                    </w:rPr>
                    <w:t>/</w:t>
                  </w:r>
                </w:p>
              </w:tc>
              <w:tc>
                <w:tcPr>
                  <w:tcW w:w="289" w:type="pct"/>
                  <w:vAlign w:val="center"/>
                </w:tcPr>
                <w:p>
                  <w:pPr>
                    <w:spacing w:line="240" w:lineRule="auto"/>
                    <w:ind w:left="-105" w:leftChars="-50" w:right="-105" w:rightChars="-50"/>
                    <w:jc w:val="center"/>
                    <w:textAlignment w:val="bottom"/>
                    <w:rPr>
                      <w:rFonts w:hint="eastAsia" w:eastAsia="宋体"/>
                      <w:color w:val="auto"/>
                      <w:szCs w:val="21"/>
                      <w:highlight w:val="none"/>
                      <w:lang w:val="en-US" w:eastAsia="zh-CN"/>
                    </w:rPr>
                  </w:pPr>
                  <w:r>
                    <w:rPr>
                      <w:rFonts w:hint="eastAsia"/>
                      <w:color w:val="auto"/>
                      <w:szCs w:val="21"/>
                      <w:highlight w:val="none"/>
                      <w:lang w:val="en-US" w:eastAsia="zh-CN"/>
                    </w:rPr>
                    <w:t>不外排</w:t>
                  </w:r>
                </w:p>
              </w:tc>
              <w:tc>
                <w:tcPr>
                  <w:tcW w:w="196" w:type="pct"/>
                  <w:vAlign w:val="center"/>
                </w:tcPr>
                <w:p>
                  <w:pPr>
                    <w:spacing w:line="240" w:lineRule="auto"/>
                    <w:ind w:left="-105" w:leftChars="-50" w:right="-105" w:rightChars="-50"/>
                    <w:jc w:val="center"/>
                    <w:rPr>
                      <w:rFonts w:hint="eastAsia"/>
                      <w:color w:val="auto"/>
                      <w:szCs w:val="21"/>
                      <w:highlight w:val="none"/>
                    </w:rPr>
                  </w:pPr>
                  <w:r>
                    <w:rPr>
                      <w:rFonts w:hint="eastAsia"/>
                      <w:color w:val="auto"/>
                      <w:szCs w:val="21"/>
                      <w:highlight w:val="none"/>
                    </w:rPr>
                    <w:t>2400</w:t>
                  </w:r>
                </w:p>
              </w:tc>
              <w:tc>
                <w:tcPr>
                  <w:tcW w:w="267" w:type="pct"/>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厨房油烟</w:t>
                  </w:r>
                </w:p>
              </w:tc>
              <w:tc>
                <w:tcPr>
                  <w:tcW w:w="182"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42" w:type="pct"/>
                  <w:vAlign w:val="center"/>
                </w:tcPr>
                <w:p>
                  <w:pPr>
                    <w:spacing w:line="240" w:lineRule="auto"/>
                    <w:ind w:left="-105" w:leftChars="-50" w:right="-105" w:rightChars="-50"/>
                    <w:jc w:val="center"/>
                    <w:rPr>
                      <w:color w:val="auto"/>
                      <w:szCs w:val="21"/>
                      <w:highlight w:val="none"/>
                    </w:rPr>
                  </w:pPr>
                  <w:r>
                    <w:rPr>
                      <w:color w:val="auto"/>
                      <w:szCs w:val="21"/>
                      <w:highlight w:val="none"/>
                    </w:rPr>
                    <w:t>有组织排放</w:t>
                  </w:r>
                </w:p>
              </w:tc>
              <w:tc>
                <w:tcPr>
                  <w:tcW w:w="30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油烟</w:t>
                  </w:r>
                </w:p>
              </w:tc>
              <w:tc>
                <w:tcPr>
                  <w:tcW w:w="268" w:type="pct"/>
                  <w:vAlign w:val="center"/>
                </w:tcPr>
                <w:p>
                  <w:pPr>
                    <w:spacing w:line="240" w:lineRule="auto"/>
                    <w:ind w:left="-105" w:leftChars="-50" w:right="-105" w:rightChars="-50"/>
                    <w:jc w:val="center"/>
                    <w:rPr>
                      <w:color w:val="auto"/>
                      <w:szCs w:val="21"/>
                      <w:highlight w:val="none"/>
                    </w:rPr>
                  </w:pPr>
                  <w:r>
                    <w:rPr>
                      <w:color w:val="auto"/>
                      <w:szCs w:val="21"/>
                      <w:highlight w:val="none"/>
                    </w:rPr>
                    <w:t>产污系数法</w:t>
                  </w:r>
                </w:p>
              </w:tc>
              <w:tc>
                <w:tcPr>
                  <w:tcW w:w="239" w:type="pct"/>
                  <w:vAlign w:val="center"/>
                </w:tcPr>
                <w:p>
                  <w:pPr>
                    <w:spacing w:line="240" w:lineRule="auto"/>
                    <w:ind w:left="-105" w:leftChars="-50" w:right="-105" w:rightChars="-50"/>
                    <w:jc w:val="center"/>
                    <w:rPr>
                      <w:color w:val="auto"/>
                      <w:szCs w:val="21"/>
                      <w:highlight w:val="none"/>
                    </w:rPr>
                  </w:pPr>
                  <w:r>
                    <w:rPr>
                      <w:color w:val="auto"/>
                      <w:szCs w:val="21"/>
                      <w:highlight w:val="none"/>
                    </w:rPr>
                    <w:t>2000</w:t>
                  </w:r>
                </w:p>
              </w:tc>
              <w:tc>
                <w:tcPr>
                  <w:tcW w:w="302" w:type="pct"/>
                  <w:vAlign w:val="center"/>
                </w:tcPr>
                <w:p>
                  <w:pPr>
                    <w:adjustRightInd w:val="0"/>
                    <w:spacing w:line="240" w:lineRule="auto"/>
                    <w:ind w:left="-105" w:leftChars="-50" w:right="-105" w:rightChars="-50"/>
                    <w:jc w:val="center"/>
                    <w:textAlignment w:val="bottom"/>
                    <w:rPr>
                      <w:rFonts w:eastAsia="等线"/>
                      <w:color w:val="auto"/>
                      <w:kern w:val="0"/>
                      <w:szCs w:val="21"/>
                      <w:highlight w:val="none"/>
                      <w:lang w:bidi="ar"/>
                    </w:rPr>
                  </w:pPr>
                  <w:r>
                    <w:rPr>
                      <w:rFonts w:hint="eastAsia" w:eastAsia="等线"/>
                      <w:color w:val="auto"/>
                      <w:kern w:val="0"/>
                      <w:szCs w:val="21"/>
                      <w:highlight w:val="none"/>
                      <w:lang w:bidi="ar"/>
                    </w:rPr>
                    <w:t>2.625</w:t>
                  </w:r>
                </w:p>
              </w:tc>
              <w:tc>
                <w:tcPr>
                  <w:tcW w:w="269" w:type="pct"/>
                  <w:vAlign w:val="center"/>
                </w:tcPr>
                <w:p>
                  <w:pPr>
                    <w:adjustRightInd w:val="0"/>
                    <w:spacing w:line="240" w:lineRule="auto"/>
                    <w:ind w:left="-105" w:leftChars="-50" w:right="-105" w:rightChars="-50"/>
                    <w:jc w:val="center"/>
                    <w:textAlignment w:val="bottom"/>
                    <w:rPr>
                      <w:color w:val="auto"/>
                      <w:szCs w:val="21"/>
                      <w:highlight w:val="none"/>
                    </w:rPr>
                  </w:pPr>
                  <w:r>
                    <w:rPr>
                      <w:rFonts w:hint="eastAsia"/>
                      <w:color w:val="auto"/>
                      <w:szCs w:val="21"/>
                      <w:highlight w:val="none"/>
                    </w:rPr>
                    <w:t>0.0053</w:t>
                  </w:r>
                </w:p>
              </w:tc>
              <w:tc>
                <w:tcPr>
                  <w:tcW w:w="299" w:type="pct"/>
                  <w:vAlign w:val="center"/>
                </w:tcPr>
                <w:p>
                  <w:pPr>
                    <w:adjustRightInd w:val="0"/>
                    <w:spacing w:line="240" w:lineRule="auto"/>
                    <w:ind w:left="-105" w:leftChars="-50" w:right="-105" w:rightChars="-50"/>
                    <w:jc w:val="center"/>
                    <w:textAlignment w:val="bottom"/>
                    <w:rPr>
                      <w:color w:val="auto"/>
                      <w:szCs w:val="21"/>
                      <w:highlight w:val="none"/>
                    </w:rPr>
                  </w:pPr>
                  <w:r>
                    <w:rPr>
                      <w:rFonts w:hint="eastAsia"/>
                      <w:color w:val="auto"/>
                      <w:szCs w:val="21"/>
                      <w:highlight w:val="none"/>
                    </w:rPr>
                    <w:t>0.0063</w:t>
                  </w:r>
                </w:p>
              </w:tc>
              <w:tc>
                <w:tcPr>
                  <w:tcW w:w="310" w:type="pct"/>
                  <w:vAlign w:val="center"/>
                </w:tcPr>
                <w:p>
                  <w:pPr>
                    <w:spacing w:line="240" w:lineRule="auto"/>
                    <w:ind w:left="-105" w:leftChars="-50" w:right="-105" w:rightChars="-50"/>
                    <w:jc w:val="center"/>
                    <w:rPr>
                      <w:color w:val="auto"/>
                      <w:szCs w:val="21"/>
                      <w:highlight w:val="none"/>
                    </w:rPr>
                  </w:pPr>
                  <w:r>
                    <w:rPr>
                      <w:color w:val="auto"/>
                      <w:szCs w:val="21"/>
                      <w:highlight w:val="none"/>
                    </w:rPr>
                    <w:t>油烟净化器</w:t>
                  </w:r>
                </w:p>
              </w:tc>
              <w:tc>
                <w:tcPr>
                  <w:tcW w:w="20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90</w:t>
                  </w:r>
                </w:p>
              </w:tc>
              <w:tc>
                <w:tcPr>
                  <w:tcW w:w="184" w:type="pct"/>
                  <w:vAlign w:val="center"/>
                </w:tcPr>
                <w:p>
                  <w:pPr>
                    <w:spacing w:line="240" w:lineRule="auto"/>
                    <w:ind w:left="-105" w:leftChars="-50" w:right="-105" w:rightChars="-50"/>
                    <w:jc w:val="center"/>
                    <w:rPr>
                      <w:color w:val="auto"/>
                      <w:szCs w:val="21"/>
                      <w:highlight w:val="none"/>
                    </w:rPr>
                  </w:pPr>
                  <w:r>
                    <w:rPr>
                      <w:color w:val="auto"/>
                      <w:szCs w:val="21"/>
                      <w:highlight w:val="none"/>
                    </w:rPr>
                    <w:t>是</w:t>
                  </w:r>
                </w:p>
              </w:tc>
              <w:tc>
                <w:tcPr>
                  <w:tcW w:w="25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产污系数法</w:t>
                  </w:r>
                </w:p>
              </w:tc>
              <w:tc>
                <w:tcPr>
                  <w:tcW w:w="289" w:type="pct"/>
                  <w:vAlign w:val="center"/>
                </w:tcPr>
                <w:p>
                  <w:pPr>
                    <w:spacing w:line="240" w:lineRule="auto"/>
                    <w:ind w:left="-105" w:leftChars="-50" w:right="-105" w:rightChars="-50"/>
                    <w:jc w:val="center"/>
                    <w:rPr>
                      <w:color w:val="auto"/>
                      <w:szCs w:val="21"/>
                      <w:highlight w:val="none"/>
                    </w:rPr>
                  </w:pPr>
                  <w:r>
                    <w:rPr>
                      <w:color w:val="auto"/>
                      <w:szCs w:val="21"/>
                      <w:highlight w:val="none"/>
                    </w:rPr>
                    <w:t>2000</w:t>
                  </w:r>
                </w:p>
              </w:tc>
              <w:tc>
                <w:tcPr>
                  <w:tcW w:w="314" w:type="pct"/>
                  <w:vAlign w:val="center"/>
                </w:tcPr>
                <w:p>
                  <w:pPr>
                    <w:spacing w:line="240" w:lineRule="auto"/>
                    <w:ind w:left="-105" w:leftChars="-50" w:right="-105" w:rightChars="-50"/>
                    <w:jc w:val="center"/>
                    <w:textAlignment w:val="bottom"/>
                    <w:rPr>
                      <w:color w:val="auto"/>
                      <w:szCs w:val="21"/>
                      <w:highlight w:val="none"/>
                    </w:rPr>
                  </w:pPr>
                  <w:r>
                    <w:rPr>
                      <w:rFonts w:hint="eastAsia"/>
                      <w:color w:val="auto"/>
                      <w:szCs w:val="21"/>
                      <w:highlight w:val="none"/>
                    </w:rPr>
                    <w:t>0.525</w:t>
                  </w:r>
                </w:p>
              </w:tc>
              <w:tc>
                <w:tcPr>
                  <w:tcW w:w="277" w:type="pct"/>
                  <w:vAlign w:val="center"/>
                </w:tcPr>
                <w:p>
                  <w:pPr>
                    <w:spacing w:line="240" w:lineRule="auto"/>
                    <w:ind w:left="-105" w:leftChars="-50" w:right="-105" w:rightChars="-50"/>
                    <w:jc w:val="center"/>
                    <w:textAlignment w:val="bottom"/>
                    <w:rPr>
                      <w:color w:val="auto"/>
                      <w:szCs w:val="21"/>
                      <w:highlight w:val="none"/>
                    </w:rPr>
                  </w:pPr>
                  <w:r>
                    <w:rPr>
                      <w:rFonts w:hint="eastAsia"/>
                      <w:color w:val="auto"/>
                      <w:szCs w:val="21"/>
                      <w:highlight w:val="none"/>
                    </w:rPr>
                    <w:t>0.0011</w:t>
                  </w:r>
                </w:p>
              </w:tc>
              <w:tc>
                <w:tcPr>
                  <w:tcW w:w="289" w:type="pct"/>
                  <w:vAlign w:val="center"/>
                </w:tcPr>
                <w:p>
                  <w:pPr>
                    <w:spacing w:line="240" w:lineRule="auto"/>
                    <w:ind w:left="-105" w:leftChars="-50" w:right="-105" w:rightChars="-50"/>
                    <w:jc w:val="center"/>
                    <w:textAlignment w:val="bottom"/>
                    <w:rPr>
                      <w:color w:val="auto"/>
                      <w:szCs w:val="21"/>
                      <w:highlight w:val="none"/>
                    </w:rPr>
                  </w:pPr>
                  <w:r>
                    <w:rPr>
                      <w:rFonts w:hint="eastAsia"/>
                      <w:color w:val="auto"/>
                      <w:szCs w:val="21"/>
                      <w:highlight w:val="none"/>
                    </w:rPr>
                    <w:t>0.0013</w:t>
                  </w:r>
                </w:p>
              </w:tc>
              <w:tc>
                <w:tcPr>
                  <w:tcW w:w="19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1200</w:t>
                  </w:r>
                </w:p>
              </w:tc>
              <w:tc>
                <w:tcPr>
                  <w:tcW w:w="267"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2mg/m</w:t>
                  </w:r>
                  <w:r>
                    <w:rPr>
                      <w:rFonts w:hint="eastAsia"/>
                      <w:color w:val="auto"/>
                      <w:szCs w:val="21"/>
                      <w:highlight w:val="none"/>
                      <w:vertAlign w:val="superscript"/>
                    </w:rPr>
                    <w:t>3</w:t>
                  </w:r>
                </w:p>
              </w:tc>
            </w:tr>
          </w:tbl>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排放口基本情况</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593"/>
              <w:gridCol w:w="2334"/>
              <w:gridCol w:w="2027"/>
              <w:gridCol w:w="1177"/>
              <w:gridCol w:w="1400"/>
              <w:gridCol w:w="1358"/>
              <w:gridCol w:w="666"/>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restart"/>
                  <w:vAlign w:val="center"/>
                </w:tcPr>
                <w:p>
                  <w:pPr>
                    <w:spacing w:line="240" w:lineRule="auto"/>
                    <w:jc w:val="center"/>
                    <w:rPr>
                      <w:color w:val="auto"/>
                      <w:szCs w:val="21"/>
                      <w:highlight w:val="none"/>
                    </w:rPr>
                  </w:pPr>
                  <w:r>
                    <w:rPr>
                      <w:color w:val="auto"/>
                      <w:szCs w:val="21"/>
                      <w:highlight w:val="none"/>
                    </w:rPr>
                    <w:t>编号</w:t>
                  </w:r>
                </w:p>
              </w:tc>
              <w:tc>
                <w:tcPr>
                  <w:tcW w:w="612" w:type="pct"/>
                  <w:vMerge w:val="restart"/>
                  <w:vAlign w:val="center"/>
                </w:tcPr>
                <w:p>
                  <w:pPr>
                    <w:spacing w:line="240" w:lineRule="auto"/>
                    <w:jc w:val="center"/>
                    <w:rPr>
                      <w:color w:val="auto"/>
                      <w:szCs w:val="21"/>
                      <w:highlight w:val="none"/>
                    </w:rPr>
                  </w:pPr>
                  <w:r>
                    <w:rPr>
                      <w:color w:val="auto"/>
                      <w:szCs w:val="21"/>
                      <w:highlight w:val="none"/>
                    </w:rPr>
                    <w:t>污染物种类</w:t>
                  </w:r>
                </w:p>
              </w:tc>
              <w:tc>
                <w:tcPr>
                  <w:tcW w:w="1676" w:type="pct"/>
                  <w:gridSpan w:val="2"/>
                  <w:vAlign w:val="center"/>
                </w:tcPr>
                <w:p>
                  <w:pPr>
                    <w:spacing w:line="240" w:lineRule="auto"/>
                    <w:jc w:val="center"/>
                    <w:rPr>
                      <w:color w:val="auto"/>
                      <w:szCs w:val="21"/>
                      <w:highlight w:val="none"/>
                    </w:rPr>
                  </w:pPr>
                  <w:r>
                    <w:rPr>
                      <w:color w:val="auto"/>
                      <w:szCs w:val="21"/>
                      <w:highlight w:val="none"/>
                    </w:rPr>
                    <w:t>地理坐标</w:t>
                  </w:r>
                </w:p>
              </w:tc>
              <w:tc>
                <w:tcPr>
                  <w:tcW w:w="452" w:type="pct"/>
                  <w:vMerge w:val="restart"/>
                  <w:vAlign w:val="center"/>
                </w:tcPr>
                <w:p>
                  <w:pPr>
                    <w:spacing w:line="240" w:lineRule="auto"/>
                    <w:jc w:val="center"/>
                    <w:rPr>
                      <w:color w:val="auto"/>
                      <w:szCs w:val="21"/>
                      <w:highlight w:val="none"/>
                    </w:rPr>
                  </w:pPr>
                  <w:r>
                    <w:rPr>
                      <w:color w:val="auto"/>
                      <w:szCs w:val="21"/>
                      <w:highlight w:val="none"/>
                    </w:rPr>
                    <w:t>排气口高度(m)</w:t>
                  </w:r>
                </w:p>
              </w:tc>
              <w:tc>
                <w:tcPr>
                  <w:tcW w:w="538" w:type="pct"/>
                  <w:vMerge w:val="restart"/>
                  <w:vAlign w:val="center"/>
                </w:tcPr>
                <w:p>
                  <w:pPr>
                    <w:spacing w:line="240" w:lineRule="auto"/>
                    <w:jc w:val="center"/>
                    <w:rPr>
                      <w:color w:val="auto"/>
                      <w:szCs w:val="21"/>
                      <w:highlight w:val="none"/>
                    </w:rPr>
                  </w:pPr>
                  <w:r>
                    <w:rPr>
                      <w:color w:val="auto"/>
                      <w:szCs w:val="21"/>
                      <w:highlight w:val="none"/>
                    </w:rPr>
                    <w:t>排气口出口内径(m)</w:t>
                  </w:r>
                </w:p>
              </w:tc>
              <w:tc>
                <w:tcPr>
                  <w:tcW w:w="522" w:type="pct"/>
                  <w:vMerge w:val="restart"/>
                  <w:vAlign w:val="center"/>
                </w:tcPr>
                <w:p>
                  <w:pPr>
                    <w:spacing w:line="240" w:lineRule="auto"/>
                    <w:jc w:val="center"/>
                    <w:rPr>
                      <w:color w:val="auto"/>
                      <w:szCs w:val="21"/>
                      <w:highlight w:val="none"/>
                    </w:rPr>
                  </w:pPr>
                  <w:r>
                    <w:rPr>
                      <w:color w:val="auto"/>
                      <w:szCs w:val="21"/>
                      <w:highlight w:val="none"/>
                    </w:rPr>
                    <w:t>烟气流速(m/s)</w:t>
                  </w:r>
                </w:p>
              </w:tc>
              <w:tc>
                <w:tcPr>
                  <w:tcW w:w="256" w:type="pct"/>
                  <w:vMerge w:val="restart"/>
                  <w:vAlign w:val="center"/>
                </w:tcPr>
                <w:p>
                  <w:pPr>
                    <w:spacing w:line="240" w:lineRule="auto"/>
                    <w:jc w:val="center"/>
                    <w:rPr>
                      <w:color w:val="auto"/>
                      <w:szCs w:val="21"/>
                      <w:highlight w:val="none"/>
                    </w:rPr>
                  </w:pPr>
                  <w:r>
                    <w:rPr>
                      <w:color w:val="auto"/>
                      <w:szCs w:val="21"/>
                      <w:highlight w:val="none"/>
                    </w:rPr>
                    <w:t>排气温度(℃)</w:t>
                  </w:r>
                </w:p>
              </w:tc>
              <w:tc>
                <w:tcPr>
                  <w:tcW w:w="543" w:type="pct"/>
                  <w:vMerge w:val="restart"/>
                  <w:vAlign w:val="center"/>
                </w:tcPr>
                <w:p>
                  <w:pPr>
                    <w:spacing w:line="240" w:lineRule="auto"/>
                    <w:jc w:val="center"/>
                    <w:rPr>
                      <w:color w:val="auto"/>
                      <w:szCs w:val="21"/>
                      <w:highlight w:val="none"/>
                    </w:rPr>
                  </w:pPr>
                  <w:r>
                    <w:rPr>
                      <w:color w:val="auto"/>
                      <w:szCs w:val="21"/>
                      <w:highlight w:val="none"/>
                    </w:rPr>
                    <w:t>排气口类型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Merge w:val="continue"/>
                  <w:vAlign w:val="center"/>
                </w:tcPr>
                <w:p>
                  <w:pPr>
                    <w:spacing w:line="240" w:lineRule="auto"/>
                    <w:jc w:val="center"/>
                    <w:rPr>
                      <w:color w:val="auto"/>
                      <w:szCs w:val="21"/>
                      <w:highlight w:val="none"/>
                    </w:rPr>
                  </w:pPr>
                </w:p>
              </w:tc>
              <w:tc>
                <w:tcPr>
                  <w:tcW w:w="612" w:type="pct"/>
                  <w:vMerge w:val="continue"/>
                  <w:vAlign w:val="center"/>
                </w:tcPr>
                <w:p>
                  <w:pPr>
                    <w:spacing w:line="240" w:lineRule="auto"/>
                    <w:jc w:val="center"/>
                    <w:rPr>
                      <w:color w:val="auto"/>
                      <w:szCs w:val="21"/>
                      <w:highlight w:val="none"/>
                    </w:rPr>
                  </w:pPr>
                </w:p>
              </w:tc>
              <w:tc>
                <w:tcPr>
                  <w:tcW w:w="897" w:type="pct"/>
                  <w:vAlign w:val="center"/>
                </w:tcPr>
                <w:p>
                  <w:pPr>
                    <w:spacing w:line="240" w:lineRule="auto"/>
                    <w:jc w:val="center"/>
                    <w:rPr>
                      <w:color w:val="auto"/>
                      <w:szCs w:val="21"/>
                      <w:highlight w:val="none"/>
                    </w:rPr>
                  </w:pPr>
                  <w:r>
                    <w:rPr>
                      <w:color w:val="auto"/>
                      <w:szCs w:val="21"/>
                      <w:highlight w:val="none"/>
                    </w:rPr>
                    <w:t>东经</w:t>
                  </w:r>
                </w:p>
              </w:tc>
              <w:tc>
                <w:tcPr>
                  <w:tcW w:w="779" w:type="pct"/>
                  <w:vAlign w:val="center"/>
                </w:tcPr>
                <w:p>
                  <w:pPr>
                    <w:spacing w:line="240" w:lineRule="auto"/>
                    <w:jc w:val="center"/>
                    <w:rPr>
                      <w:color w:val="auto"/>
                      <w:szCs w:val="21"/>
                      <w:highlight w:val="none"/>
                    </w:rPr>
                  </w:pPr>
                  <w:r>
                    <w:rPr>
                      <w:color w:val="auto"/>
                      <w:szCs w:val="21"/>
                      <w:highlight w:val="none"/>
                    </w:rPr>
                    <w:t>北纬</w:t>
                  </w:r>
                </w:p>
              </w:tc>
              <w:tc>
                <w:tcPr>
                  <w:tcW w:w="452" w:type="pct"/>
                  <w:vMerge w:val="continue"/>
                  <w:vAlign w:val="center"/>
                </w:tcPr>
                <w:p>
                  <w:pPr>
                    <w:spacing w:line="240" w:lineRule="auto"/>
                    <w:jc w:val="center"/>
                    <w:rPr>
                      <w:color w:val="auto"/>
                      <w:szCs w:val="21"/>
                      <w:highlight w:val="none"/>
                    </w:rPr>
                  </w:pPr>
                </w:p>
              </w:tc>
              <w:tc>
                <w:tcPr>
                  <w:tcW w:w="538" w:type="pct"/>
                  <w:vMerge w:val="continue"/>
                  <w:vAlign w:val="center"/>
                </w:tcPr>
                <w:p>
                  <w:pPr>
                    <w:spacing w:line="240" w:lineRule="auto"/>
                    <w:jc w:val="center"/>
                    <w:rPr>
                      <w:color w:val="auto"/>
                      <w:szCs w:val="21"/>
                      <w:highlight w:val="none"/>
                    </w:rPr>
                  </w:pPr>
                </w:p>
              </w:tc>
              <w:tc>
                <w:tcPr>
                  <w:tcW w:w="522" w:type="pct"/>
                  <w:vMerge w:val="continue"/>
                  <w:vAlign w:val="center"/>
                </w:tcPr>
                <w:p>
                  <w:pPr>
                    <w:spacing w:line="240" w:lineRule="auto"/>
                    <w:jc w:val="center"/>
                    <w:rPr>
                      <w:color w:val="auto"/>
                      <w:szCs w:val="21"/>
                      <w:highlight w:val="none"/>
                    </w:rPr>
                  </w:pPr>
                </w:p>
              </w:tc>
              <w:tc>
                <w:tcPr>
                  <w:tcW w:w="256" w:type="pct"/>
                  <w:vMerge w:val="continue"/>
                  <w:vAlign w:val="center"/>
                </w:tcPr>
                <w:p>
                  <w:pPr>
                    <w:spacing w:line="240" w:lineRule="auto"/>
                    <w:jc w:val="center"/>
                    <w:rPr>
                      <w:color w:val="auto"/>
                      <w:szCs w:val="21"/>
                      <w:highlight w:val="none"/>
                    </w:rPr>
                  </w:pPr>
                </w:p>
              </w:tc>
              <w:tc>
                <w:tcPr>
                  <w:tcW w:w="543" w:type="pct"/>
                  <w:vMerge w:val="continue"/>
                  <w:vAlign w:val="center"/>
                </w:tcPr>
                <w:p>
                  <w:pPr>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9" w:type="pct"/>
                  <w:vAlign w:val="center"/>
                </w:tcPr>
                <w:p>
                  <w:pPr>
                    <w:spacing w:line="240" w:lineRule="auto"/>
                    <w:jc w:val="center"/>
                    <w:rPr>
                      <w:color w:val="auto"/>
                      <w:szCs w:val="21"/>
                      <w:highlight w:val="none"/>
                    </w:rPr>
                  </w:pPr>
                  <w:r>
                    <w:rPr>
                      <w:color w:val="auto"/>
                      <w:szCs w:val="21"/>
                      <w:highlight w:val="none"/>
                    </w:rPr>
                    <w:t>DA00</w:t>
                  </w:r>
                  <w:r>
                    <w:rPr>
                      <w:rFonts w:hint="eastAsia"/>
                      <w:color w:val="auto"/>
                      <w:szCs w:val="21"/>
                      <w:highlight w:val="none"/>
                    </w:rPr>
                    <w:t>1</w:t>
                  </w:r>
                </w:p>
              </w:tc>
              <w:tc>
                <w:tcPr>
                  <w:tcW w:w="612" w:type="pct"/>
                  <w:vAlign w:val="center"/>
                </w:tcPr>
                <w:p>
                  <w:pPr>
                    <w:spacing w:line="240" w:lineRule="auto"/>
                    <w:jc w:val="center"/>
                    <w:rPr>
                      <w:color w:val="auto"/>
                      <w:szCs w:val="21"/>
                      <w:highlight w:val="none"/>
                    </w:rPr>
                  </w:pPr>
                  <w:r>
                    <w:rPr>
                      <w:color w:val="auto"/>
                      <w:szCs w:val="21"/>
                      <w:highlight w:val="none"/>
                    </w:rPr>
                    <w:t>颗粒物</w:t>
                  </w:r>
                </w:p>
              </w:tc>
              <w:tc>
                <w:tcPr>
                  <w:tcW w:w="897" w:type="pct"/>
                  <w:vAlign w:val="center"/>
                </w:tcPr>
                <w:p>
                  <w:pPr>
                    <w:spacing w:line="240" w:lineRule="auto"/>
                    <w:jc w:val="center"/>
                    <w:rPr>
                      <w:color w:val="auto"/>
                      <w:szCs w:val="21"/>
                      <w:highlight w:val="none"/>
                    </w:rPr>
                  </w:pPr>
                  <w:r>
                    <w:rPr>
                      <w:color w:val="auto"/>
                      <w:szCs w:val="21"/>
                      <w:highlight w:val="none"/>
                    </w:rPr>
                    <w:t>112°54'57.011"</w:t>
                  </w:r>
                </w:p>
              </w:tc>
              <w:tc>
                <w:tcPr>
                  <w:tcW w:w="779" w:type="pct"/>
                  <w:vAlign w:val="center"/>
                </w:tcPr>
                <w:p>
                  <w:pPr>
                    <w:spacing w:line="240" w:lineRule="auto"/>
                    <w:jc w:val="center"/>
                    <w:rPr>
                      <w:color w:val="auto"/>
                      <w:szCs w:val="21"/>
                      <w:highlight w:val="none"/>
                    </w:rPr>
                  </w:pPr>
                  <w:r>
                    <w:rPr>
                      <w:color w:val="auto"/>
                      <w:szCs w:val="21"/>
                      <w:highlight w:val="none"/>
                    </w:rPr>
                    <w:t>23°49'53.165"</w:t>
                  </w:r>
                </w:p>
              </w:tc>
              <w:tc>
                <w:tcPr>
                  <w:tcW w:w="452" w:type="pct"/>
                  <w:vAlign w:val="center"/>
                </w:tcPr>
                <w:p>
                  <w:pPr>
                    <w:spacing w:line="240" w:lineRule="auto"/>
                    <w:jc w:val="center"/>
                    <w:rPr>
                      <w:color w:val="auto"/>
                      <w:szCs w:val="21"/>
                      <w:highlight w:val="none"/>
                    </w:rPr>
                  </w:pPr>
                  <w:r>
                    <w:rPr>
                      <w:color w:val="auto"/>
                      <w:szCs w:val="21"/>
                      <w:highlight w:val="none"/>
                    </w:rPr>
                    <w:t>15</w:t>
                  </w:r>
                </w:p>
              </w:tc>
              <w:tc>
                <w:tcPr>
                  <w:tcW w:w="538" w:type="pct"/>
                  <w:vAlign w:val="center"/>
                </w:tcPr>
                <w:p>
                  <w:pPr>
                    <w:spacing w:line="240" w:lineRule="auto"/>
                    <w:jc w:val="center"/>
                    <w:rPr>
                      <w:color w:val="auto"/>
                      <w:szCs w:val="21"/>
                      <w:highlight w:val="none"/>
                    </w:rPr>
                  </w:pPr>
                  <w:r>
                    <w:rPr>
                      <w:rFonts w:hint="eastAsia"/>
                      <w:color w:val="auto"/>
                      <w:szCs w:val="21"/>
                      <w:highlight w:val="none"/>
                    </w:rPr>
                    <w:t>0.5</w:t>
                  </w:r>
                </w:p>
              </w:tc>
              <w:tc>
                <w:tcPr>
                  <w:tcW w:w="522" w:type="pct"/>
                  <w:vAlign w:val="center"/>
                </w:tcPr>
                <w:p>
                  <w:pPr>
                    <w:spacing w:line="240" w:lineRule="auto"/>
                    <w:jc w:val="center"/>
                    <w:rPr>
                      <w:color w:val="auto"/>
                      <w:szCs w:val="21"/>
                      <w:highlight w:val="none"/>
                    </w:rPr>
                  </w:pPr>
                  <w:r>
                    <w:rPr>
                      <w:rFonts w:hint="eastAsia"/>
                      <w:color w:val="auto"/>
                      <w:szCs w:val="21"/>
                      <w:highlight w:val="none"/>
                    </w:rPr>
                    <w:t>18.400</w:t>
                  </w:r>
                </w:p>
              </w:tc>
              <w:tc>
                <w:tcPr>
                  <w:tcW w:w="256" w:type="pct"/>
                  <w:vAlign w:val="center"/>
                </w:tcPr>
                <w:p>
                  <w:pPr>
                    <w:spacing w:line="240" w:lineRule="auto"/>
                    <w:jc w:val="center"/>
                    <w:rPr>
                      <w:color w:val="auto"/>
                      <w:szCs w:val="21"/>
                      <w:highlight w:val="none"/>
                    </w:rPr>
                  </w:pPr>
                  <w:r>
                    <w:rPr>
                      <w:color w:val="auto"/>
                      <w:szCs w:val="21"/>
                      <w:highlight w:val="none"/>
                    </w:rPr>
                    <w:t>25</w:t>
                  </w:r>
                </w:p>
              </w:tc>
              <w:tc>
                <w:tcPr>
                  <w:tcW w:w="543" w:type="pct"/>
                  <w:vAlign w:val="center"/>
                </w:tcPr>
                <w:p>
                  <w:pPr>
                    <w:spacing w:line="240" w:lineRule="auto"/>
                    <w:jc w:val="center"/>
                    <w:rPr>
                      <w:color w:val="auto"/>
                      <w:szCs w:val="21"/>
                      <w:highlight w:val="none"/>
                    </w:rPr>
                  </w:pPr>
                  <w:r>
                    <w:rPr>
                      <w:color w:val="auto"/>
                      <w:szCs w:val="21"/>
                      <w:highlight w:val="none"/>
                    </w:rPr>
                    <w:t>一般排</w:t>
                  </w:r>
                  <w:r>
                    <w:rPr>
                      <w:rFonts w:hint="eastAsia"/>
                      <w:color w:val="auto"/>
                      <w:szCs w:val="21"/>
                      <w:highlight w:val="none"/>
                    </w:rPr>
                    <w:t>放</w:t>
                  </w:r>
                  <w:r>
                    <w:rPr>
                      <w:color w:val="auto"/>
                      <w:szCs w:val="21"/>
                      <w:highlight w:val="none"/>
                    </w:rPr>
                    <w:t>口</w:t>
                  </w:r>
                </w:p>
              </w:tc>
            </w:tr>
          </w:tbl>
          <w:p>
            <w:pPr>
              <w:adjustRightInd w:val="0"/>
              <w:snapToGrid w:val="0"/>
              <w:rPr>
                <w:rFonts w:ascii="宋体" w:hAnsi="宋体" w:cs="宋体"/>
                <w:bCs/>
                <w:color w:val="auto"/>
                <w:spacing w:val="-10"/>
                <w:szCs w:val="21"/>
                <w:highlight w:val="none"/>
              </w:rPr>
            </w:pPr>
          </w:p>
        </w:tc>
      </w:tr>
    </w:tbl>
    <w:p>
      <w:pPr>
        <w:pStyle w:val="25"/>
        <w:spacing w:before="0" w:beforeAutospacing="0" w:after="156" w:afterLines="50" w:afterAutospacing="0"/>
        <w:jc w:val="center"/>
        <w:outlineLvl w:val="0"/>
        <w:rPr>
          <w:rFonts w:cs="黑体"/>
          <w:snapToGrid w:val="0"/>
          <w:color w:val="auto"/>
          <w:sz w:val="36"/>
          <w:szCs w:val="36"/>
          <w:highlight w:val="none"/>
        </w:rPr>
        <w:sectPr>
          <w:pgSz w:w="16838" w:h="11906" w:orient="landscape"/>
          <w:pgMar w:top="1531" w:right="1701" w:bottom="1531" w:left="1701" w:header="851" w:footer="851" w:gutter="0"/>
          <w:cols w:space="720" w:num="1"/>
          <w:docGrid w:type="lines" w:linePitch="312" w:charSpace="0"/>
        </w:sect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运营</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期环</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境影</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响和</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保护</w:t>
            </w:r>
          </w:p>
          <w:p>
            <w:pPr>
              <w:pStyle w:val="25"/>
              <w:adjustRightInd w:val="0"/>
              <w:snapToGrid w:val="0"/>
              <w:spacing w:before="0" w:beforeAutospacing="0" w:after="0" w:afterAutospacing="0"/>
              <w:jc w:val="center"/>
              <w:rPr>
                <w:rFonts w:ascii="Times New Roman" w:hAnsi="Times New Roman"/>
                <w:color w:val="auto"/>
                <w:kern w:val="2"/>
                <w:sz w:val="21"/>
                <w:szCs w:val="21"/>
                <w:highlight w:val="none"/>
              </w:rPr>
            </w:pPr>
            <w:r>
              <w:rPr>
                <w:rFonts w:ascii="Times New Roman" w:hAnsi="Times New Roman"/>
                <w:color w:val="auto"/>
                <w:kern w:val="2"/>
                <w:sz w:val="21"/>
                <w:szCs w:val="21"/>
                <w:highlight w:val="none"/>
              </w:rPr>
              <w:t>措</w:t>
            </w:r>
            <w:r>
              <w:rPr>
                <w:rFonts w:hint="eastAsia" w:ascii="Times New Roman" w:hAnsi="Times New Roman"/>
                <w:color w:val="auto"/>
                <w:kern w:val="2"/>
                <w:sz w:val="21"/>
                <w:szCs w:val="21"/>
                <w:highlight w:val="none"/>
              </w:rPr>
              <w:t>施</w:t>
            </w:r>
          </w:p>
        </w:tc>
        <w:tc>
          <w:tcPr>
            <w:tcW w:w="8526" w:type="dxa"/>
          </w:tcPr>
          <w:p>
            <w:pPr>
              <w:pStyle w:val="13"/>
              <w:ind w:left="0" w:firstLine="422" w:firstLineChars="200"/>
              <w:rPr>
                <w:b/>
                <w:color w:val="auto"/>
                <w:kern w:val="0"/>
                <w:szCs w:val="21"/>
                <w:highlight w:val="none"/>
              </w:rPr>
            </w:pPr>
            <w:r>
              <w:rPr>
                <w:b/>
                <w:color w:val="auto"/>
                <w:kern w:val="0"/>
                <w:szCs w:val="21"/>
                <w:highlight w:val="none"/>
              </w:rPr>
              <w:t>2、源强核算</w:t>
            </w:r>
          </w:p>
          <w:p>
            <w:pPr>
              <w:pStyle w:val="12"/>
              <w:ind w:firstLine="422" w:firstLineChars="200"/>
              <w:rPr>
                <w:b/>
                <w:color w:val="auto"/>
                <w:kern w:val="0"/>
                <w:sz w:val="21"/>
                <w:szCs w:val="21"/>
                <w:highlight w:val="none"/>
              </w:rPr>
            </w:pPr>
            <w:r>
              <w:rPr>
                <w:b/>
                <w:color w:val="auto"/>
                <w:kern w:val="0"/>
                <w:sz w:val="21"/>
                <w:szCs w:val="21"/>
                <w:highlight w:val="none"/>
              </w:rPr>
              <w:t>1）</w:t>
            </w:r>
            <w:r>
              <w:rPr>
                <w:rFonts w:hint="eastAsia"/>
                <w:b/>
                <w:color w:val="auto"/>
                <w:kern w:val="0"/>
                <w:sz w:val="21"/>
                <w:szCs w:val="21"/>
                <w:highlight w:val="none"/>
              </w:rPr>
              <w:t>投料</w:t>
            </w:r>
            <w:r>
              <w:rPr>
                <w:b/>
                <w:color w:val="auto"/>
                <w:kern w:val="0"/>
                <w:sz w:val="21"/>
                <w:szCs w:val="21"/>
                <w:highlight w:val="none"/>
              </w:rPr>
              <w:t>废气</w:t>
            </w:r>
          </w:p>
          <w:p>
            <w:pPr>
              <w:ind w:firstLine="420" w:firstLineChars="200"/>
              <w:rPr>
                <w:color w:val="auto"/>
                <w:kern w:val="0"/>
                <w:szCs w:val="21"/>
                <w:highlight w:val="none"/>
              </w:rPr>
            </w:pPr>
            <w:r>
              <w:rPr>
                <w:color w:val="auto"/>
                <w:kern w:val="0"/>
                <w:szCs w:val="21"/>
                <w:highlight w:val="none"/>
              </w:rPr>
              <w:t>本工艺</w:t>
            </w:r>
            <w:r>
              <w:rPr>
                <w:rFonts w:hint="eastAsia"/>
                <w:color w:val="auto"/>
                <w:kern w:val="0"/>
                <w:szCs w:val="21"/>
                <w:highlight w:val="none"/>
              </w:rPr>
              <w:t>生产过程中投料会</w:t>
            </w:r>
            <w:r>
              <w:rPr>
                <w:color w:val="auto"/>
                <w:kern w:val="0"/>
                <w:szCs w:val="21"/>
                <w:highlight w:val="none"/>
              </w:rPr>
              <w:t>产生一定量的颗粒物，</w:t>
            </w:r>
            <w:r>
              <w:rPr>
                <w:rFonts w:hint="eastAsia"/>
                <w:color w:val="auto"/>
                <w:kern w:val="0"/>
                <w:szCs w:val="21"/>
                <w:highlight w:val="none"/>
              </w:rPr>
              <w:t>参考《逸散性工业粉尘控制技术》（中国环境科学出版社）中石块和砾石逸散尘排放因子中卡车卸料的排放系数，其粉尘产生量按0.02kg/t（卸料）进行估算</w:t>
            </w:r>
            <w:r>
              <w:rPr>
                <w:color w:val="auto"/>
                <w:kern w:val="0"/>
                <w:szCs w:val="21"/>
                <w:highlight w:val="none"/>
              </w:rPr>
              <w:t>，</w:t>
            </w:r>
            <w:r>
              <w:rPr>
                <w:rFonts w:hint="eastAsia"/>
                <w:color w:val="auto"/>
                <w:kern w:val="0"/>
                <w:szCs w:val="21"/>
                <w:highlight w:val="none"/>
                <w:lang w:val="en-US" w:eastAsia="zh-CN"/>
              </w:rPr>
              <w:t>氢氧化钙</w:t>
            </w:r>
            <w:r>
              <w:rPr>
                <w:rFonts w:hint="eastAsia"/>
                <w:color w:val="auto"/>
                <w:kern w:val="0"/>
                <w:szCs w:val="21"/>
                <w:highlight w:val="none"/>
              </w:rPr>
              <w:t>石灰石原料为</w:t>
            </w:r>
            <w:r>
              <w:rPr>
                <w:rFonts w:hint="eastAsia"/>
                <w:color w:val="auto"/>
                <w:kern w:val="0"/>
                <w:szCs w:val="21"/>
                <w:highlight w:val="none"/>
                <w:lang w:val="en-US" w:eastAsia="zh-CN"/>
              </w:rPr>
              <w:t>8</w:t>
            </w:r>
            <w:r>
              <w:rPr>
                <w:rFonts w:hint="eastAsia"/>
                <w:color w:val="auto"/>
                <w:kern w:val="0"/>
                <w:szCs w:val="21"/>
                <w:highlight w:val="none"/>
              </w:rPr>
              <w:t>0000t/a，</w:t>
            </w:r>
            <w:r>
              <w:rPr>
                <w:rFonts w:hint="eastAsia"/>
                <w:color w:val="auto"/>
                <w:kern w:val="0"/>
                <w:szCs w:val="21"/>
                <w:highlight w:val="none"/>
                <w:lang w:val="en-US" w:eastAsia="zh-CN"/>
              </w:rPr>
              <w:t>氧化钙</w:t>
            </w:r>
            <w:r>
              <w:rPr>
                <w:rFonts w:hint="eastAsia"/>
                <w:color w:val="auto"/>
                <w:kern w:val="0"/>
                <w:szCs w:val="21"/>
                <w:highlight w:val="none"/>
              </w:rPr>
              <w:t>石灰石原料为</w:t>
            </w:r>
            <w:r>
              <w:rPr>
                <w:rFonts w:hint="eastAsia"/>
                <w:color w:val="auto"/>
                <w:kern w:val="0"/>
                <w:szCs w:val="21"/>
                <w:highlight w:val="none"/>
                <w:lang w:val="en-US" w:eastAsia="zh-CN"/>
              </w:rPr>
              <w:t>5</w:t>
            </w:r>
            <w:r>
              <w:rPr>
                <w:rFonts w:hint="eastAsia"/>
                <w:color w:val="auto"/>
                <w:kern w:val="0"/>
                <w:szCs w:val="21"/>
                <w:highlight w:val="none"/>
              </w:rPr>
              <w:t>0000t/a</w:t>
            </w:r>
            <w:r>
              <w:rPr>
                <w:rFonts w:hint="eastAsia"/>
                <w:color w:val="auto"/>
                <w:kern w:val="0"/>
                <w:szCs w:val="21"/>
                <w:highlight w:val="none"/>
                <w:lang w:eastAsia="zh-CN"/>
              </w:rPr>
              <w:t>，</w:t>
            </w:r>
            <w:r>
              <w:rPr>
                <w:rFonts w:hint="eastAsia"/>
                <w:color w:val="auto"/>
                <w:kern w:val="0"/>
                <w:szCs w:val="21"/>
                <w:highlight w:val="none"/>
              </w:rPr>
              <w:t>则投料</w:t>
            </w:r>
            <w:r>
              <w:rPr>
                <w:color w:val="auto"/>
                <w:kern w:val="0"/>
                <w:szCs w:val="21"/>
                <w:highlight w:val="none"/>
              </w:rPr>
              <w:t>过程颗粒物的产生量为</w:t>
            </w:r>
            <w:r>
              <w:rPr>
                <w:rFonts w:hint="eastAsia"/>
                <w:color w:val="auto"/>
                <w:kern w:val="0"/>
                <w:szCs w:val="21"/>
                <w:highlight w:val="none"/>
              </w:rPr>
              <w:t>2.</w:t>
            </w:r>
            <w:r>
              <w:rPr>
                <w:rFonts w:hint="eastAsia"/>
                <w:color w:val="auto"/>
                <w:kern w:val="0"/>
                <w:szCs w:val="21"/>
                <w:highlight w:val="none"/>
                <w:lang w:val="en-US" w:eastAsia="zh-CN"/>
              </w:rPr>
              <w:t>6</w:t>
            </w:r>
            <w:r>
              <w:rPr>
                <w:rFonts w:hint="eastAsia"/>
                <w:color w:val="auto"/>
                <w:kern w:val="0"/>
                <w:szCs w:val="21"/>
                <w:highlight w:val="none"/>
              </w:rPr>
              <w:t>t/a</w:t>
            </w:r>
            <w:r>
              <w:rPr>
                <w:color w:val="auto"/>
                <w:kern w:val="0"/>
                <w:szCs w:val="21"/>
                <w:highlight w:val="none"/>
              </w:rPr>
              <w:t>。</w:t>
            </w:r>
          </w:p>
          <w:p>
            <w:pPr>
              <w:ind w:firstLine="480"/>
              <w:rPr>
                <w:color w:val="auto"/>
                <w:kern w:val="0"/>
                <w:szCs w:val="21"/>
                <w:highlight w:val="none"/>
              </w:rPr>
            </w:pPr>
            <w:r>
              <w:rPr>
                <w:rFonts w:hint="eastAsia"/>
                <w:color w:val="auto"/>
                <w:kern w:val="0"/>
                <w:szCs w:val="21"/>
                <w:highlight w:val="none"/>
                <w:lang w:val="en-US" w:eastAsia="zh-CN"/>
              </w:rPr>
              <w:t>本项目3条生产线共用一个</w:t>
            </w:r>
            <w:r>
              <w:rPr>
                <w:rFonts w:hint="eastAsia"/>
                <w:color w:val="auto"/>
                <w:kern w:val="0"/>
                <w:szCs w:val="21"/>
                <w:highlight w:val="none"/>
              </w:rPr>
              <w:t>投料口</w:t>
            </w:r>
            <w:r>
              <w:rPr>
                <w:rFonts w:hint="eastAsia"/>
                <w:color w:val="auto"/>
                <w:kern w:val="0"/>
                <w:szCs w:val="21"/>
                <w:highlight w:val="none"/>
                <w:lang w:eastAsia="zh-CN"/>
              </w:rPr>
              <w:t>，</w:t>
            </w:r>
            <w:r>
              <w:rPr>
                <w:rFonts w:hint="eastAsia"/>
                <w:color w:val="auto"/>
                <w:kern w:val="0"/>
                <w:szCs w:val="21"/>
                <w:highlight w:val="none"/>
                <w:lang w:val="en-US" w:eastAsia="zh-CN"/>
              </w:rPr>
              <w:t>经料斗投料后分到3条生产线，投料口</w:t>
            </w:r>
            <w:r>
              <w:rPr>
                <w:rFonts w:hint="eastAsia"/>
                <w:color w:val="auto"/>
                <w:kern w:val="0"/>
                <w:szCs w:val="21"/>
                <w:highlight w:val="none"/>
              </w:rPr>
              <w:t>设置1个集气罩对颗粒物进行收集，</w:t>
            </w:r>
            <w:r>
              <w:rPr>
                <w:color w:val="auto"/>
                <w:highlight w:val="none"/>
              </w:rPr>
              <w:t>废气产生第一时间进行收集，可有效收集废气</w:t>
            </w:r>
            <w:r>
              <w:rPr>
                <w:rFonts w:hint="eastAsia"/>
                <w:color w:val="auto"/>
                <w:highlight w:val="none"/>
              </w:rPr>
              <w:t>，</w:t>
            </w:r>
            <w:r>
              <w:rPr>
                <w:rFonts w:hint="eastAsia"/>
                <w:color w:val="auto"/>
                <w:kern w:val="0"/>
                <w:szCs w:val="21"/>
                <w:highlight w:val="none"/>
              </w:rPr>
              <w:t>集气罩</w:t>
            </w:r>
            <w:r>
              <w:rPr>
                <w:color w:val="auto"/>
                <w:kern w:val="0"/>
                <w:szCs w:val="21"/>
                <w:highlight w:val="none"/>
              </w:rPr>
              <w:t>收集效率约为</w:t>
            </w:r>
            <w:r>
              <w:rPr>
                <w:rFonts w:hint="eastAsia"/>
                <w:color w:val="auto"/>
                <w:kern w:val="0"/>
                <w:szCs w:val="21"/>
                <w:highlight w:val="none"/>
              </w:rPr>
              <w:t>80</w:t>
            </w:r>
            <w:r>
              <w:rPr>
                <w:color w:val="auto"/>
                <w:kern w:val="0"/>
                <w:szCs w:val="21"/>
                <w:highlight w:val="none"/>
              </w:rPr>
              <w:t>%</w:t>
            </w:r>
            <w:r>
              <w:rPr>
                <w:rFonts w:hint="eastAsia"/>
                <w:color w:val="auto"/>
                <w:kern w:val="0"/>
                <w:szCs w:val="21"/>
                <w:highlight w:val="none"/>
              </w:rPr>
              <w:t>，收集后采用脉冲布袋除尘器进行处理</w:t>
            </w:r>
            <w:r>
              <w:rPr>
                <w:color w:val="auto"/>
                <w:kern w:val="0"/>
                <w:szCs w:val="21"/>
                <w:highlight w:val="none"/>
              </w:rPr>
              <w:t>后</w:t>
            </w:r>
            <w:r>
              <w:rPr>
                <w:rFonts w:hint="eastAsia"/>
                <w:color w:val="auto"/>
                <w:kern w:val="0"/>
                <w:szCs w:val="21"/>
                <w:highlight w:val="none"/>
              </w:rPr>
              <w:t>无组织排放，</w:t>
            </w:r>
            <w:r>
              <w:rPr>
                <w:color w:val="auto"/>
                <w:highlight w:val="none"/>
              </w:rPr>
              <w:t>参考《</w:t>
            </w:r>
            <w:r>
              <w:rPr>
                <w:rFonts w:hint="eastAsia"/>
                <w:color w:val="auto"/>
                <w:highlight w:val="none"/>
              </w:rPr>
              <w:t>3011水泥制造行业</w:t>
            </w:r>
            <w:r>
              <w:rPr>
                <w:color w:val="auto"/>
                <w:highlight w:val="none"/>
              </w:rPr>
              <w:t>》</w:t>
            </w:r>
            <w:r>
              <w:rPr>
                <w:rFonts w:hint="eastAsia"/>
                <w:color w:val="auto"/>
                <w:highlight w:val="none"/>
              </w:rPr>
              <w:t>-粉磨站</w:t>
            </w:r>
            <w:r>
              <w:rPr>
                <w:color w:val="auto"/>
                <w:highlight w:val="none"/>
              </w:rPr>
              <w:t>，袋式除尘效率可达99%，</w:t>
            </w:r>
            <w:r>
              <w:rPr>
                <w:rFonts w:hint="eastAsia"/>
                <w:color w:val="auto"/>
                <w:highlight w:val="none"/>
              </w:rPr>
              <w:t>保守考虑，</w:t>
            </w:r>
            <w:r>
              <w:rPr>
                <w:color w:val="auto"/>
                <w:highlight w:val="none"/>
              </w:rPr>
              <w:t>本项目取处理效率为9</w:t>
            </w:r>
            <w:r>
              <w:rPr>
                <w:rFonts w:hint="eastAsia"/>
                <w:color w:val="auto"/>
                <w:highlight w:val="none"/>
              </w:rPr>
              <w:t>5</w:t>
            </w:r>
            <w:r>
              <w:rPr>
                <w:color w:val="auto"/>
                <w:highlight w:val="none"/>
              </w:rPr>
              <w:t>%。</w:t>
            </w:r>
          </w:p>
          <w:p>
            <w:pPr>
              <w:ind w:firstLine="480"/>
              <w:rPr>
                <w:color w:val="auto"/>
                <w:highlight w:val="none"/>
              </w:rPr>
            </w:pPr>
            <w:r>
              <w:rPr>
                <w:color w:val="auto"/>
                <w:highlight w:val="none"/>
              </w:rPr>
              <w:t>项目</w:t>
            </w:r>
            <w:r>
              <w:rPr>
                <w:rFonts w:hint="eastAsia"/>
                <w:bCs/>
                <w:color w:val="auto"/>
                <w:kern w:val="0"/>
                <w:szCs w:val="21"/>
                <w:highlight w:val="none"/>
              </w:rPr>
              <w:t>投料</w:t>
            </w:r>
            <w:r>
              <w:rPr>
                <w:color w:val="auto"/>
                <w:highlight w:val="none"/>
              </w:rPr>
              <w:t>工序的年工作时间</w:t>
            </w:r>
            <w:r>
              <w:rPr>
                <w:rFonts w:hint="eastAsia"/>
                <w:color w:val="auto"/>
                <w:highlight w:val="none"/>
              </w:rPr>
              <w:t>为</w:t>
            </w:r>
            <w:r>
              <w:rPr>
                <w:color w:val="auto"/>
                <w:highlight w:val="none"/>
              </w:rPr>
              <w:t>2400小时。</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投料废气产排情况一览表</w:t>
            </w:r>
          </w:p>
          <w:tbl>
            <w:tblPr>
              <w:tblStyle w:val="28"/>
              <w:tblW w:w="5000" w:type="pct"/>
              <w:jc w:val="center"/>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570"/>
              <w:gridCol w:w="756"/>
              <w:gridCol w:w="520"/>
              <w:gridCol w:w="563"/>
              <w:gridCol w:w="714"/>
              <w:gridCol w:w="885"/>
              <w:gridCol w:w="682"/>
              <w:gridCol w:w="637"/>
              <w:gridCol w:w="598"/>
              <w:gridCol w:w="930"/>
              <w:gridCol w:w="749"/>
              <w:gridCol w:w="696"/>
            </w:tblGrid>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jc w:val="center"/>
              </w:trPr>
              <w:tc>
                <w:tcPr>
                  <w:tcW w:w="344" w:type="pct"/>
                  <w:tcBorders>
                    <w:right w:val="single" w:color="auto" w:sz="4" w:space="0"/>
                  </w:tcBorders>
                  <w:vAlign w:val="center"/>
                </w:tcPr>
                <w:p>
                  <w:pPr>
                    <w:autoSpaceDE w:val="0"/>
                    <w:spacing w:line="240" w:lineRule="auto"/>
                    <w:jc w:val="center"/>
                    <w:rPr>
                      <w:color w:val="auto"/>
                      <w:szCs w:val="21"/>
                      <w:highlight w:val="none"/>
                    </w:rPr>
                  </w:pPr>
                  <w:r>
                    <w:rPr>
                      <w:color w:val="auto"/>
                      <w:highlight w:val="none"/>
                    </w:rPr>
                    <w:t>污染源</w:t>
                  </w:r>
                </w:p>
              </w:tc>
              <w:tc>
                <w:tcPr>
                  <w:tcW w:w="456" w:type="pct"/>
                  <w:tcBorders>
                    <w:left w:val="single" w:color="auto" w:sz="4" w:space="0"/>
                  </w:tcBorders>
                  <w:vAlign w:val="center"/>
                </w:tcPr>
                <w:p>
                  <w:pPr>
                    <w:autoSpaceDE w:val="0"/>
                    <w:spacing w:line="240" w:lineRule="auto"/>
                    <w:jc w:val="center"/>
                    <w:rPr>
                      <w:color w:val="auto"/>
                      <w:highlight w:val="none"/>
                    </w:rPr>
                  </w:pPr>
                  <w:r>
                    <w:rPr>
                      <w:rFonts w:hint="eastAsia"/>
                      <w:color w:val="auto"/>
                      <w:highlight w:val="none"/>
                    </w:rPr>
                    <w:t>产品</w:t>
                  </w:r>
                </w:p>
              </w:tc>
              <w:tc>
                <w:tcPr>
                  <w:tcW w:w="313" w:type="pct"/>
                  <w:vAlign w:val="center"/>
                </w:tcPr>
                <w:p>
                  <w:pPr>
                    <w:autoSpaceDE w:val="0"/>
                    <w:spacing w:line="240" w:lineRule="auto"/>
                    <w:jc w:val="center"/>
                    <w:rPr>
                      <w:color w:val="auto"/>
                      <w:szCs w:val="21"/>
                      <w:highlight w:val="none"/>
                    </w:rPr>
                  </w:pPr>
                  <w:r>
                    <w:rPr>
                      <w:color w:val="auto"/>
                      <w:highlight w:val="none"/>
                    </w:rPr>
                    <w:t>污染物</w:t>
                  </w:r>
                </w:p>
              </w:tc>
              <w:tc>
                <w:tcPr>
                  <w:tcW w:w="769" w:type="pct"/>
                  <w:gridSpan w:val="2"/>
                  <w:tcBorders>
                    <w:right w:val="single" w:color="auto" w:sz="4" w:space="0"/>
                  </w:tcBorders>
                  <w:vAlign w:val="center"/>
                </w:tcPr>
                <w:p>
                  <w:pPr>
                    <w:autoSpaceDE w:val="0"/>
                    <w:spacing w:line="240" w:lineRule="auto"/>
                    <w:jc w:val="center"/>
                    <w:rPr>
                      <w:color w:val="auto"/>
                      <w:highlight w:val="none"/>
                    </w:rPr>
                  </w:pPr>
                  <w:r>
                    <w:rPr>
                      <w:rFonts w:hint="eastAsia"/>
                      <w:color w:val="auto"/>
                      <w:szCs w:val="21"/>
                      <w:highlight w:val="none"/>
                    </w:rPr>
                    <w:t>排放口</w:t>
                  </w:r>
                </w:p>
              </w:tc>
              <w:tc>
                <w:tcPr>
                  <w:tcW w:w="533" w:type="pct"/>
                  <w:tcBorders>
                    <w:left w:val="single" w:color="auto" w:sz="4" w:space="0"/>
                  </w:tcBorders>
                  <w:vAlign w:val="center"/>
                </w:tcPr>
                <w:p>
                  <w:pPr>
                    <w:autoSpaceDE w:val="0"/>
                    <w:spacing w:line="240" w:lineRule="auto"/>
                    <w:jc w:val="center"/>
                    <w:rPr>
                      <w:color w:val="auto"/>
                      <w:szCs w:val="21"/>
                      <w:highlight w:val="none"/>
                    </w:rPr>
                  </w:pPr>
                  <w:r>
                    <w:rPr>
                      <w:color w:val="auto"/>
                      <w:highlight w:val="none"/>
                    </w:rPr>
                    <w:t>产生浓度</w:t>
                  </w:r>
                </w:p>
                <w:p>
                  <w:pPr>
                    <w:autoSpaceDE w:val="0"/>
                    <w:spacing w:line="240" w:lineRule="auto"/>
                    <w:jc w:val="center"/>
                    <w:rPr>
                      <w:color w:val="auto"/>
                      <w:highlight w:val="none"/>
                    </w:rPr>
                  </w:pPr>
                  <w:r>
                    <w:rPr>
                      <w:color w:val="auto"/>
                      <w:highlight w:val="none"/>
                    </w:rPr>
                    <w:t>（mg/m</w:t>
                  </w:r>
                  <w:r>
                    <w:rPr>
                      <w:color w:val="auto"/>
                      <w:highlight w:val="none"/>
                      <w:vertAlign w:val="superscript"/>
                    </w:rPr>
                    <w:t>3</w:t>
                  </w:r>
                  <w:r>
                    <w:rPr>
                      <w:color w:val="auto"/>
                      <w:highlight w:val="none"/>
                    </w:rPr>
                    <w:t>）</w:t>
                  </w:r>
                </w:p>
              </w:tc>
              <w:tc>
                <w:tcPr>
                  <w:tcW w:w="411" w:type="pct"/>
                  <w:vAlign w:val="center"/>
                </w:tcPr>
                <w:p>
                  <w:pPr>
                    <w:autoSpaceDE w:val="0"/>
                    <w:spacing w:line="240" w:lineRule="auto"/>
                    <w:jc w:val="center"/>
                    <w:rPr>
                      <w:color w:val="auto"/>
                      <w:szCs w:val="21"/>
                      <w:highlight w:val="none"/>
                    </w:rPr>
                  </w:pPr>
                  <w:r>
                    <w:rPr>
                      <w:rFonts w:hint="eastAsia"/>
                      <w:color w:val="auto"/>
                      <w:highlight w:val="none"/>
                    </w:rPr>
                    <w:t>产生速率kg/h</w:t>
                  </w:r>
                </w:p>
              </w:tc>
              <w:tc>
                <w:tcPr>
                  <w:tcW w:w="384" w:type="pct"/>
                  <w:vAlign w:val="center"/>
                </w:tcPr>
                <w:p>
                  <w:pPr>
                    <w:autoSpaceDE w:val="0"/>
                    <w:spacing w:line="240" w:lineRule="auto"/>
                    <w:jc w:val="center"/>
                    <w:rPr>
                      <w:color w:val="auto"/>
                      <w:szCs w:val="21"/>
                      <w:highlight w:val="none"/>
                    </w:rPr>
                  </w:pPr>
                  <w:r>
                    <w:rPr>
                      <w:color w:val="auto"/>
                      <w:highlight w:val="none"/>
                    </w:rPr>
                    <w:t>产生量</w:t>
                  </w:r>
                </w:p>
                <w:p>
                  <w:pPr>
                    <w:autoSpaceDE w:val="0"/>
                    <w:spacing w:line="240" w:lineRule="auto"/>
                    <w:jc w:val="center"/>
                    <w:rPr>
                      <w:color w:val="auto"/>
                      <w:szCs w:val="21"/>
                      <w:highlight w:val="none"/>
                    </w:rPr>
                  </w:pPr>
                  <w:r>
                    <w:rPr>
                      <w:color w:val="auto"/>
                      <w:highlight w:val="none"/>
                    </w:rPr>
                    <w:t>（t/a）</w:t>
                  </w:r>
                </w:p>
              </w:tc>
              <w:tc>
                <w:tcPr>
                  <w:tcW w:w="360" w:type="pct"/>
                  <w:vAlign w:val="center"/>
                </w:tcPr>
                <w:p>
                  <w:pPr>
                    <w:autoSpaceDE w:val="0"/>
                    <w:spacing w:line="240" w:lineRule="auto"/>
                    <w:jc w:val="center"/>
                    <w:rPr>
                      <w:color w:val="auto"/>
                      <w:highlight w:val="none"/>
                    </w:rPr>
                  </w:pPr>
                  <w:r>
                    <w:rPr>
                      <w:color w:val="auto"/>
                      <w:highlight w:val="none"/>
                    </w:rPr>
                    <w:t>处理效率（%）</w:t>
                  </w:r>
                </w:p>
              </w:tc>
              <w:tc>
                <w:tcPr>
                  <w:tcW w:w="560" w:type="pct"/>
                  <w:vAlign w:val="center"/>
                </w:tcPr>
                <w:p>
                  <w:pPr>
                    <w:autoSpaceDE w:val="0"/>
                    <w:spacing w:line="240" w:lineRule="auto"/>
                    <w:jc w:val="center"/>
                    <w:rPr>
                      <w:color w:val="auto"/>
                      <w:szCs w:val="21"/>
                      <w:highlight w:val="none"/>
                    </w:rPr>
                  </w:pPr>
                  <w:r>
                    <w:rPr>
                      <w:color w:val="auto"/>
                      <w:highlight w:val="none"/>
                    </w:rPr>
                    <w:t>排放浓度</w:t>
                  </w:r>
                </w:p>
                <w:p>
                  <w:pPr>
                    <w:autoSpaceDE w:val="0"/>
                    <w:spacing w:line="240" w:lineRule="auto"/>
                    <w:jc w:val="center"/>
                    <w:rPr>
                      <w:color w:val="auto"/>
                      <w:szCs w:val="21"/>
                      <w:highlight w:val="none"/>
                    </w:rPr>
                  </w:pPr>
                  <w:r>
                    <w:rPr>
                      <w:color w:val="auto"/>
                      <w:highlight w:val="none"/>
                    </w:rPr>
                    <w:t>（mg/m</w:t>
                  </w:r>
                  <w:r>
                    <w:rPr>
                      <w:color w:val="auto"/>
                      <w:highlight w:val="none"/>
                      <w:vertAlign w:val="superscript"/>
                    </w:rPr>
                    <w:t>3</w:t>
                  </w:r>
                  <w:r>
                    <w:rPr>
                      <w:color w:val="auto"/>
                      <w:highlight w:val="none"/>
                    </w:rPr>
                    <w:t>）</w:t>
                  </w:r>
                </w:p>
              </w:tc>
              <w:tc>
                <w:tcPr>
                  <w:tcW w:w="445" w:type="pct"/>
                  <w:vAlign w:val="center"/>
                </w:tcPr>
                <w:p>
                  <w:pPr>
                    <w:autoSpaceDE w:val="0"/>
                    <w:spacing w:line="240" w:lineRule="auto"/>
                    <w:jc w:val="center"/>
                    <w:rPr>
                      <w:color w:val="auto"/>
                      <w:szCs w:val="21"/>
                      <w:highlight w:val="none"/>
                    </w:rPr>
                  </w:pPr>
                  <w:r>
                    <w:rPr>
                      <w:rFonts w:hint="eastAsia"/>
                      <w:color w:val="auto"/>
                      <w:szCs w:val="21"/>
                      <w:highlight w:val="none"/>
                    </w:rPr>
                    <w:t>排放速率kg/h</w:t>
                  </w:r>
                </w:p>
              </w:tc>
              <w:tc>
                <w:tcPr>
                  <w:tcW w:w="419" w:type="pct"/>
                  <w:vAlign w:val="center"/>
                </w:tcPr>
                <w:p>
                  <w:pPr>
                    <w:autoSpaceDE w:val="0"/>
                    <w:spacing w:line="240" w:lineRule="auto"/>
                    <w:jc w:val="center"/>
                    <w:rPr>
                      <w:color w:val="auto"/>
                      <w:szCs w:val="21"/>
                      <w:highlight w:val="none"/>
                    </w:rPr>
                  </w:pPr>
                  <w:r>
                    <w:rPr>
                      <w:color w:val="auto"/>
                      <w:highlight w:val="none"/>
                    </w:rPr>
                    <w:t>排放量</w:t>
                  </w:r>
                </w:p>
                <w:p>
                  <w:pPr>
                    <w:autoSpaceDE w:val="0"/>
                    <w:spacing w:line="240" w:lineRule="auto"/>
                    <w:jc w:val="center"/>
                    <w:rPr>
                      <w:color w:val="auto"/>
                      <w:szCs w:val="21"/>
                      <w:highlight w:val="none"/>
                    </w:rPr>
                  </w:pPr>
                  <w:r>
                    <w:rPr>
                      <w:color w:val="auto"/>
                      <w:highlight w:val="none"/>
                    </w:rPr>
                    <w:t>（t/a）</w:t>
                  </w:r>
                </w:p>
              </w:tc>
            </w:tr>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80" w:hRule="atLeast"/>
                <w:jc w:val="center"/>
              </w:trPr>
              <w:tc>
                <w:tcPr>
                  <w:tcW w:w="344" w:type="pct"/>
                  <w:vMerge w:val="restart"/>
                  <w:tcBorders>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投料废气</w:t>
                  </w:r>
                </w:p>
              </w:tc>
              <w:tc>
                <w:tcPr>
                  <w:tcW w:w="456" w:type="pct"/>
                  <w:vMerge w:val="restart"/>
                  <w:tcBorders>
                    <w:lef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氢氧化钙、氧化钙</w:t>
                  </w:r>
                </w:p>
              </w:tc>
              <w:tc>
                <w:tcPr>
                  <w:tcW w:w="313" w:type="pct"/>
                  <w:vMerge w:val="restart"/>
                  <w:vAlign w:val="center"/>
                </w:tcPr>
                <w:p>
                  <w:pPr>
                    <w:autoSpaceDE w:val="0"/>
                    <w:spacing w:line="240" w:lineRule="auto"/>
                    <w:jc w:val="center"/>
                    <w:rPr>
                      <w:color w:val="auto"/>
                      <w:szCs w:val="21"/>
                      <w:highlight w:val="none"/>
                    </w:rPr>
                  </w:pPr>
                  <w:r>
                    <w:rPr>
                      <w:rFonts w:hint="eastAsia"/>
                      <w:color w:val="auto"/>
                      <w:szCs w:val="21"/>
                      <w:highlight w:val="none"/>
                    </w:rPr>
                    <w:t>颗粒物</w:t>
                  </w:r>
                </w:p>
              </w:tc>
              <w:tc>
                <w:tcPr>
                  <w:tcW w:w="339" w:type="pct"/>
                  <w:vMerge w:val="restart"/>
                  <w:tcBorders>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无组织</w:t>
                  </w:r>
                </w:p>
              </w:tc>
              <w:tc>
                <w:tcPr>
                  <w:tcW w:w="429" w:type="pct"/>
                  <w:tcBorders>
                    <w:left w:val="single" w:color="auto" w:sz="4" w:space="0"/>
                    <w:right w:val="single" w:color="auto" w:sz="4" w:space="0"/>
                  </w:tcBorders>
                  <w:vAlign w:val="center"/>
                </w:tcPr>
                <w:p>
                  <w:pPr>
                    <w:autoSpaceDE w:val="0"/>
                    <w:spacing w:line="240" w:lineRule="auto"/>
                    <w:jc w:val="center"/>
                    <w:rPr>
                      <w:color w:val="auto"/>
                      <w:highlight w:val="none"/>
                    </w:rPr>
                  </w:pPr>
                  <w:r>
                    <w:rPr>
                      <w:rFonts w:hint="eastAsia"/>
                      <w:color w:val="auto"/>
                      <w:szCs w:val="21"/>
                      <w:highlight w:val="none"/>
                    </w:rPr>
                    <w:t>有收集处理</w:t>
                  </w:r>
                </w:p>
              </w:tc>
              <w:tc>
                <w:tcPr>
                  <w:tcW w:w="533" w:type="pct"/>
                  <w:tcBorders>
                    <w:left w:val="single" w:color="auto" w:sz="4" w:space="0"/>
                  </w:tcBorders>
                  <w:vAlign w:val="center"/>
                </w:tcPr>
                <w:p>
                  <w:pPr>
                    <w:jc w:val="center"/>
                    <w:textAlignment w:val="center"/>
                    <w:rPr>
                      <w:color w:val="auto"/>
                      <w:highlight w:val="none"/>
                    </w:rPr>
                  </w:pPr>
                  <w:r>
                    <w:rPr>
                      <w:color w:val="auto"/>
                      <w:kern w:val="0"/>
                      <w:szCs w:val="21"/>
                      <w:highlight w:val="none"/>
                      <w:lang w:bidi="ar"/>
                    </w:rPr>
                    <w:t>/</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0.867 </w:t>
                  </w:r>
                </w:p>
              </w:tc>
              <w:tc>
                <w:tcPr>
                  <w:tcW w:w="6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2.08</w:t>
                  </w:r>
                </w:p>
              </w:tc>
              <w:tc>
                <w:tcPr>
                  <w:tcW w:w="360" w:type="pct"/>
                  <w:vAlign w:val="center"/>
                </w:tcPr>
                <w:p>
                  <w:pPr>
                    <w:spacing w:line="240" w:lineRule="auto"/>
                    <w:jc w:val="center"/>
                    <w:textAlignment w:val="center"/>
                    <w:rPr>
                      <w:color w:val="auto"/>
                      <w:highlight w:val="none"/>
                    </w:rPr>
                  </w:pPr>
                  <w:r>
                    <w:rPr>
                      <w:color w:val="auto"/>
                      <w:kern w:val="0"/>
                      <w:szCs w:val="21"/>
                      <w:highlight w:val="none"/>
                      <w:lang w:bidi="ar"/>
                    </w:rPr>
                    <w:t>95</w:t>
                  </w:r>
                </w:p>
              </w:tc>
              <w:tc>
                <w:tcPr>
                  <w:tcW w:w="560" w:type="pct"/>
                  <w:vAlign w:val="center"/>
                </w:tcPr>
                <w:p>
                  <w:pPr>
                    <w:spacing w:line="240" w:lineRule="auto"/>
                    <w:jc w:val="center"/>
                    <w:textAlignment w:val="center"/>
                    <w:rPr>
                      <w:color w:val="auto"/>
                      <w:highlight w:val="none"/>
                    </w:rPr>
                  </w:pPr>
                  <w:r>
                    <w:rPr>
                      <w:color w:val="auto"/>
                      <w:kern w:val="0"/>
                      <w:szCs w:val="21"/>
                      <w:highlight w:val="none"/>
                      <w:lang w:bidi="ar"/>
                    </w:rPr>
                    <w:t>/</w:t>
                  </w:r>
                </w:p>
              </w:tc>
              <w:tc>
                <w:tcPr>
                  <w:tcW w:w="747"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0.043 </w:t>
                  </w:r>
                </w:p>
              </w:tc>
              <w:tc>
                <w:tcPr>
                  <w:tcW w:w="0" w:type="dxa"/>
                  <w:vAlign w:val="center"/>
                </w:tcPr>
                <w:p>
                  <w:pPr>
                    <w:keepNext w:val="0"/>
                    <w:keepLines w:val="0"/>
                    <w:widowControl/>
                    <w:suppressLineNumbers w:val="0"/>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0.104</w:t>
                  </w:r>
                </w:p>
              </w:tc>
            </w:tr>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44" w:type="pct"/>
                  <w:vMerge w:val="continue"/>
                  <w:tcBorders>
                    <w:right w:val="single" w:color="auto" w:sz="4" w:space="0"/>
                  </w:tcBorders>
                  <w:vAlign w:val="center"/>
                </w:tcPr>
                <w:p>
                  <w:pPr>
                    <w:autoSpaceDE w:val="0"/>
                    <w:spacing w:line="240" w:lineRule="auto"/>
                    <w:jc w:val="center"/>
                    <w:rPr>
                      <w:color w:val="auto"/>
                      <w:szCs w:val="21"/>
                      <w:highlight w:val="none"/>
                    </w:rPr>
                  </w:pPr>
                </w:p>
              </w:tc>
              <w:tc>
                <w:tcPr>
                  <w:tcW w:w="456" w:type="pct"/>
                  <w:vMerge w:val="continue"/>
                  <w:tcBorders>
                    <w:left w:val="single" w:color="auto" w:sz="4" w:space="0"/>
                  </w:tcBorders>
                  <w:vAlign w:val="center"/>
                </w:tcPr>
                <w:p>
                  <w:pPr>
                    <w:autoSpaceDE w:val="0"/>
                    <w:spacing w:line="240" w:lineRule="auto"/>
                    <w:jc w:val="center"/>
                    <w:rPr>
                      <w:color w:val="auto"/>
                      <w:szCs w:val="21"/>
                      <w:highlight w:val="none"/>
                    </w:rPr>
                  </w:pPr>
                </w:p>
              </w:tc>
              <w:tc>
                <w:tcPr>
                  <w:tcW w:w="313" w:type="pct"/>
                  <w:vMerge w:val="continue"/>
                  <w:vAlign w:val="center"/>
                </w:tcPr>
                <w:p>
                  <w:pPr>
                    <w:autoSpaceDE w:val="0"/>
                    <w:spacing w:line="240" w:lineRule="auto"/>
                    <w:jc w:val="center"/>
                    <w:rPr>
                      <w:color w:val="auto"/>
                      <w:szCs w:val="21"/>
                      <w:highlight w:val="none"/>
                    </w:rPr>
                  </w:pPr>
                </w:p>
              </w:tc>
              <w:tc>
                <w:tcPr>
                  <w:tcW w:w="339" w:type="pct"/>
                  <w:vMerge w:val="continue"/>
                  <w:tcBorders>
                    <w:right w:val="single" w:color="auto" w:sz="4" w:space="0"/>
                  </w:tcBorders>
                  <w:vAlign w:val="center"/>
                </w:tcPr>
                <w:p>
                  <w:pPr>
                    <w:spacing w:line="240" w:lineRule="auto"/>
                    <w:jc w:val="center"/>
                    <w:rPr>
                      <w:color w:val="auto"/>
                      <w:szCs w:val="21"/>
                      <w:highlight w:val="none"/>
                    </w:rPr>
                  </w:pPr>
                </w:p>
              </w:tc>
              <w:tc>
                <w:tcPr>
                  <w:tcW w:w="429" w:type="pct"/>
                  <w:tcBorders>
                    <w:left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color w:val="auto"/>
                      <w:szCs w:val="21"/>
                      <w:highlight w:val="none"/>
                    </w:rPr>
                    <w:t>未收集处理</w:t>
                  </w:r>
                </w:p>
              </w:tc>
              <w:tc>
                <w:tcPr>
                  <w:tcW w:w="533" w:type="pct"/>
                  <w:tcBorders>
                    <w:left w:val="single" w:color="auto" w:sz="4" w:space="0"/>
                  </w:tcBorders>
                  <w:vAlign w:val="bottom"/>
                </w:tcPr>
                <w:p>
                  <w:pPr>
                    <w:jc w:val="center"/>
                    <w:textAlignment w:val="bottom"/>
                    <w:rPr>
                      <w:color w:val="auto"/>
                      <w:szCs w:val="21"/>
                      <w:highlight w:val="none"/>
                    </w:rPr>
                  </w:pPr>
                  <w:r>
                    <w:rPr>
                      <w:color w:val="auto"/>
                      <w:kern w:val="0"/>
                      <w:szCs w:val="21"/>
                      <w:highlight w:val="none"/>
                      <w:lang w:bidi="ar"/>
                    </w:rPr>
                    <w:t>/</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0.217 </w:t>
                  </w:r>
                </w:p>
              </w:tc>
              <w:tc>
                <w:tcPr>
                  <w:tcW w:w="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0.52</w:t>
                  </w:r>
                </w:p>
              </w:tc>
              <w:tc>
                <w:tcPr>
                  <w:tcW w:w="360" w:type="pct"/>
                  <w:vAlign w:val="center"/>
                </w:tcPr>
                <w:p>
                  <w:pPr>
                    <w:spacing w:line="240" w:lineRule="auto"/>
                    <w:jc w:val="center"/>
                    <w:textAlignment w:val="bottom"/>
                    <w:rPr>
                      <w:color w:val="auto"/>
                      <w:szCs w:val="21"/>
                      <w:highlight w:val="none"/>
                    </w:rPr>
                  </w:pPr>
                  <w:r>
                    <w:rPr>
                      <w:color w:val="auto"/>
                      <w:kern w:val="0"/>
                      <w:szCs w:val="21"/>
                      <w:highlight w:val="none"/>
                      <w:lang w:bidi="ar"/>
                    </w:rPr>
                    <w:t>/</w:t>
                  </w:r>
                </w:p>
              </w:tc>
              <w:tc>
                <w:tcPr>
                  <w:tcW w:w="560" w:type="pct"/>
                  <w:vAlign w:val="center"/>
                </w:tcPr>
                <w:p>
                  <w:pPr>
                    <w:spacing w:line="240" w:lineRule="auto"/>
                    <w:jc w:val="center"/>
                    <w:textAlignment w:val="bottom"/>
                    <w:rPr>
                      <w:color w:val="auto"/>
                      <w:szCs w:val="21"/>
                      <w:highlight w:val="none"/>
                    </w:rPr>
                  </w:pPr>
                  <w:r>
                    <w:rPr>
                      <w:color w:val="auto"/>
                      <w:kern w:val="0"/>
                      <w:szCs w:val="21"/>
                      <w:highlight w:val="none"/>
                      <w:lang w:bidi="ar"/>
                    </w:rPr>
                    <w:t>/</w:t>
                  </w:r>
                </w:p>
              </w:tc>
              <w:tc>
                <w:tcPr>
                  <w:tcW w:w="747" w:type="dxa"/>
                  <w:vAlign w:val="center"/>
                </w:tcPr>
                <w:p>
                  <w:pPr>
                    <w:keepNext w:val="0"/>
                    <w:keepLines w:val="0"/>
                    <w:widowControl/>
                    <w:suppressLineNumbers w:val="0"/>
                    <w:jc w:val="center"/>
                    <w:textAlignment w:val="center"/>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0.217 </w:t>
                  </w:r>
                </w:p>
              </w:tc>
              <w:tc>
                <w:tcPr>
                  <w:tcW w:w="0" w:type="dxa"/>
                  <w:vAlign w:val="center"/>
                </w:tcPr>
                <w:p>
                  <w:pPr>
                    <w:keepNext w:val="0"/>
                    <w:keepLines w:val="0"/>
                    <w:widowControl/>
                    <w:suppressLineNumbers w:val="0"/>
                    <w:jc w:val="center"/>
                    <w:textAlignment w:val="bottom"/>
                    <w:rPr>
                      <w:color w:val="auto"/>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0.52</w:t>
                  </w:r>
                </w:p>
              </w:tc>
            </w:tr>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580" w:type="pct"/>
                  <w:gridSpan w:val="11"/>
                  <w:vAlign w:val="center"/>
                </w:tcPr>
                <w:p>
                  <w:pPr>
                    <w:spacing w:line="240" w:lineRule="auto"/>
                    <w:jc w:val="center"/>
                    <w:textAlignment w:val="center"/>
                    <w:rPr>
                      <w:color w:val="auto"/>
                      <w:kern w:val="0"/>
                      <w:szCs w:val="21"/>
                      <w:highlight w:val="none"/>
                      <w:lang w:bidi="ar"/>
                    </w:rPr>
                  </w:pPr>
                  <w:r>
                    <w:rPr>
                      <w:rFonts w:hint="eastAsia"/>
                      <w:color w:val="auto"/>
                      <w:kern w:val="0"/>
                      <w:szCs w:val="21"/>
                      <w:highlight w:val="none"/>
                      <w:lang w:bidi="ar"/>
                    </w:rPr>
                    <w:t>合计</w:t>
                  </w:r>
                </w:p>
              </w:tc>
              <w:tc>
                <w:tcPr>
                  <w:tcW w:w="419" w:type="pct"/>
                  <w:vAlign w:val="center"/>
                </w:tcPr>
                <w:p>
                  <w:pPr>
                    <w:spacing w:line="240" w:lineRule="auto"/>
                    <w:jc w:val="center"/>
                    <w:textAlignment w:val="bottom"/>
                    <w:rPr>
                      <w:rFonts w:hint="default" w:eastAsia="宋体"/>
                      <w:color w:val="auto"/>
                      <w:kern w:val="0"/>
                      <w:szCs w:val="21"/>
                      <w:highlight w:val="none"/>
                      <w:lang w:val="en-US" w:eastAsia="zh-CN" w:bidi="ar"/>
                    </w:rPr>
                  </w:pPr>
                  <w:r>
                    <w:rPr>
                      <w:rFonts w:hint="eastAsia"/>
                      <w:color w:val="auto"/>
                      <w:kern w:val="0"/>
                      <w:szCs w:val="21"/>
                      <w:highlight w:val="none"/>
                      <w:lang w:bidi="ar"/>
                    </w:rPr>
                    <w:t>0.</w:t>
                  </w:r>
                  <w:r>
                    <w:rPr>
                      <w:rFonts w:hint="eastAsia"/>
                      <w:color w:val="auto"/>
                      <w:kern w:val="0"/>
                      <w:szCs w:val="21"/>
                      <w:highlight w:val="none"/>
                      <w:lang w:val="en-US" w:eastAsia="zh-CN" w:bidi="ar"/>
                    </w:rPr>
                    <w:t>624</w:t>
                  </w:r>
                </w:p>
              </w:tc>
            </w:tr>
          </w:tbl>
          <w:p>
            <w:pPr>
              <w:pStyle w:val="2"/>
              <w:ind w:firstLine="422" w:firstLineChars="200"/>
              <w:rPr>
                <w:b/>
                <w:color w:val="auto"/>
                <w:kern w:val="0"/>
                <w:szCs w:val="21"/>
                <w:highlight w:val="none"/>
              </w:rPr>
            </w:pPr>
            <w:r>
              <w:rPr>
                <w:rFonts w:hint="eastAsia"/>
                <w:b/>
                <w:color w:val="auto"/>
                <w:kern w:val="0"/>
                <w:szCs w:val="21"/>
                <w:highlight w:val="none"/>
              </w:rPr>
              <w:t>2）</w:t>
            </w:r>
            <w:r>
              <w:rPr>
                <w:rFonts w:hint="eastAsia" w:cs="Times New Roman"/>
                <w:b/>
                <w:bCs/>
                <w:color w:val="auto"/>
                <w:szCs w:val="21"/>
                <w:highlight w:val="none"/>
              </w:rPr>
              <w:t>消化</w:t>
            </w:r>
            <w:r>
              <w:rPr>
                <w:rFonts w:hint="eastAsia"/>
                <w:b/>
                <w:color w:val="auto"/>
                <w:kern w:val="0"/>
                <w:szCs w:val="21"/>
                <w:highlight w:val="none"/>
              </w:rPr>
              <w:t>废气：</w:t>
            </w:r>
          </w:p>
          <w:p>
            <w:pPr>
              <w:ind w:firstLine="420" w:firstLineChars="200"/>
              <w:rPr>
                <w:color w:val="auto"/>
                <w:highlight w:val="none"/>
              </w:rPr>
            </w:pPr>
            <w:r>
              <w:rPr>
                <w:rFonts w:hint="eastAsia"/>
                <w:color w:val="auto"/>
                <w:highlight w:val="none"/>
              </w:rPr>
              <w:t>氢氧化钙生产线中，石灰在加水消化过程中，会产生大量的“热水蒸气体”，而热水蒸气体在上升散发时夹带一定数量的“氢氧化钙粉尘”，形成“白色污染”，即消化过程中会产生颗粒物。消化为三级消化，一级消化过后的物料通过密闭装置依次进入二级消化器与三级消化器，二、三级消化器自带脉冲布袋除尘器，</w:t>
            </w:r>
            <w:r>
              <w:rPr>
                <w:color w:val="auto"/>
                <w:highlight w:val="none"/>
              </w:rPr>
              <w:t>一、二级消化过程产生的粉尘通过管道进入</w:t>
            </w:r>
            <w:r>
              <w:rPr>
                <w:rFonts w:hint="eastAsia"/>
                <w:color w:val="auto"/>
                <w:highlight w:val="none"/>
              </w:rPr>
              <w:t>1</w:t>
            </w:r>
            <w:r>
              <w:rPr>
                <w:color w:val="auto"/>
                <w:highlight w:val="none"/>
              </w:rPr>
              <w:t>#</w:t>
            </w:r>
            <w:r>
              <w:rPr>
                <w:rFonts w:hint="eastAsia"/>
                <w:color w:val="auto"/>
                <w:highlight w:val="none"/>
              </w:rPr>
              <w:t>脉冲布袋除尘器</w:t>
            </w:r>
            <w:r>
              <w:rPr>
                <w:color w:val="auto"/>
                <w:highlight w:val="none"/>
              </w:rPr>
              <w:t>进行处理</w:t>
            </w:r>
            <w:r>
              <w:rPr>
                <w:rFonts w:hint="eastAsia"/>
                <w:color w:val="auto"/>
                <w:highlight w:val="none"/>
              </w:rPr>
              <w:t>，</w:t>
            </w:r>
            <w:r>
              <w:rPr>
                <w:color w:val="auto"/>
                <w:highlight w:val="none"/>
              </w:rPr>
              <w:t>三级消化过程产生的粉尘通过管道进入</w:t>
            </w:r>
            <w:r>
              <w:rPr>
                <w:rFonts w:hint="eastAsia"/>
                <w:color w:val="auto"/>
                <w:highlight w:val="none"/>
              </w:rPr>
              <w:t>2</w:t>
            </w:r>
            <w:r>
              <w:rPr>
                <w:color w:val="auto"/>
                <w:highlight w:val="none"/>
              </w:rPr>
              <w:t>#</w:t>
            </w:r>
            <w:r>
              <w:rPr>
                <w:rFonts w:hint="eastAsia"/>
                <w:color w:val="auto"/>
                <w:highlight w:val="none"/>
              </w:rPr>
              <w:t>脉冲布袋除尘器</w:t>
            </w:r>
            <w:r>
              <w:rPr>
                <w:color w:val="auto"/>
                <w:highlight w:val="none"/>
              </w:rPr>
              <w:t>进行处理</w:t>
            </w:r>
            <w:r>
              <w:rPr>
                <w:rFonts w:hint="eastAsia"/>
                <w:color w:val="auto"/>
                <w:highlight w:val="none"/>
              </w:rPr>
              <w:t>。</w:t>
            </w:r>
          </w:p>
          <w:p>
            <w:pPr>
              <w:ind w:firstLine="420" w:firstLineChars="200"/>
              <w:rPr>
                <w:color w:val="auto"/>
                <w:highlight w:val="none"/>
              </w:rPr>
            </w:pPr>
            <w:r>
              <w:rPr>
                <w:color w:val="auto"/>
                <w:highlight w:val="none"/>
              </w:rPr>
              <w:t>参考《排放源统计调查产排污核算方法和系数手册》</w:t>
            </w:r>
            <w:r>
              <w:rPr>
                <w:rFonts w:hint="eastAsia"/>
                <w:color w:val="auto"/>
                <w:highlight w:val="none"/>
              </w:rPr>
              <w:t>，消化工序无对应系数，故本项目类比《</w:t>
            </w:r>
            <w:bookmarkStart w:id="3" w:name="_Hlk44948448"/>
            <w:r>
              <w:rPr>
                <w:rFonts w:hint="eastAsia"/>
                <w:color w:val="auto"/>
                <w:highlight w:val="none"/>
              </w:rPr>
              <w:t>襄汾县云恒氢氧化钙加工厂</w:t>
            </w:r>
            <w:bookmarkEnd w:id="3"/>
            <w:r>
              <w:rPr>
                <w:rFonts w:hint="eastAsia"/>
                <w:color w:val="auto"/>
                <w:highlight w:val="none"/>
              </w:rPr>
              <w:t>年</w:t>
            </w:r>
            <w:r>
              <w:rPr>
                <w:color w:val="auto"/>
                <w:highlight w:val="none"/>
              </w:rPr>
              <w:t>加工1万吨氢氧化钙建设项目竣工环境保护验收报告》</w:t>
            </w:r>
            <w:r>
              <w:rPr>
                <w:rFonts w:hint="eastAsia"/>
                <w:color w:val="auto"/>
                <w:highlight w:val="none"/>
              </w:rPr>
              <w:t>监测数据进行分析。</w:t>
            </w:r>
          </w:p>
          <w:p>
            <w:pPr>
              <w:ind w:firstLine="480"/>
              <w:rPr>
                <w:color w:val="auto"/>
                <w:kern w:val="0"/>
                <w:szCs w:val="21"/>
                <w:highlight w:val="none"/>
              </w:rPr>
            </w:pPr>
            <w:r>
              <w:rPr>
                <w:rFonts w:hint="eastAsia"/>
                <w:color w:val="auto"/>
                <w:kern w:val="0"/>
                <w:szCs w:val="21"/>
                <w:highlight w:val="none"/>
              </w:rPr>
              <w:t>类比可行性分析：</w:t>
            </w:r>
          </w:p>
          <w:p>
            <w:pPr>
              <w:pStyle w:val="46"/>
              <w:numPr>
                <w:ilvl w:val="8"/>
                <w:numId w:val="8"/>
              </w:numPr>
              <w:autoSpaceDE w:val="0"/>
              <w:autoSpaceDN w:val="0"/>
              <w:adjustRightInd w:val="0"/>
              <w:snapToGrid w:val="0"/>
              <w:spacing w:line="240" w:lineRule="auto"/>
              <w:ind w:firstLineChars="0"/>
              <w:jc w:val="center"/>
              <w:rPr>
                <w:b/>
                <w:bCs/>
                <w:color w:val="auto"/>
                <w:highlight w:val="none"/>
              </w:rPr>
            </w:pPr>
            <w:r>
              <w:rPr>
                <w:rFonts w:hint="eastAsia"/>
                <w:b/>
                <w:bCs/>
                <w:color w:val="auto"/>
                <w:highlight w:val="none"/>
              </w:rPr>
              <w:t>可类比性分析表</w:t>
            </w:r>
          </w:p>
          <w:tbl>
            <w:tblPr>
              <w:tblStyle w:val="28"/>
              <w:tblW w:w="5000" w:type="pct"/>
              <w:jc w:val="center"/>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776"/>
              <w:gridCol w:w="1297"/>
              <w:gridCol w:w="1852"/>
              <w:gridCol w:w="1737"/>
              <w:gridCol w:w="1638"/>
            </w:tblGrid>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jc w:val="center"/>
              </w:trPr>
              <w:tc>
                <w:tcPr>
                  <w:tcW w:w="1069" w:type="pct"/>
                  <w:tcBorders>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项目</w:t>
                  </w:r>
                </w:p>
              </w:tc>
              <w:tc>
                <w:tcPr>
                  <w:tcW w:w="781" w:type="pct"/>
                  <w:tcBorders>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产品</w:t>
                  </w:r>
                </w:p>
              </w:tc>
              <w:tc>
                <w:tcPr>
                  <w:tcW w:w="1115" w:type="pct"/>
                  <w:tcBorders>
                    <w:lef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工艺</w:t>
                  </w:r>
                </w:p>
              </w:tc>
              <w:tc>
                <w:tcPr>
                  <w:tcW w:w="1046" w:type="pct"/>
                  <w:tcBorders>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处理工艺</w:t>
                  </w:r>
                </w:p>
              </w:tc>
              <w:tc>
                <w:tcPr>
                  <w:tcW w:w="987" w:type="pct"/>
                  <w:vAlign w:val="center"/>
                </w:tcPr>
                <w:p>
                  <w:pPr>
                    <w:autoSpaceDE w:val="0"/>
                    <w:spacing w:line="240" w:lineRule="auto"/>
                    <w:jc w:val="center"/>
                    <w:rPr>
                      <w:color w:val="auto"/>
                      <w:szCs w:val="21"/>
                      <w:highlight w:val="none"/>
                    </w:rPr>
                  </w:pPr>
                  <w:r>
                    <w:rPr>
                      <w:rFonts w:hint="eastAsia"/>
                      <w:color w:val="auto"/>
                      <w:szCs w:val="21"/>
                      <w:highlight w:val="none"/>
                    </w:rPr>
                    <w:t>可类比性</w:t>
                  </w:r>
                </w:p>
              </w:tc>
            </w:tr>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jc w:val="center"/>
              </w:trPr>
              <w:tc>
                <w:tcPr>
                  <w:tcW w:w="1069" w:type="pct"/>
                  <w:tcBorders>
                    <w:bottom w:val="single" w:color="auto" w:sz="4" w:space="0"/>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襄汾县云恒氢氧化钙加工厂年加工1万吨氢氧化钙建设项目</w:t>
                  </w:r>
                </w:p>
              </w:tc>
              <w:tc>
                <w:tcPr>
                  <w:tcW w:w="781" w:type="pct"/>
                  <w:tcBorders>
                    <w:bottom w:val="single" w:color="auto" w:sz="4" w:space="0"/>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1万吨氢氧化钙</w:t>
                  </w:r>
                </w:p>
              </w:tc>
              <w:tc>
                <w:tcPr>
                  <w:tcW w:w="1115" w:type="pct"/>
                  <w:tcBorders>
                    <w:left w:val="single" w:color="auto" w:sz="4" w:space="0"/>
                    <w:bottom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上料-破碎-提升-三级消化-选粉-灌装</w:t>
                  </w:r>
                </w:p>
              </w:tc>
              <w:tc>
                <w:tcPr>
                  <w:tcW w:w="1046" w:type="pct"/>
                  <w:tcBorders>
                    <w:right w:val="single" w:color="auto" w:sz="4" w:space="0"/>
                  </w:tcBorders>
                  <w:vAlign w:val="center"/>
                </w:tcPr>
                <w:p>
                  <w:pPr>
                    <w:autoSpaceDE w:val="0"/>
                    <w:spacing w:line="240" w:lineRule="auto"/>
                    <w:jc w:val="center"/>
                    <w:rPr>
                      <w:color w:val="auto"/>
                      <w:szCs w:val="21"/>
                      <w:highlight w:val="none"/>
                    </w:rPr>
                  </w:pPr>
                  <w:r>
                    <w:rPr>
                      <w:color w:val="auto"/>
                      <w:sz w:val="22"/>
                      <w:highlight w:val="none"/>
                    </w:rPr>
                    <w:t>布袋除尘器</w:t>
                  </w:r>
                </w:p>
              </w:tc>
              <w:tc>
                <w:tcPr>
                  <w:tcW w:w="987" w:type="pct"/>
                  <w:vMerge w:val="restart"/>
                  <w:vAlign w:val="center"/>
                </w:tcPr>
                <w:p>
                  <w:pPr>
                    <w:autoSpaceDE w:val="0"/>
                    <w:spacing w:line="240" w:lineRule="auto"/>
                    <w:jc w:val="center"/>
                    <w:rPr>
                      <w:color w:val="auto"/>
                      <w:szCs w:val="21"/>
                      <w:highlight w:val="none"/>
                    </w:rPr>
                  </w:pPr>
                  <w:r>
                    <w:rPr>
                      <w:rFonts w:hint="eastAsia"/>
                      <w:color w:val="auto"/>
                      <w:szCs w:val="21"/>
                      <w:highlight w:val="none"/>
                    </w:rPr>
                    <w:t>本项目与襄汾县云恒氢氧化钙加工厂工艺、处理工艺相似，具有可类比性。</w:t>
                  </w:r>
                </w:p>
              </w:tc>
            </w:tr>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069" w:type="pct"/>
                  <w:tcBorders>
                    <w:top w:val="single" w:color="auto" w:sz="4" w:space="0"/>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本项目</w:t>
                  </w:r>
                </w:p>
              </w:tc>
              <w:tc>
                <w:tcPr>
                  <w:tcW w:w="781" w:type="pct"/>
                  <w:tcBorders>
                    <w:top w:val="single" w:color="auto" w:sz="4" w:space="0"/>
                    <w:righ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10万吨氢氧化钙</w:t>
                  </w:r>
                </w:p>
              </w:tc>
              <w:tc>
                <w:tcPr>
                  <w:tcW w:w="1115" w:type="pct"/>
                  <w:tcBorders>
                    <w:top w:val="single" w:color="auto" w:sz="4" w:space="0"/>
                    <w:left w:val="single" w:color="auto" w:sz="4" w:space="0"/>
                  </w:tcBorders>
                  <w:vAlign w:val="center"/>
                </w:tcPr>
                <w:p>
                  <w:pPr>
                    <w:autoSpaceDE w:val="0"/>
                    <w:spacing w:line="240" w:lineRule="auto"/>
                    <w:jc w:val="center"/>
                    <w:rPr>
                      <w:color w:val="auto"/>
                      <w:szCs w:val="21"/>
                      <w:highlight w:val="none"/>
                    </w:rPr>
                  </w:pPr>
                  <w:r>
                    <w:rPr>
                      <w:rFonts w:hint="eastAsia"/>
                      <w:color w:val="auto"/>
                      <w:szCs w:val="21"/>
                      <w:highlight w:val="none"/>
                    </w:rPr>
                    <w:t>投料-破碎-提升-三级消化-风选研磨</w:t>
                  </w:r>
                </w:p>
              </w:tc>
              <w:tc>
                <w:tcPr>
                  <w:tcW w:w="1046" w:type="pct"/>
                  <w:tcBorders>
                    <w:right w:val="single" w:color="auto" w:sz="4" w:space="0"/>
                  </w:tcBorders>
                  <w:vAlign w:val="center"/>
                </w:tcPr>
                <w:p>
                  <w:pPr>
                    <w:spacing w:line="240" w:lineRule="auto"/>
                    <w:jc w:val="center"/>
                    <w:rPr>
                      <w:color w:val="auto"/>
                      <w:szCs w:val="21"/>
                      <w:highlight w:val="none"/>
                    </w:rPr>
                  </w:pPr>
                  <w:r>
                    <w:rPr>
                      <w:rFonts w:hint="eastAsia"/>
                      <w:color w:val="auto"/>
                      <w:szCs w:val="21"/>
                      <w:highlight w:val="none"/>
                    </w:rPr>
                    <w:t>脉冲布袋除尘器</w:t>
                  </w:r>
                </w:p>
              </w:tc>
              <w:tc>
                <w:tcPr>
                  <w:tcW w:w="987" w:type="pct"/>
                  <w:vMerge w:val="continue"/>
                  <w:vAlign w:val="center"/>
                </w:tcPr>
                <w:p>
                  <w:pPr>
                    <w:jc w:val="center"/>
                    <w:textAlignment w:val="bottom"/>
                    <w:rPr>
                      <w:color w:val="auto"/>
                      <w:szCs w:val="21"/>
                      <w:highlight w:val="none"/>
                    </w:rPr>
                  </w:pPr>
                </w:p>
              </w:tc>
            </w:tr>
          </w:tbl>
          <w:p>
            <w:pPr>
              <w:pStyle w:val="46"/>
              <w:numPr>
                <w:ilvl w:val="8"/>
                <w:numId w:val="8"/>
              </w:numPr>
              <w:autoSpaceDE w:val="0"/>
              <w:autoSpaceDN w:val="0"/>
              <w:adjustRightInd w:val="0"/>
              <w:snapToGrid w:val="0"/>
              <w:spacing w:line="240" w:lineRule="auto"/>
              <w:ind w:firstLineChars="0"/>
              <w:jc w:val="center"/>
              <w:rPr>
                <w:b/>
                <w:bCs/>
                <w:color w:val="auto"/>
                <w:kern w:val="0"/>
                <w:szCs w:val="21"/>
                <w:highlight w:val="none"/>
              </w:rPr>
            </w:pPr>
            <w:r>
              <w:rPr>
                <w:rFonts w:hint="eastAsia"/>
                <w:b/>
                <w:bCs/>
                <w:color w:val="auto"/>
                <w:kern w:val="0"/>
                <w:szCs w:val="21"/>
                <w:highlight w:val="none"/>
              </w:rPr>
              <w:t>类比项目监测数据一览表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5"/>
              <w:gridCol w:w="644"/>
              <w:gridCol w:w="1306"/>
              <w:gridCol w:w="1025"/>
              <w:gridCol w:w="1553"/>
              <w:gridCol w:w="1553"/>
              <w:gridCol w:w="15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restart"/>
                  <w:vAlign w:val="center"/>
                </w:tcPr>
                <w:p>
                  <w:pPr>
                    <w:spacing w:line="240" w:lineRule="auto"/>
                    <w:jc w:val="center"/>
                    <w:rPr>
                      <w:color w:val="auto"/>
                      <w:szCs w:val="21"/>
                      <w:highlight w:val="none"/>
                    </w:rPr>
                  </w:pPr>
                  <w:r>
                    <w:rPr>
                      <w:color w:val="auto"/>
                      <w:szCs w:val="21"/>
                      <w:highlight w:val="none"/>
                    </w:rPr>
                    <w:t>监测</w:t>
                  </w:r>
                </w:p>
                <w:p>
                  <w:pPr>
                    <w:spacing w:line="240" w:lineRule="auto"/>
                    <w:jc w:val="center"/>
                    <w:rPr>
                      <w:color w:val="auto"/>
                      <w:szCs w:val="21"/>
                      <w:highlight w:val="none"/>
                    </w:rPr>
                  </w:pPr>
                  <w:r>
                    <w:rPr>
                      <w:color w:val="auto"/>
                      <w:szCs w:val="21"/>
                      <w:highlight w:val="none"/>
                    </w:rPr>
                    <w:t>点位</w:t>
                  </w:r>
                </w:p>
              </w:tc>
              <w:tc>
                <w:tcPr>
                  <w:tcW w:w="644" w:type="dxa"/>
                  <w:vMerge w:val="restart"/>
                  <w:vAlign w:val="center"/>
                </w:tcPr>
                <w:p>
                  <w:pPr>
                    <w:spacing w:line="240" w:lineRule="auto"/>
                    <w:jc w:val="center"/>
                    <w:rPr>
                      <w:color w:val="auto"/>
                      <w:szCs w:val="21"/>
                      <w:highlight w:val="none"/>
                    </w:rPr>
                  </w:pPr>
                  <w:r>
                    <w:rPr>
                      <w:color w:val="auto"/>
                      <w:szCs w:val="21"/>
                      <w:highlight w:val="none"/>
                    </w:rPr>
                    <w:t>监测</w:t>
                  </w:r>
                </w:p>
                <w:p>
                  <w:pPr>
                    <w:spacing w:line="240" w:lineRule="auto"/>
                    <w:jc w:val="center"/>
                    <w:rPr>
                      <w:color w:val="auto"/>
                      <w:szCs w:val="21"/>
                      <w:highlight w:val="none"/>
                    </w:rPr>
                  </w:pPr>
                  <w:r>
                    <w:rPr>
                      <w:color w:val="auto"/>
                      <w:szCs w:val="21"/>
                      <w:highlight w:val="none"/>
                    </w:rPr>
                    <w:t>项目</w:t>
                  </w:r>
                </w:p>
              </w:tc>
              <w:tc>
                <w:tcPr>
                  <w:tcW w:w="1306" w:type="dxa"/>
                  <w:vMerge w:val="restart"/>
                  <w:vAlign w:val="center"/>
                </w:tcPr>
                <w:p>
                  <w:pPr>
                    <w:spacing w:line="240" w:lineRule="auto"/>
                    <w:jc w:val="center"/>
                    <w:rPr>
                      <w:color w:val="auto"/>
                      <w:szCs w:val="21"/>
                      <w:highlight w:val="none"/>
                    </w:rPr>
                  </w:pPr>
                  <w:r>
                    <w:rPr>
                      <w:color w:val="auto"/>
                      <w:szCs w:val="21"/>
                      <w:highlight w:val="none"/>
                    </w:rPr>
                    <w:t>监测时间</w:t>
                  </w:r>
                </w:p>
              </w:tc>
              <w:tc>
                <w:tcPr>
                  <w:tcW w:w="1025" w:type="dxa"/>
                  <w:vMerge w:val="restart"/>
                  <w:vAlign w:val="center"/>
                </w:tcPr>
                <w:p>
                  <w:pPr>
                    <w:spacing w:line="240" w:lineRule="auto"/>
                    <w:jc w:val="center"/>
                    <w:rPr>
                      <w:color w:val="auto"/>
                      <w:szCs w:val="21"/>
                      <w:highlight w:val="none"/>
                    </w:rPr>
                  </w:pPr>
                  <w:r>
                    <w:rPr>
                      <w:color w:val="auto"/>
                      <w:szCs w:val="21"/>
                      <w:highlight w:val="none"/>
                    </w:rPr>
                    <w:t>监测频次</w:t>
                  </w:r>
                </w:p>
              </w:tc>
              <w:tc>
                <w:tcPr>
                  <w:tcW w:w="4660" w:type="dxa"/>
                  <w:gridSpan w:val="3"/>
                  <w:vAlign w:val="center"/>
                </w:tcPr>
                <w:p>
                  <w:pPr>
                    <w:spacing w:line="240" w:lineRule="auto"/>
                    <w:jc w:val="center"/>
                    <w:rPr>
                      <w:color w:val="auto"/>
                      <w:szCs w:val="21"/>
                      <w:highlight w:val="none"/>
                    </w:rPr>
                  </w:pPr>
                  <w:r>
                    <w:rPr>
                      <w:color w:val="auto"/>
                      <w:szCs w:val="21"/>
                      <w:highlight w:val="none"/>
                    </w:rPr>
                    <w:t>除尘器出口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continue"/>
                  <w:vAlign w:val="center"/>
                </w:tcPr>
                <w:p>
                  <w:pPr>
                    <w:spacing w:line="240" w:lineRule="auto"/>
                    <w:jc w:val="center"/>
                    <w:rPr>
                      <w:color w:val="auto"/>
                      <w:szCs w:val="21"/>
                      <w:highlight w:val="none"/>
                    </w:rPr>
                  </w:pPr>
                </w:p>
              </w:tc>
              <w:tc>
                <w:tcPr>
                  <w:tcW w:w="1025" w:type="dxa"/>
                  <w:vMerge w:val="continue"/>
                  <w:vAlign w:val="center"/>
                </w:tcPr>
                <w:p>
                  <w:pPr>
                    <w:spacing w:line="240" w:lineRule="auto"/>
                    <w:jc w:val="center"/>
                    <w:rPr>
                      <w:color w:val="auto"/>
                      <w:szCs w:val="21"/>
                      <w:highlight w:val="none"/>
                    </w:rPr>
                  </w:pPr>
                </w:p>
              </w:tc>
              <w:tc>
                <w:tcPr>
                  <w:tcW w:w="1553" w:type="dxa"/>
                  <w:vAlign w:val="center"/>
                </w:tcPr>
                <w:p>
                  <w:pPr>
                    <w:spacing w:line="240" w:lineRule="auto"/>
                    <w:jc w:val="center"/>
                    <w:rPr>
                      <w:color w:val="auto"/>
                      <w:szCs w:val="21"/>
                      <w:highlight w:val="none"/>
                    </w:rPr>
                  </w:pPr>
                  <w:r>
                    <w:rPr>
                      <w:color w:val="auto"/>
                      <w:szCs w:val="21"/>
                      <w:highlight w:val="none"/>
                    </w:rPr>
                    <w:t>废气量Ndm</w:t>
                  </w:r>
                  <w:r>
                    <w:rPr>
                      <w:color w:val="auto"/>
                      <w:szCs w:val="21"/>
                      <w:highlight w:val="none"/>
                      <w:vertAlign w:val="superscript"/>
                    </w:rPr>
                    <w:t>3</w:t>
                  </w:r>
                  <w:r>
                    <w:rPr>
                      <w:color w:val="auto"/>
                      <w:szCs w:val="21"/>
                      <w:highlight w:val="none"/>
                    </w:rPr>
                    <w:t>/h</w:t>
                  </w:r>
                </w:p>
              </w:tc>
              <w:tc>
                <w:tcPr>
                  <w:tcW w:w="1553" w:type="dxa"/>
                  <w:vAlign w:val="center"/>
                </w:tcPr>
                <w:p>
                  <w:pPr>
                    <w:spacing w:line="240" w:lineRule="auto"/>
                    <w:jc w:val="center"/>
                    <w:rPr>
                      <w:color w:val="auto"/>
                      <w:szCs w:val="21"/>
                      <w:highlight w:val="none"/>
                    </w:rPr>
                  </w:pPr>
                  <w:r>
                    <w:rPr>
                      <w:color w:val="auto"/>
                      <w:szCs w:val="21"/>
                      <w:highlight w:val="none"/>
                    </w:rPr>
                    <w:t>排放浓度mg/m</w:t>
                  </w:r>
                  <w:r>
                    <w:rPr>
                      <w:color w:val="auto"/>
                      <w:szCs w:val="21"/>
                      <w:highlight w:val="none"/>
                      <w:vertAlign w:val="superscript"/>
                    </w:rPr>
                    <w:t>3</w:t>
                  </w:r>
                </w:p>
              </w:tc>
              <w:tc>
                <w:tcPr>
                  <w:tcW w:w="1554" w:type="dxa"/>
                  <w:vAlign w:val="center"/>
                </w:tcPr>
                <w:p>
                  <w:pPr>
                    <w:spacing w:line="240" w:lineRule="auto"/>
                    <w:jc w:val="center"/>
                    <w:rPr>
                      <w:color w:val="auto"/>
                      <w:szCs w:val="21"/>
                      <w:highlight w:val="none"/>
                    </w:rPr>
                  </w:pPr>
                  <w:r>
                    <w:rPr>
                      <w:color w:val="auto"/>
                      <w:szCs w:val="21"/>
                      <w:highlight w:val="none"/>
                    </w:rPr>
                    <w:t>排放速率kg/h</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restart"/>
                  <w:vAlign w:val="center"/>
                </w:tcPr>
                <w:p>
                  <w:pPr>
                    <w:pStyle w:val="64"/>
                    <w:widowControl/>
                    <w:jc w:val="center"/>
                    <w:rPr>
                      <w:rFonts w:ascii="Times New Roman" w:hAnsi="Times New Roman"/>
                      <w:color w:val="auto"/>
                      <w:sz w:val="21"/>
                      <w:szCs w:val="21"/>
                      <w:highlight w:val="none"/>
                    </w:rPr>
                  </w:pPr>
                  <w:r>
                    <w:rPr>
                      <w:rFonts w:ascii="Times New Roman" w:hAnsi="Times New Roman"/>
                      <w:color w:val="auto"/>
                      <w:sz w:val="21"/>
                      <w:szCs w:val="21"/>
                      <w:highlight w:val="none"/>
                    </w:rPr>
                    <w:t>一二级消化系统布袋除尘器</w:t>
                  </w:r>
                </w:p>
              </w:tc>
              <w:tc>
                <w:tcPr>
                  <w:tcW w:w="644" w:type="dxa"/>
                  <w:vMerge w:val="restart"/>
                  <w:vAlign w:val="center"/>
                </w:tcPr>
                <w:p>
                  <w:pPr>
                    <w:spacing w:line="240" w:lineRule="auto"/>
                    <w:jc w:val="center"/>
                    <w:rPr>
                      <w:color w:val="auto"/>
                      <w:szCs w:val="21"/>
                      <w:highlight w:val="none"/>
                    </w:rPr>
                  </w:pPr>
                  <w:r>
                    <w:rPr>
                      <w:color w:val="auto"/>
                      <w:szCs w:val="21"/>
                      <w:highlight w:val="none"/>
                    </w:rPr>
                    <w:t>颗粒物</w:t>
                  </w:r>
                </w:p>
              </w:tc>
              <w:tc>
                <w:tcPr>
                  <w:tcW w:w="1306" w:type="dxa"/>
                  <w:vMerge w:val="restart"/>
                  <w:vAlign w:val="center"/>
                </w:tcPr>
                <w:p>
                  <w:pPr>
                    <w:spacing w:line="240" w:lineRule="auto"/>
                    <w:jc w:val="center"/>
                    <w:rPr>
                      <w:color w:val="auto"/>
                      <w:szCs w:val="21"/>
                      <w:highlight w:val="none"/>
                    </w:rPr>
                  </w:pPr>
                  <w:r>
                    <w:rPr>
                      <w:color w:val="auto"/>
                      <w:szCs w:val="21"/>
                      <w:highlight w:val="none"/>
                    </w:rPr>
                    <w:t>2020.04.07</w:t>
                  </w:r>
                </w:p>
              </w:tc>
              <w:tc>
                <w:tcPr>
                  <w:tcW w:w="1025" w:type="dxa"/>
                  <w:vAlign w:val="center"/>
                </w:tcPr>
                <w:p>
                  <w:pPr>
                    <w:spacing w:line="240" w:lineRule="auto"/>
                    <w:jc w:val="center"/>
                    <w:rPr>
                      <w:color w:val="auto"/>
                      <w:szCs w:val="21"/>
                      <w:highlight w:val="none"/>
                    </w:rPr>
                  </w:pPr>
                  <w:r>
                    <w:rPr>
                      <w:color w:val="auto"/>
                      <w:szCs w:val="21"/>
                      <w:highlight w:val="none"/>
                    </w:rPr>
                    <w:t>第1次</w:t>
                  </w:r>
                </w:p>
              </w:tc>
              <w:tc>
                <w:tcPr>
                  <w:tcW w:w="1553" w:type="dxa"/>
                  <w:vAlign w:val="center"/>
                </w:tcPr>
                <w:p>
                  <w:pPr>
                    <w:spacing w:line="240" w:lineRule="auto"/>
                    <w:jc w:val="center"/>
                    <w:rPr>
                      <w:color w:val="auto"/>
                      <w:szCs w:val="21"/>
                      <w:highlight w:val="none"/>
                    </w:rPr>
                  </w:pPr>
                  <w:r>
                    <w:rPr>
                      <w:color w:val="auto"/>
                      <w:szCs w:val="21"/>
                      <w:highlight w:val="none"/>
                    </w:rPr>
                    <w:t>7685</w:t>
                  </w:r>
                </w:p>
              </w:tc>
              <w:tc>
                <w:tcPr>
                  <w:tcW w:w="1553" w:type="dxa"/>
                  <w:vAlign w:val="center"/>
                </w:tcPr>
                <w:p>
                  <w:pPr>
                    <w:spacing w:line="240" w:lineRule="auto"/>
                    <w:jc w:val="center"/>
                    <w:rPr>
                      <w:color w:val="auto"/>
                      <w:szCs w:val="21"/>
                      <w:highlight w:val="none"/>
                    </w:rPr>
                  </w:pPr>
                  <w:r>
                    <w:rPr>
                      <w:color w:val="auto"/>
                      <w:szCs w:val="21"/>
                      <w:highlight w:val="none"/>
                    </w:rPr>
                    <w:t>3.87</w:t>
                  </w:r>
                </w:p>
              </w:tc>
              <w:tc>
                <w:tcPr>
                  <w:tcW w:w="1554" w:type="dxa"/>
                  <w:vAlign w:val="center"/>
                </w:tcPr>
                <w:p>
                  <w:pPr>
                    <w:spacing w:line="240" w:lineRule="auto"/>
                    <w:jc w:val="center"/>
                    <w:rPr>
                      <w:color w:val="auto"/>
                      <w:szCs w:val="21"/>
                      <w:highlight w:val="none"/>
                    </w:rPr>
                  </w:pPr>
                  <w:r>
                    <w:rPr>
                      <w:color w:val="auto"/>
                      <w:szCs w:val="21"/>
                      <w:highlight w:val="none"/>
                    </w:rPr>
                    <w:t>0.0297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continue"/>
                  <w:vAlign w:val="center"/>
                </w:tcPr>
                <w:p>
                  <w:pPr>
                    <w:spacing w:line="240" w:lineRule="auto"/>
                    <w:jc w:val="center"/>
                    <w:rPr>
                      <w:color w:val="auto"/>
                      <w:szCs w:val="21"/>
                      <w:highlight w:val="none"/>
                    </w:rPr>
                  </w:pPr>
                </w:p>
              </w:tc>
              <w:tc>
                <w:tcPr>
                  <w:tcW w:w="1025" w:type="dxa"/>
                  <w:vAlign w:val="center"/>
                </w:tcPr>
                <w:p>
                  <w:pPr>
                    <w:spacing w:line="240" w:lineRule="auto"/>
                    <w:jc w:val="center"/>
                    <w:rPr>
                      <w:color w:val="auto"/>
                      <w:szCs w:val="21"/>
                      <w:highlight w:val="none"/>
                    </w:rPr>
                  </w:pPr>
                  <w:r>
                    <w:rPr>
                      <w:color w:val="auto"/>
                      <w:szCs w:val="21"/>
                      <w:highlight w:val="none"/>
                    </w:rPr>
                    <w:t>第2次</w:t>
                  </w:r>
                </w:p>
              </w:tc>
              <w:tc>
                <w:tcPr>
                  <w:tcW w:w="1553" w:type="dxa"/>
                  <w:vAlign w:val="center"/>
                </w:tcPr>
                <w:p>
                  <w:pPr>
                    <w:spacing w:line="240" w:lineRule="auto"/>
                    <w:jc w:val="center"/>
                    <w:rPr>
                      <w:color w:val="auto"/>
                      <w:szCs w:val="21"/>
                      <w:highlight w:val="none"/>
                    </w:rPr>
                  </w:pPr>
                  <w:r>
                    <w:rPr>
                      <w:color w:val="auto"/>
                      <w:szCs w:val="21"/>
                      <w:highlight w:val="none"/>
                    </w:rPr>
                    <w:t>7801</w:t>
                  </w:r>
                </w:p>
              </w:tc>
              <w:tc>
                <w:tcPr>
                  <w:tcW w:w="1553" w:type="dxa"/>
                  <w:vAlign w:val="center"/>
                </w:tcPr>
                <w:p>
                  <w:pPr>
                    <w:spacing w:line="240" w:lineRule="auto"/>
                    <w:jc w:val="center"/>
                    <w:rPr>
                      <w:color w:val="auto"/>
                      <w:szCs w:val="21"/>
                      <w:highlight w:val="none"/>
                    </w:rPr>
                  </w:pPr>
                  <w:r>
                    <w:rPr>
                      <w:color w:val="auto"/>
                      <w:szCs w:val="21"/>
                      <w:highlight w:val="none"/>
                    </w:rPr>
                    <w:t>2.99</w:t>
                  </w:r>
                </w:p>
              </w:tc>
              <w:tc>
                <w:tcPr>
                  <w:tcW w:w="1554" w:type="dxa"/>
                  <w:vAlign w:val="center"/>
                </w:tcPr>
                <w:p>
                  <w:pPr>
                    <w:spacing w:line="240" w:lineRule="auto"/>
                    <w:jc w:val="center"/>
                    <w:rPr>
                      <w:color w:val="auto"/>
                      <w:szCs w:val="21"/>
                      <w:highlight w:val="none"/>
                    </w:rPr>
                  </w:pPr>
                  <w:r>
                    <w:rPr>
                      <w:color w:val="auto"/>
                      <w:szCs w:val="21"/>
                      <w:highlight w:val="none"/>
                    </w:rPr>
                    <w:t>0.0233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continue"/>
                  <w:vAlign w:val="center"/>
                </w:tcPr>
                <w:p>
                  <w:pPr>
                    <w:spacing w:line="240" w:lineRule="auto"/>
                    <w:jc w:val="center"/>
                    <w:rPr>
                      <w:color w:val="auto"/>
                      <w:szCs w:val="21"/>
                      <w:highlight w:val="none"/>
                    </w:rPr>
                  </w:pPr>
                </w:p>
              </w:tc>
              <w:tc>
                <w:tcPr>
                  <w:tcW w:w="1025" w:type="dxa"/>
                  <w:vAlign w:val="center"/>
                </w:tcPr>
                <w:p>
                  <w:pPr>
                    <w:spacing w:line="240" w:lineRule="auto"/>
                    <w:jc w:val="center"/>
                    <w:rPr>
                      <w:color w:val="auto"/>
                      <w:szCs w:val="21"/>
                      <w:highlight w:val="none"/>
                    </w:rPr>
                  </w:pPr>
                  <w:r>
                    <w:rPr>
                      <w:color w:val="auto"/>
                      <w:szCs w:val="21"/>
                      <w:highlight w:val="none"/>
                    </w:rPr>
                    <w:t>第3次</w:t>
                  </w:r>
                </w:p>
              </w:tc>
              <w:tc>
                <w:tcPr>
                  <w:tcW w:w="1553" w:type="dxa"/>
                  <w:vAlign w:val="center"/>
                </w:tcPr>
                <w:p>
                  <w:pPr>
                    <w:spacing w:line="240" w:lineRule="auto"/>
                    <w:jc w:val="center"/>
                    <w:rPr>
                      <w:color w:val="auto"/>
                      <w:szCs w:val="21"/>
                      <w:highlight w:val="none"/>
                    </w:rPr>
                  </w:pPr>
                  <w:r>
                    <w:rPr>
                      <w:color w:val="auto"/>
                      <w:szCs w:val="21"/>
                      <w:highlight w:val="none"/>
                    </w:rPr>
                    <w:t>7624</w:t>
                  </w:r>
                </w:p>
              </w:tc>
              <w:tc>
                <w:tcPr>
                  <w:tcW w:w="1553" w:type="dxa"/>
                  <w:vAlign w:val="center"/>
                </w:tcPr>
                <w:p>
                  <w:pPr>
                    <w:spacing w:line="240" w:lineRule="auto"/>
                    <w:jc w:val="center"/>
                    <w:rPr>
                      <w:color w:val="auto"/>
                      <w:szCs w:val="21"/>
                      <w:highlight w:val="none"/>
                    </w:rPr>
                  </w:pPr>
                  <w:r>
                    <w:rPr>
                      <w:color w:val="auto"/>
                      <w:szCs w:val="21"/>
                      <w:highlight w:val="none"/>
                    </w:rPr>
                    <w:t>3.17</w:t>
                  </w:r>
                </w:p>
              </w:tc>
              <w:tc>
                <w:tcPr>
                  <w:tcW w:w="1554" w:type="dxa"/>
                  <w:vAlign w:val="center"/>
                </w:tcPr>
                <w:p>
                  <w:pPr>
                    <w:spacing w:line="240" w:lineRule="auto"/>
                    <w:jc w:val="center"/>
                    <w:rPr>
                      <w:color w:val="auto"/>
                      <w:szCs w:val="21"/>
                      <w:highlight w:val="none"/>
                    </w:rPr>
                  </w:pPr>
                  <w:r>
                    <w:rPr>
                      <w:color w:val="auto"/>
                      <w:szCs w:val="21"/>
                      <w:highlight w:val="none"/>
                    </w:rPr>
                    <w:t>0.0242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continue"/>
                  <w:vAlign w:val="center"/>
                </w:tcPr>
                <w:p>
                  <w:pPr>
                    <w:spacing w:line="240" w:lineRule="auto"/>
                    <w:jc w:val="center"/>
                    <w:rPr>
                      <w:color w:val="auto"/>
                      <w:szCs w:val="21"/>
                      <w:highlight w:val="none"/>
                    </w:rPr>
                  </w:pPr>
                </w:p>
              </w:tc>
              <w:tc>
                <w:tcPr>
                  <w:tcW w:w="1025" w:type="dxa"/>
                  <w:vAlign w:val="center"/>
                </w:tcPr>
                <w:p>
                  <w:pPr>
                    <w:spacing w:line="240" w:lineRule="auto"/>
                    <w:jc w:val="center"/>
                    <w:rPr>
                      <w:color w:val="auto"/>
                      <w:szCs w:val="21"/>
                      <w:highlight w:val="none"/>
                    </w:rPr>
                  </w:pPr>
                  <w:r>
                    <w:rPr>
                      <w:color w:val="auto"/>
                      <w:szCs w:val="21"/>
                      <w:highlight w:val="none"/>
                    </w:rPr>
                    <w:t>均值</w:t>
                  </w:r>
                </w:p>
              </w:tc>
              <w:tc>
                <w:tcPr>
                  <w:tcW w:w="1553" w:type="dxa"/>
                  <w:vAlign w:val="center"/>
                </w:tcPr>
                <w:p>
                  <w:pPr>
                    <w:spacing w:line="240" w:lineRule="auto"/>
                    <w:jc w:val="center"/>
                    <w:rPr>
                      <w:color w:val="auto"/>
                      <w:szCs w:val="21"/>
                      <w:highlight w:val="none"/>
                    </w:rPr>
                  </w:pPr>
                  <w:r>
                    <w:rPr>
                      <w:color w:val="auto"/>
                      <w:szCs w:val="21"/>
                      <w:highlight w:val="none"/>
                    </w:rPr>
                    <w:t xml:space="preserve">7703 </w:t>
                  </w:r>
                </w:p>
              </w:tc>
              <w:tc>
                <w:tcPr>
                  <w:tcW w:w="1553" w:type="dxa"/>
                  <w:vAlign w:val="center"/>
                </w:tcPr>
                <w:p>
                  <w:pPr>
                    <w:spacing w:line="240" w:lineRule="auto"/>
                    <w:jc w:val="center"/>
                    <w:rPr>
                      <w:color w:val="auto"/>
                      <w:szCs w:val="21"/>
                      <w:highlight w:val="none"/>
                    </w:rPr>
                  </w:pPr>
                  <w:r>
                    <w:rPr>
                      <w:color w:val="auto"/>
                      <w:szCs w:val="21"/>
                      <w:highlight w:val="none"/>
                    </w:rPr>
                    <w:t xml:space="preserve">3.34 </w:t>
                  </w:r>
                </w:p>
              </w:tc>
              <w:tc>
                <w:tcPr>
                  <w:tcW w:w="1554" w:type="dxa"/>
                  <w:vAlign w:val="center"/>
                </w:tcPr>
                <w:p>
                  <w:pPr>
                    <w:spacing w:line="240" w:lineRule="auto"/>
                    <w:jc w:val="center"/>
                    <w:rPr>
                      <w:color w:val="auto"/>
                      <w:szCs w:val="21"/>
                      <w:highlight w:val="none"/>
                    </w:rPr>
                  </w:pPr>
                  <w:r>
                    <w:rPr>
                      <w:color w:val="auto"/>
                      <w:szCs w:val="21"/>
                      <w:highlight w:val="none"/>
                    </w:rPr>
                    <w:t xml:space="preserve">0.0257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restart"/>
                  <w:vAlign w:val="center"/>
                </w:tcPr>
                <w:p>
                  <w:pPr>
                    <w:spacing w:line="240" w:lineRule="auto"/>
                    <w:jc w:val="center"/>
                    <w:rPr>
                      <w:color w:val="auto"/>
                      <w:szCs w:val="21"/>
                      <w:highlight w:val="none"/>
                    </w:rPr>
                  </w:pPr>
                  <w:r>
                    <w:rPr>
                      <w:color w:val="auto"/>
                      <w:szCs w:val="21"/>
                      <w:highlight w:val="none"/>
                    </w:rPr>
                    <w:t>2020.04.08</w:t>
                  </w:r>
                </w:p>
              </w:tc>
              <w:tc>
                <w:tcPr>
                  <w:tcW w:w="1025" w:type="dxa"/>
                  <w:vAlign w:val="center"/>
                </w:tcPr>
                <w:p>
                  <w:pPr>
                    <w:spacing w:line="240" w:lineRule="auto"/>
                    <w:jc w:val="center"/>
                    <w:rPr>
                      <w:color w:val="auto"/>
                      <w:szCs w:val="21"/>
                      <w:highlight w:val="none"/>
                    </w:rPr>
                  </w:pPr>
                  <w:r>
                    <w:rPr>
                      <w:color w:val="auto"/>
                      <w:szCs w:val="21"/>
                      <w:highlight w:val="none"/>
                    </w:rPr>
                    <w:t>第1次</w:t>
                  </w:r>
                </w:p>
              </w:tc>
              <w:tc>
                <w:tcPr>
                  <w:tcW w:w="1553" w:type="dxa"/>
                  <w:vAlign w:val="center"/>
                </w:tcPr>
                <w:p>
                  <w:pPr>
                    <w:spacing w:line="240" w:lineRule="auto"/>
                    <w:jc w:val="center"/>
                    <w:rPr>
                      <w:color w:val="auto"/>
                      <w:szCs w:val="21"/>
                      <w:highlight w:val="none"/>
                    </w:rPr>
                  </w:pPr>
                  <w:r>
                    <w:rPr>
                      <w:color w:val="auto"/>
                      <w:szCs w:val="21"/>
                      <w:highlight w:val="none"/>
                    </w:rPr>
                    <w:t>7338</w:t>
                  </w:r>
                </w:p>
              </w:tc>
              <w:tc>
                <w:tcPr>
                  <w:tcW w:w="1553" w:type="dxa"/>
                  <w:vAlign w:val="center"/>
                </w:tcPr>
                <w:p>
                  <w:pPr>
                    <w:spacing w:line="240" w:lineRule="auto"/>
                    <w:jc w:val="center"/>
                    <w:rPr>
                      <w:color w:val="auto"/>
                      <w:szCs w:val="21"/>
                      <w:highlight w:val="none"/>
                    </w:rPr>
                  </w:pPr>
                  <w:r>
                    <w:rPr>
                      <w:color w:val="auto"/>
                      <w:szCs w:val="21"/>
                      <w:highlight w:val="none"/>
                    </w:rPr>
                    <w:t>3.40</w:t>
                  </w:r>
                </w:p>
              </w:tc>
              <w:tc>
                <w:tcPr>
                  <w:tcW w:w="1554" w:type="dxa"/>
                  <w:vAlign w:val="center"/>
                </w:tcPr>
                <w:p>
                  <w:pPr>
                    <w:spacing w:line="240" w:lineRule="auto"/>
                    <w:jc w:val="center"/>
                    <w:rPr>
                      <w:color w:val="auto"/>
                      <w:szCs w:val="21"/>
                      <w:highlight w:val="none"/>
                    </w:rPr>
                  </w:pPr>
                  <w:r>
                    <w:rPr>
                      <w:color w:val="auto"/>
                      <w:szCs w:val="21"/>
                      <w:highlight w:val="none"/>
                    </w:rPr>
                    <w:t>0.0249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continue"/>
                  <w:vAlign w:val="center"/>
                </w:tcPr>
                <w:p>
                  <w:pPr>
                    <w:spacing w:line="240" w:lineRule="auto"/>
                    <w:jc w:val="center"/>
                    <w:rPr>
                      <w:color w:val="auto"/>
                      <w:szCs w:val="21"/>
                      <w:highlight w:val="none"/>
                    </w:rPr>
                  </w:pPr>
                </w:p>
              </w:tc>
              <w:tc>
                <w:tcPr>
                  <w:tcW w:w="1025" w:type="dxa"/>
                  <w:vAlign w:val="center"/>
                </w:tcPr>
                <w:p>
                  <w:pPr>
                    <w:spacing w:line="240" w:lineRule="auto"/>
                    <w:jc w:val="center"/>
                    <w:rPr>
                      <w:color w:val="auto"/>
                      <w:szCs w:val="21"/>
                      <w:highlight w:val="none"/>
                    </w:rPr>
                  </w:pPr>
                  <w:r>
                    <w:rPr>
                      <w:color w:val="auto"/>
                      <w:szCs w:val="21"/>
                      <w:highlight w:val="none"/>
                    </w:rPr>
                    <w:t>第2次</w:t>
                  </w:r>
                </w:p>
              </w:tc>
              <w:tc>
                <w:tcPr>
                  <w:tcW w:w="1553" w:type="dxa"/>
                  <w:vAlign w:val="center"/>
                </w:tcPr>
                <w:p>
                  <w:pPr>
                    <w:spacing w:line="240" w:lineRule="auto"/>
                    <w:jc w:val="center"/>
                    <w:rPr>
                      <w:color w:val="auto"/>
                      <w:szCs w:val="21"/>
                      <w:highlight w:val="none"/>
                    </w:rPr>
                  </w:pPr>
                  <w:r>
                    <w:rPr>
                      <w:color w:val="auto"/>
                      <w:szCs w:val="21"/>
                      <w:highlight w:val="none"/>
                    </w:rPr>
                    <w:t>7194</w:t>
                  </w:r>
                </w:p>
              </w:tc>
              <w:tc>
                <w:tcPr>
                  <w:tcW w:w="1553" w:type="dxa"/>
                  <w:vAlign w:val="center"/>
                </w:tcPr>
                <w:p>
                  <w:pPr>
                    <w:spacing w:line="240" w:lineRule="auto"/>
                    <w:jc w:val="center"/>
                    <w:rPr>
                      <w:color w:val="auto"/>
                      <w:szCs w:val="21"/>
                      <w:highlight w:val="none"/>
                    </w:rPr>
                  </w:pPr>
                  <w:r>
                    <w:rPr>
                      <w:color w:val="auto"/>
                      <w:szCs w:val="21"/>
                      <w:highlight w:val="none"/>
                    </w:rPr>
                    <w:t>1.04</w:t>
                  </w:r>
                </w:p>
              </w:tc>
              <w:tc>
                <w:tcPr>
                  <w:tcW w:w="1554" w:type="dxa"/>
                  <w:vAlign w:val="center"/>
                </w:tcPr>
                <w:p>
                  <w:pPr>
                    <w:spacing w:line="240" w:lineRule="auto"/>
                    <w:jc w:val="center"/>
                    <w:rPr>
                      <w:color w:val="auto"/>
                      <w:szCs w:val="21"/>
                      <w:highlight w:val="none"/>
                    </w:rPr>
                  </w:pPr>
                  <w:r>
                    <w:rPr>
                      <w:color w:val="auto"/>
                      <w:szCs w:val="21"/>
                      <w:highlight w:val="none"/>
                    </w:rPr>
                    <w:t>0.00748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continue"/>
                  <w:vAlign w:val="center"/>
                </w:tcPr>
                <w:p>
                  <w:pPr>
                    <w:spacing w:line="240" w:lineRule="auto"/>
                    <w:jc w:val="center"/>
                    <w:rPr>
                      <w:color w:val="auto"/>
                      <w:szCs w:val="21"/>
                      <w:highlight w:val="none"/>
                    </w:rPr>
                  </w:pPr>
                </w:p>
              </w:tc>
              <w:tc>
                <w:tcPr>
                  <w:tcW w:w="1025" w:type="dxa"/>
                  <w:vAlign w:val="center"/>
                </w:tcPr>
                <w:p>
                  <w:pPr>
                    <w:spacing w:line="240" w:lineRule="auto"/>
                    <w:jc w:val="center"/>
                    <w:rPr>
                      <w:color w:val="auto"/>
                      <w:szCs w:val="21"/>
                      <w:highlight w:val="none"/>
                    </w:rPr>
                  </w:pPr>
                  <w:r>
                    <w:rPr>
                      <w:color w:val="auto"/>
                      <w:szCs w:val="21"/>
                      <w:highlight w:val="none"/>
                    </w:rPr>
                    <w:t>第3次</w:t>
                  </w:r>
                </w:p>
              </w:tc>
              <w:tc>
                <w:tcPr>
                  <w:tcW w:w="1553" w:type="dxa"/>
                  <w:vAlign w:val="center"/>
                </w:tcPr>
                <w:p>
                  <w:pPr>
                    <w:spacing w:line="240" w:lineRule="auto"/>
                    <w:jc w:val="center"/>
                    <w:rPr>
                      <w:color w:val="auto"/>
                      <w:szCs w:val="21"/>
                      <w:highlight w:val="none"/>
                    </w:rPr>
                  </w:pPr>
                  <w:r>
                    <w:rPr>
                      <w:color w:val="auto"/>
                      <w:szCs w:val="21"/>
                      <w:highlight w:val="none"/>
                    </w:rPr>
                    <w:t>7075</w:t>
                  </w:r>
                </w:p>
              </w:tc>
              <w:tc>
                <w:tcPr>
                  <w:tcW w:w="1553" w:type="dxa"/>
                  <w:vAlign w:val="center"/>
                </w:tcPr>
                <w:p>
                  <w:pPr>
                    <w:spacing w:line="240" w:lineRule="auto"/>
                    <w:jc w:val="center"/>
                    <w:rPr>
                      <w:color w:val="auto"/>
                      <w:szCs w:val="21"/>
                      <w:highlight w:val="none"/>
                    </w:rPr>
                  </w:pPr>
                  <w:r>
                    <w:rPr>
                      <w:color w:val="auto"/>
                      <w:szCs w:val="21"/>
                      <w:highlight w:val="none"/>
                    </w:rPr>
                    <w:t>2.78</w:t>
                  </w:r>
                </w:p>
              </w:tc>
              <w:tc>
                <w:tcPr>
                  <w:tcW w:w="1554" w:type="dxa"/>
                  <w:vAlign w:val="center"/>
                </w:tcPr>
                <w:p>
                  <w:pPr>
                    <w:spacing w:line="240" w:lineRule="auto"/>
                    <w:jc w:val="center"/>
                    <w:rPr>
                      <w:color w:val="auto"/>
                      <w:szCs w:val="21"/>
                      <w:highlight w:val="none"/>
                    </w:rPr>
                  </w:pPr>
                  <w:r>
                    <w:rPr>
                      <w:color w:val="auto"/>
                      <w:szCs w:val="21"/>
                      <w:highlight w:val="none"/>
                    </w:rPr>
                    <w:t>0.0197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1306" w:type="dxa"/>
                  <w:vMerge w:val="continue"/>
                  <w:vAlign w:val="center"/>
                </w:tcPr>
                <w:p>
                  <w:pPr>
                    <w:spacing w:line="240" w:lineRule="auto"/>
                    <w:jc w:val="center"/>
                    <w:rPr>
                      <w:color w:val="auto"/>
                      <w:szCs w:val="21"/>
                      <w:highlight w:val="none"/>
                    </w:rPr>
                  </w:pPr>
                </w:p>
              </w:tc>
              <w:tc>
                <w:tcPr>
                  <w:tcW w:w="1025" w:type="dxa"/>
                  <w:vAlign w:val="center"/>
                </w:tcPr>
                <w:p>
                  <w:pPr>
                    <w:spacing w:line="240" w:lineRule="auto"/>
                    <w:jc w:val="center"/>
                    <w:rPr>
                      <w:color w:val="auto"/>
                      <w:szCs w:val="21"/>
                      <w:highlight w:val="none"/>
                    </w:rPr>
                  </w:pPr>
                  <w:r>
                    <w:rPr>
                      <w:color w:val="auto"/>
                      <w:szCs w:val="21"/>
                      <w:highlight w:val="none"/>
                    </w:rPr>
                    <w:t>均值</w:t>
                  </w:r>
                </w:p>
              </w:tc>
              <w:tc>
                <w:tcPr>
                  <w:tcW w:w="1553" w:type="dxa"/>
                  <w:vAlign w:val="center"/>
                </w:tcPr>
                <w:p>
                  <w:pPr>
                    <w:spacing w:line="240" w:lineRule="auto"/>
                    <w:jc w:val="center"/>
                    <w:rPr>
                      <w:color w:val="auto"/>
                      <w:szCs w:val="21"/>
                      <w:highlight w:val="none"/>
                    </w:rPr>
                  </w:pPr>
                  <w:r>
                    <w:rPr>
                      <w:color w:val="auto"/>
                      <w:szCs w:val="21"/>
                      <w:highlight w:val="none"/>
                    </w:rPr>
                    <w:t xml:space="preserve">7202 </w:t>
                  </w:r>
                </w:p>
              </w:tc>
              <w:tc>
                <w:tcPr>
                  <w:tcW w:w="1553" w:type="dxa"/>
                  <w:vAlign w:val="center"/>
                </w:tcPr>
                <w:p>
                  <w:pPr>
                    <w:spacing w:line="240" w:lineRule="auto"/>
                    <w:jc w:val="center"/>
                    <w:rPr>
                      <w:color w:val="auto"/>
                      <w:szCs w:val="21"/>
                      <w:highlight w:val="none"/>
                    </w:rPr>
                  </w:pPr>
                  <w:r>
                    <w:rPr>
                      <w:color w:val="auto"/>
                      <w:szCs w:val="21"/>
                      <w:highlight w:val="none"/>
                    </w:rPr>
                    <w:t xml:space="preserve">2.41 </w:t>
                  </w:r>
                </w:p>
              </w:tc>
              <w:tc>
                <w:tcPr>
                  <w:tcW w:w="1554" w:type="dxa"/>
                  <w:vAlign w:val="center"/>
                </w:tcPr>
                <w:p>
                  <w:pPr>
                    <w:spacing w:line="240" w:lineRule="auto"/>
                    <w:jc w:val="center"/>
                    <w:rPr>
                      <w:color w:val="auto"/>
                      <w:szCs w:val="21"/>
                      <w:highlight w:val="none"/>
                    </w:rPr>
                  </w:pPr>
                  <w:r>
                    <w:rPr>
                      <w:color w:val="auto"/>
                      <w:szCs w:val="21"/>
                      <w:highlight w:val="none"/>
                    </w:rPr>
                    <w:t xml:space="preserve">0.0174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2331" w:type="dxa"/>
                  <w:gridSpan w:val="2"/>
                  <w:vAlign w:val="center"/>
                </w:tcPr>
                <w:p>
                  <w:pPr>
                    <w:spacing w:line="240" w:lineRule="auto"/>
                    <w:jc w:val="center"/>
                    <w:rPr>
                      <w:color w:val="auto"/>
                      <w:szCs w:val="21"/>
                      <w:highlight w:val="none"/>
                    </w:rPr>
                  </w:pPr>
                  <w:r>
                    <w:rPr>
                      <w:color w:val="auto"/>
                      <w:szCs w:val="21"/>
                      <w:highlight w:val="none"/>
                    </w:rPr>
                    <w:t>标准限值</w:t>
                  </w:r>
                </w:p>
              </w:tc>
              <w:tc>
                <w:tcPr>
                  <w:tcW w:w="1553" w:type="dxa"/>
                  <w:vAlign w:val="center"/>
                </w:tcPr>
                <w:p>
                  <w:pPr>
                    <w:spacing w:line="240" w:lineRule="auto"/>
                    <w:jc w:val="center"/>
                    <w:rPr>
                      <w:color w:val="auto"/>
                      <w:szCs w:val="21"/>
                      <w:highlight w:val="none"/>
                    </w:rPr>
                  </w:pPr>
                  <w:r>
                    <w:rPr>
                      <w:color w:val="auto"/>
                      <w:szCs w:val="21"/>
                      <w:highlight w:val="none"/>
                    </w:rPr>
                    <w:t>--</w:t>
                  </w:r>
                </w:p>
              </w:tc>
              <w:tc>
                <w:tcPr>
                  <w:tcW w:w="1553" w:type="dxa"/>
                  <w:vAlign w:val="center"/>
                </w:tcPr>
                <w:p>
                  <w:pPr>
                    <w:spacing w:line="240" w:lineRule="auto"/>
                    <w:jc w:val="center"/>
                    <w:rPr>
                      <w:color w:val="auto"/>
                      <w:szCs w:val="21"/>
                      <w:highlight w:val="none"/>
                    </w:rPr>
                  </w:pPr>
                  <w:r>
                    <w:rPr>
                      <w:color w:val="auto"/>
                      <w:szCs w:val="21"/>
                      <w:highlight w:val="none"/>
                    </w:rPr>
                    <w:t>10</w:t>
                  </w:r>
                </w:p>
              </w:tc>
              <w:tc>
                <w:tcPr>
                  <w:tcW w:w="1554" w:type="dxa"/>
                  <w:vAlign w:val="center"/>
                </w:tcPr>
                <w:p>
                  <w:pPr>
                    <w:spacing w:line="240" w:lineRule="auto"/>
                    <w:jc w:val="center"/>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5" w:type="dxa"/>
                  <w:vMerge w:val="continue"/>
                  <w:vAlign w:val="center"/>
                </w:tcPr>
                <w:p>
                  <w:pPr>
                    <w:spacing w:line="240" w:lineRule="auto"/>
                    <w:jc w:val="center"/>
                    <w:rPr>
                      <w:color w:val="auto"/>
                      <w:szCs w:val="21"/>
                      <w:highlight w:val="none"/>
                    </w:rPr>
                  </w:pPr>
                </w:p>
              </w:tc>
              <w:tc>
                <w:tcPr>
                  <w:tcW w:w="644" w:type="dxa"/>
                  <w:vMerge w:val="continue"/>
                  <w:vAlign w:val="center"/>
                </w:tcPr>
                <w:p>
                  <w:pPr>
                    <w:spacing w:line="240" w:lineRule="auto"/>
                    <w:jc w:val="center"/>
                    <w:rPr>
                      <w:color w:val="auto"/>
                      <w:szCs w:val="21"/>
                      <w:highlight w:val="none"/>
                    </w:rPr>
                  </w:pPr>
                </w:p>
              </w:tc>
              <w:tc>
                <w:tcPr>
                  <w:tcW w:w="2331" w:type="dxa"/>
                  <w:gridSpan w:val="2"/>
                  <w:vAlign w:val="center"/>
                </w:tcPr>
                <w:p>
                  <w:pPr>
                    <w:spacing w:line="240" w:lineRule="auto"/>
                    <w:jc w:val="center"/>
                    <w:rPr>
                      <w:color w:val="auto"/>
                      <w:szCs w:val="21"/>
                      <w:highlight w:val="none"/>
                    </w:rPr>
                  </w:pPr>
                  <w:r>
                    <w:rPr>
                      <w:color w:val="auto"/>
                      <w:szCs w:val="21"/>
                      <w:highlight w:val="none"/>
                    </w:rPr>
                    <w:t>达标情况</w:t>
                  </w:r>
                </w:p>
              </w:tc>
              <w:tc>
                <w:tcPr>
                  <w:tcW w:w="1553" w:type="dxa"/>
                  <w:vAlign w:val="center"/>
                </w:tcPr>
                <w:p>
                  <w:pPr>
                    <w:spacing w:line="240" w:lineRule="auto"/>
                    <w:jc w:val="center"/>
                    <w:rPr>
                      <w:color w:val="auto"/>
                      <w:szCs w:val="21"/>
                      <w:highlight w:val="none"/>
                    </w:rPr>
                  </w:pPr>
                  <w:r>
                    <w:rPr>
                      <w:color w:val="auto"/>
                      <w:szCs w:val="21"/>
                      <w:highlight w:val="none"/>
                    </w:rPr>
                    <w:t>--</w:t>
                  </w:r>
                </w:p>
              </w:tc>
              <w:tc>
                <w:tcPr>
                  <w:tcW w:w="1553" w:type="dxa"/>
                  <w:vAlign w:val="center"/>
                </w:tcPr>
                <w:p>
                  <w:pPr>
                    <w:spacing w:line="240" w:lineRule="auto"/>
                    <w:jc w:val="center"/>
                    <w:rPr>
                      <w:color w:val="auto"/>
                      <w:szCs w:val="21"/>
                      <w:highlight w:val="none"/>
                    </w:rPr>
                  </w:pPr>
                  <w:r>
                    <w:rPr>
                      <w:color w:val="auto"/>
                      <w:szCs w:val="21"/>
                      <w:highlight w:val="none"/>
                    </w:rPr>
                    <w:t>达标</w:t>
                  </w:r>
                </w:p>
              </w:tc>
              <w:tc>
                <w:tcPr>
                  <w:tcW w:w="1554" w:type="dxa"/>
                  <w:vAlign w:val="center"/>
                </w:tcPr>
                <w:p>
                  <w:pPr>
                    <w:spacing w:line="240" w:lineRule="auto"/>
                    <w:jc w:val="center"/>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300" w:type="dxa"/>
                  <w:gridSpan w:val="7"/>
                  <w:vAlign w:val="center"/>
                </w:tcPr>
                <w:p>
                  <w:pPr>
                    <w:spacing w:line="240" w:lineRule="auto"/>
                    <w:jc w:val="both"/>
                    <w:rPr>
                      <w:color w:val="auto"/>
                      <w:szCs w:val="21"/>
                      <w:highlight w:val="none"/>
                    </w:rPr>
                  </w:pPr>
                  <w:r>
                    <w:rPr>
                      <w:rFonts w:hint="eastAsia"/>
                      <w:color w:val="auto"/>
                      <w:szCs w:val="21"/>
                      <w:highlight w:val="none"/>
                    </w:rPr>
                    <w:t>注：</w:t>
                  </w:r>
                  <w:r>
                    <w:rPr>
                      <w:color w:val="auto"/>
                      <w:szCs w:val="21"/>
                      <w:highlight w:val="none"/>
                    </w:rPr>
                    <w:t>一级二级消化工序布袋除尘器根据实际情况无法监测除尘器进口情况，故未考察处理效率</w:t>
                  </w:r>
                  <w:r>
                    <w:rPr>
                      <w:rFonts w:hint="eastAsia"/>
                      <w:color w:val="auto"/>
                      <w:szCs w:val="21"/>
                      <w:highlight w:val="none"/>
                    </w:rPr>
                    <w:t>。</w:t>
                  </w:r>
                </w:p>
              </w:tc>
            </w:tr>
          </w:tbl>
          <w:p>
            <w:pPr>
              <w:pStyle w:val="2"/>
              <w:ind w:firstLine="420" w:firstLineChars="200"/>
              <w:rPr>
                <w:color w:val="auto"/>
                <w:highlight w:val="none"/>
              </w:rPr>
            </w:pPr>
            <w:r>
              <w:rPr>
                <w:rFonts w:hint="eastAsia"/>
                <w:color w:val="auto"/>
                <w:highlight w:val="none"/>
              </w:rPr>
              <w:t>根据类比项目监测数据，类比项目氢氧化钙年产量为1</w:t>
            </w:r>
            <w:r>
              <w:rPr>
                <w:rFonts w:hint="eastAsia"/>
                <w:color w:val="auto"/>
                <w:szCs w:val="21"/>
                <w:highlight w:val="none"/>
              </w:rPr>
              <w:t>万吨，排放速率平均值为0.0431kg/h，类比项目</w:t>
            </w:r>
            <w:r>
              <w:rPr>
                <w:color w:val="auto"/>
                <w:szCs w:val="21"/>
                <w:highlight w:val="none"/>
              </w:rPr>
              <w:t>全年工作2400小时</w:t>
            </w:r>
            <w:r>
              <w:rPr>
                <w:rFonts w:hint="eastAsia"/>
                <w:color w:val="auto"/>
                <w:szCs w:val="21"/>
                <w:highlight w:val="none"/>
              </w:rPr>
              <w:t>，故排放量为0.103t/a。取布袋除尘器处理效率为90%，设备直接连接管道，收集效率取90%，故产生量为1.15t/a。得产污系数为0.115kg/t</w:t>
            </w:r>
            <w:r>
              <w:rPr>
                <w:color w:val="auto"/>
                <w:highlight w:val="none"/>
              </w:rPr>
              <w:t>-产品</w:t>
            </w:r>
            <w:r>
              <w:rPr>
                <w:rFonts w:hint="eastAsia"/>
                <w:color w:val="auto"/>
                <w:szCs w:val="21"/>
                <w:highlight w:val="none"/>
              </w:rPr>
              <w:t>。</w:t>
            </w:r>
          </w:p>
          <w:p>
            <w:pPr>
              <w:ind w:firstLine="420" w:firstLineChars="200"/>
              <w:rPr>
                <w:color w:val="auto"/>
                <w:highlight w:val="none"/>
              </w:rPr>
            </w:pPr>
            <w:r>
              <w:rPr>
                <w:rFonts w:hint="eastAsia"/>
                <w:color w:val="auto"/>
                <w:highlight w:val="none"/>
              </w:rPr>
              <w:t>本项目氢氧化钙年产量为10万吨，颗粒物一级、二级</w:t>
            </w:r>
            <w:r>
              <w:rPr>
                <w:color w:val="auto"/>
                <w:highlight w:val="none"/>
              </w:rPr>
              <w:t>产污系数</w:t>
            </w:r>
            <w:r>
              <w:rPr>
                <w:rFonts w:hint="eastAsia"/>
                <w:color w:val="auto"/>
                <w:highlight w:val="none"/>
              </w:rPr>
              <w:t>合计</w:t>
            </w:r>
            <w:r>
              <w:rPr>
                <w:color w:val="auto"/>
                <w:highlight w:val="none"/>
              </w:rPr>
              <w:t>为</w:t>
            </w:r>
            <w:r>
              <w:rPr>
                <w:rFonts w:hint="eastAsia"/>
                <w:color w:val="auto"/>
                <w:szCs w:val="21"/>
                <w:highlight w:val="none"/>
              </w:rPr>
              <w:t>0.115kg/t</w:t>
            </w:r>
            <w:r>
              <w:rPr>
                <w:color w:val="auto"/>
                <w:highlight w:val="none"/>
              </w:rPr>
              <w:t>-产品</w:t>
            </w:r>
            <w:r>
              <w:rPr>
                <w:rFonts w:hint="eastAsia"/>
                <w:color w:val="auto"/>
                <w:highlight w:val="none"/>
              </w:rPr>
              <w:t>，一级、二级颗粒物产生量为11.5t；三级消化按保守估计产污系数按一半计算，即</w:t>
            </w:r>
            <w:r>
              <w:rPr>
                <w:rFonts w:hint="eastAsia"/>
                <w:color w:val="auto"/>
                <w:szCs w:val="21"/>
                <w:highlight w:val="none"/>
              </w:rPr>
              <w:t>0.0575kg/t</w:t>
            </w:r>
            <w:r>
              <w:rPr>
                <w:color w:val="auto"/>
                <w:highlight w:val="none"/>
              </w:rPr>
              <w:t>-产品</w:t>
            </w:r>
            <w:r>
              <w:rPr>
                <w:rFonts w:hint="eastAsia"/>
                <w:color w:val="auto"/>
                <w:highlight w:val="none"/>
              </w:rPr>
              <w:t>，故三级颗粒物产生量为5.75t。本项目一级、二级、三级消化颗粒物产生量合计为17.25t/a。</w:t>
            </w:r>
          </w:p>
          <w:p>
            <w:pPr>
              <w:ind w:firstLine="420" w:firstLineChars="200"/>
              <w:rPr>
                <w:color w:val="auto"/>
                <w:highlight w:val="none"/>
              </w:rPr>
            </w:pPr>
            <w:r>
              <w:rPr>
                <w:rFonts w:hint="eastAsia"/>
                <w:color w:val="auto"/>
                <w:highlight w:val="none"/>
              </w:rPr>
              <w:t>本项目1#、2#</w:t>
            </w:r>
            <w:r>
              <w:rPr>
                <w:color w:val="auto"/>
                <w:highlight w:val="none"/>
              </w:rPr>
              <w:t>脉冲布袋除</w:t>
            </w:r>
            <w:r>
              <w:rPr>
                <w:rFonts w:hint="eastAsia"/>
                <w:color w:val="auto"/>
                <w:highlight w:val="none"/>
              </w:rPr>
              <w:t>尘器风量均为6500m</w:t>
            </w:r>
            <w:r>
              <w:rPr>
                <w:rFonts w:hint="eastAsia"/>
                <w:color w:val="auto"/>
                <w:highlight w:val="none"/>
                <w:vertAlign w:val="superscript"/>
              </w:rPr>
              <w:t>3</w:t>
            </w:r>
            <w:r>
              <w:rPr>
                <w:rFonts w:hint="eastAsia"/>
                <w:color w:val="auto"/>
                <w:highlight w:val="none"/>
              </w:rPr>
              <w:t>/h，故总风量为13000m</w:t>
            </w:r>
            <w:r>
              <w:rPr>
                <w:rFonts w:hint="eastAsia"/>
                <w:color w:val="auto"/>
                <w:highlight w:val="none"/>
                <w:vertAlign w:val="superscript"/>
              </w:rPr>
              <w:t>3</w:t>
            </w:r>
            <w:r>
              <w:rPr>
                <w:rFonts w:hint="eastAsia"/>
                <w:color w:val="auto"/>
                <w:highlight w:val="none"/>
              </w:rPr>
              <w:t>/h，消化过程产生的颗粒物收集后采用自带脉冲布袋除尘器（收集效率为95%）进行处理</w:t>
            </w:r>
            <w:r>
              <w:rPr>
                <w:color w:val="auto"/>
                <w:highlight w:val="none"/>
              </w:rPr>
              <w:t>后</w:t>
            </w:r>
            <w:r>
              <w:rPr>
                <w:rFonts w:hint="eastAsia"/>
                <w:color w:val="auto"/>
                <w:highlight w:val="none"/>
              </w:rPr>
              <w:t>经15m高DA001排气筒排放，</w:t>
            </w:r>
            <w:r>
              <w:rPr>
                <w:color w:val="auto"/>
                <w:highlight w:val="none"/>
              </w:rPr>
              <w:t>项目</w:t>
            </w:r>
            <w:r>
              <w:rPr>
                <w:rFonts w:hint="eastAsia"/>
                <w:color w:val="auto"/>
                <w:highlight w:val="none"/>
              </w:rPr>
              <w:t>消化</w:t>
            </w:r>
            <w:r>
              <w:rPr>
                <w:color w:val="auto"/>
                <w:highlight w:val="none"/>
              </w:rPr>
              <w:t>工序的年工作时间</w:t>
            </w:r>
            <w:r>
              <w:rPr>
                <w:rFonts w:hint="eastAsia"/>
                <w:color w:val="auto"/>
                <w:highlight w:val="none"/>
              </w:rPr>
              <w:t>为</w:t>
            </w:r>
            <w:r>
              <w:rPr>
                <w:color w:val="auto"/>
                <w:highlight w:val="none"/>
              </w:rPr>
              <w:t>2400小时</w:t>
            </w:r>
            <w:r>
              <w:rPr>
                <w:rFonts w:hint="eastAsia"/>
                <w:color w:val="auto"/>
                <w:highlight w:val="none"/>
              </w:rPr>
              <w:t>。</w:t>
            </w:r>
          </w:p>
          <w:p>
            <w:pPr>
              <w:ind w:firstLine="480"/>
              <w:rPr>
                <w:color w:val="auto"/>
                <w:highlight w:val="none"/>
              </w:rPr>
            </w:pPr>
            <w:r>
              <w:rPr>
                <w:rFonts w:hint="eastAsia"/>
                <w:b/>
                <w:bCs/>
                <w:color w:val="auto"/>
                <w:kern w:val="0"/>
                <w:szCs w:val="21"/>
                <w:highlight w:val="none"/>
              </w:rPr>
              <w:t>收集及处理效率分析：</w:t>
            </w:r>
            <w:r>
              <w:rPr>
                <w:rFonts w:hint="eastAsia"/>
                <w:color w:val="auto"/>
                <w:kern w:val="0"/>
                <w:szCs w:val="21"/>
                <w:highlight w:val="none"/>
              </w:rPr>
              <w:t>消化器自带脉冲布袋除尘器，相当于设备直连，效率可达100%，保守考虑，本项目收集效率取95%；</w:t>
            </w:r>
            <w:r>
              <w:rPr>
                <w:color w:val="auto"/>
                <w:highlight w:val="none"/>
              </w:rPr>
              <w:t>参考《</w:t>
            </w:r>
            <w:r>
              <w:rPr>
                <w:rFonts w:hint="eastAsia"/>
                <w:color w:val="auto"/>
                <w:highlight w:val="none"/>
              </w:rPr>
              <w:t>3011水泥制造行业</w:t>
            </w:r>
            <w:r>
              <w:rPr>
                <w:color w:val="auto"/>
                <w:highlight w:val="none"/>
              </w:rPr>
              <w:t>》</w:t>
            </w:r>
            <w:r>
              <w:rPr>
                <w:rFonts w:hint="eastAsia"/>
                <w:color w:val="auto"/>
                <w:highlight w:val="none"/>
              </w:rPr>
              <w:t>-粉磨站</w:t>
            </w:r>
            <w:r>
              <w:rPr>
                <w:color w:val="auto"/>
                <w:highlight w:val="none"/>
              </w:rPr>
              <w:t>，袋式除尘效率可达99%，本项目取处理效率为9</w:t>
            </w:r>
            <w:r>
              <w:rPr>
                <w:rFonts w:hint="eastAsia"/>
                <w:color w:val="auto"/>
                <w:highlight w:val="none"/>
              </w:rPr>
              <w:t>5</w:t>
            </w:r>
            <w:r>
              <w:rPr>
                <w:color w:val="auto"/>
                <w:highlight w:val="none"/>
              </w:rPr>
              <w:t>%。</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消化废气产排情况一览表</w:t>
            </w:r>
          </w:p>
          <w:tbl>
            <w:tblPr>
              <w:tblStyle w:val="28"/>
              <w:tblW w:w="5000" w:type="pct"/>
              <w:jc w:val="center"/>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505"/>
              <w:gridCol w:w="594"/>
              <w:gridCol w:w="525"/>
              <w:gridCol w:w="699"/>
              <w:gridCol w:w="1024"/>
              <w:gridCol w:w="790"/>
              <w:gridCol w:w="636"/>
              <w:gridCol w:w="674"/>
              <w:gridCol w:w="568"/>
              <w:gridCol w:w="998"/>
              <w:gridCol w:w="591"/>
              <w:gridCol w:w="696"/>
            </w:tblGrid>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04" w:type="pct"/>
                  <w:vAlign w:val="center"/>
                </w:tcPr>
                <w:p>
                  <w:pPr>
                    <w:autoSpaceDE w:val="0"/>
                    <w:spacing w:line="240" w:lineRule="auto"/>
                    <w:jc w:val="center"/>
                    <w:rPr>
                      <w:color w:val="auto"/>
                      <w:szCs w:val="21"/>
                      <w:highlight w:val="none"/>
                    </w:rPr>
                  </w:pPr>
                  <w:r>
                    <w:rPr>
                      <w:color w:val="auto"/>
                      <w:szCs w:val="21"/>
                      <w:highlight w:val="none"/>
                    </w:rPr>
                    <w:t>污染源</w:t>
                  </w:r>
                </w:p>
              </w:tc>
              <w:tc>
                <w:tcPr>
                  <w:tcW w:w="357" w:type="pct"/>
                  <w:vAlign w:val="center"/>
                </w:tcPr>
                <w:p>
                  <w:pPr>
                    <w:autoSpaceDE w:val="0"/>
                    <w:spacing w:line="240" w:lineRule="auto"/>
                    <w:jc w:val="center"/>
                    <w:rPr>
                      <w:color w:val="auto"/>
                      <w:szCs w:val="21"/>
                      <w:highlight w:val="none"/>
                    </w:rPr>
                  </w:pPr>
                  <w:r>
                    <w:rPr>
                      <w:color w:val="auto"/>
                      <w:szCs w:val="21"/>
                      <w:highlight w:val="none"/>
                    </w:rPr>
                    <w:t>污染物</w:t>
                  </w:r>
                </w:p>
              </w:tc>
              <w:tc>
                <w:tcPr>
                  <w:tcW w:w="316" w:type="pct"/>
                  <w:tcBorders>
                    <w:right w:val="single" w:color="auto" w:sz="4" w:space="0"/>
                  </w:tcBorders>
                  <w:vAlign w:val="center"/>
                </w:tcPr>
                <w:p>
                  <w:pPr>
                    <w:autoSpaceDE w:val="0"/>
                    <w:spacing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收集效率</w:t>
                  </w:r>
                </w:p>
              </w:tc>
              <w:tc>
                <w:tcPr>
                  <w:tcW w:w="421" w:type="pct"/>
                  <w:tcBorders>
                    <w:left w:val="single" w:color="auto" w:sz="4" w:space="0"/>
                    <w:right w:val="single" w:color="auto" w:sz="4" w:space="0"/>
                  </w:tcBorders>
                  <w:vAlign w:val="center"/>
                </w:tcPr>
                <w:p>
                  <w:pPr>
                    <w:autoSpaceDE w:val="0"/>
                    <w:spacing w:line="240" w:lineRule="auto"/>
                    <w:jc w:val="center"/>
                    <w:rPr>
                      <w:color w:val="auto"/>
                      <w:szCs w:val="21"/>
                      <w:highlight w:val="none"/>
                    </w:rPr>
                  </w:pPr>
                  <w:r>
                    <w:rPr>
                      <w:color w:val="auto"/>
                      <w:szCs w:val="21"/>
                      <w:highlight w:val="none"/>
                    </w:rPr>
                    <w:t>排放口</w:t>
                  </w:r>
                </w:p>
              </w:tc>
              <w:tc>
                <w:tcPr>
                  <w:tcW w:w="616" w:type="pct"/>
                  <w:tcBorders>
                    <w:left w:val="single" w:color="auto" w:sz="4" w:space="0"/>
                    <w:right w:val="single" w:color="auto" w:sz="4" w:space="0"/>
                  </w:tcBorders>
                  <w:vAlign w:val="center"/>
                </w:tcPr>
                <w:p>
                  <w:pPr>
                    <w:autoSpaceDE w:val="0"/>
                    <w:spacing w:line="240" w:lineRule="auto"/>
                    <w:jc w:val="center"/>
                    <w:rPr>
                      <w:color w:val="auto"/>
                      <w:szCs w:val="21"/>
                      <w:highlight w:val="none"/>
                    </w:rPr>
                  </w:pPr>
                  <w:r>
                    <w:rPr>
                      <w:color w:val="auto"/>
                      <w:szCs w:val="21"/>
                      <w:highlight w:val="none"/>
                    </w:rPr>
                    <w:t>产生浓度</w:t>
                  </w:r>
                </w:p>
                <w:p>
                  <w:pPr>
                    <w:autoSpaceDE w:val="0"/>
                    <w:spacing w:line="240" w:lineRule="auto"/>
                    <w:jc w:val="center"/>
                    <w:rPr>
                      <w:color w:val="auto"/>
                      <w:szCs w:val="21"/>
                      <w:highlight w:val="none"/>
                    </w:rPr>
                  </w:pPr>
                  <w:r>
                    <w:rPr>
                      <w:color w:val="auto"/>
                      <w:szCs w:val="21"/>
                      <w:highlight w:val="none"/>
                    </w:rPr>
                    <w:t>（mg/m</w:t>
                  </w:r>
                  <w:r>
                    <w:rPr>
                      <w:color w:val="auto"/>
                      <w:szCs w:val="21"/>
                      <w:highlight w:val="none"/>
                      <w:vertAlign w:val="superscript"/>
                    </w:rPr>
                    <w:t>3</w:t>
                  </w:r>
                  <w:r>
                    <w:rPr>
                      <w:color w:val="auto"/>
                      <w:szCs w:val="21"/>
                      <w:highlight w:val="none"/>
                    </w:rPr>
                    <w:t>）</w:t>
                  </w:r>
                </w:p>
              </w:tc>
              <w:tc>
                <w:tcPr>
                  <w:tcW w:w="475" w:type="pct"/>
                  <w:tcBorders>
                    <w:left w:val="single" w:color="auto" w:sz="4" w:space="0"/>
                  </w:tcBorders>
                  <w:vAlign w:val="center"/>
                </w:tcPr>
                <w:p>
                  <w:pPr>
                    <w:autoSpaceDE w:val="0"/>
                    <w:spacing w:line="240" w:lineRule="auto"/>
                    <w:jc w:val="center"/>
                    <w:rPr>
                      <w:color w:val="auto"/>
                      <w:szCs w:val="21"/>
                      <w:highlight w:val="none"/>
                    </w:rPr>
                  </w:pPr>
                  <w:r>
                    <w:rPr>
                      <w:color w:val="auto"/>
                      <w:szCs w:val="21"/>
                      <w:highlight w:val="none"/>
                    </w:rPr>
                    <w:t>产生速率kg/h</w:t>
                  </w:r>
                </w:p>
              </w:tc>
              <w:tc>
                <w:tcPr>
                  <w:tcW w:w="383" w:type="pct"/>
                  <w:vAlign w:val="center"/>
                </w:tcPr>
                <w:p>
                  <w:pPr>
                    <w:autoSpaceDE w:val="0"/>
                    <w:spacing w:line="240" w:lineRule="auto"/>
                    <w:jc w:val="center"/>
                    <w:rPr>
                      <w:color w:val="auto"/>
                      <w:szCs w:val="21"/>
                      <w:highlight w:val="none"/>
                    </w:rPr>
                  </w:pPr>
                  <w:r>
                    <w:rPr>
                      <w:color w:val="auto"/>
                      <w:szCs w:val="21"/>
                      <w:highlight w:val="none"/>
                    </w:rPr>
                    <w:t>产生量</w:t>
                  </w:r>
                </w:p>
                <w:p>
                  <w:pPr>
                    <w:autoSpaceDE w:val="0"/>
                    <w:spacing w:line="240" w:lineRule="auto"/>
                    <w:jc w:val="center"/>
                    <w:rPr>
                      <w:color w:val="auto"/>
                      <w:szCs w:val="21"/>
                      <w:highlight w:val="none"/>
                    </w:rPr>
                  </w:pPr>
                  <w:r>
                    <w:rPr>
                      <w:color w:val="auto"/>
                      <w:szCs w:val="21"/>
                      <w:highlight w:val="none"/>
                    </w:rPr>
                    <w:t>（t/a）</w:t>
                  </w:r>
                </w:p>
              </w:tc>
              <w:tc>
                <w:tcPr>
                  <w:tcW w:w="406" w:type="pct"/>
                  <w:vAlign w:val="center"/>
                </w:tcPr>
                <w:p>
                  <w:pPr>
                    <w:autoSpaceDE w:val="0"/>
                    <w:spacing w:line="240" w:lineRule="auto"/>
                    <w:jc w:val="center"/>
                    <w:rPr>
                      <w:color w:val="auto"/>
                      <w:szCs w:val="21"/>
                      <w:highlight w:val="none"/>
                    </w:rPr>
                  </w:pPr>
                  <w:r>
                    <w:rPr>
                      <w:color w:val="auto"/>
                      <w:szCs w:val="21"/>
                      <w:highlight w:val="none"/>
                    </w:rPr>
                    <w:t>处理能力m</w:t>
                  </w:r>
                  <w:r>
                    <w:rPr>
                      <w:color w:val="auto"/>
                      <w:szCs w:val="21"/>
                      <w:highlight w:val="none"/>
                      <w:vertAlign w:val="superscript"/>
                    </w:rPr>
                    <w:t>3</w:t>
                  </w:r>
                  <w:r>
                    <w:rPr>
                      <w:color w:val="auto"/>
                      <w:szCs w:val="21"/>
                      <w:highlight w:val="none"/>
                    </w:rPr>
                    <w:t>/h</w:t>
                  </w:r>
                </w:p>
              </w:tc>
              <w:tc>
                <w:tcPr>
                  <w:tcW w:w="342" w:type="pct"/>
                  <w:vAlign w:val="center"/>
                </w:tcPr>
                <w:p>
                  <w:pPr>
                    <w:autoSpaceDE w:val="0"/>
                    <w:spacing w:line="240" w:lineRule="auto"/>
                    <w:jc w:val="center"/>
                    <w:rPr>
                      <w:color w:val="auto"/>
                      <w:szCs w:val="21"/>
                      <w:highlight w:val="none"/>
                    </w:rPr>
                  </w:pPr>
                  <w:r>
                    <w:rPr>
                      <w:color w:val="auto"/>
                      <w:szCs w:val="21"/>
                      <w:highlight w:val="none"/>
                    </w:rPr>
                    <w:t>处理效率（%）</w:t>
                  </w:r>
                </w:p>
              </w:tc>
              <w:tc>
                <w:tcPr>
                  <w:tcW w:w="601" w:type="pct"/>
                  <w:vAlign w:val="center"/>
                </w:tcPr>
                <w:p>
                  <w:pPr>
                    <w:autoSpaceDE w:val="0"/>
                    <w:spacing w:line="240" w:lineRule="auto"/>
                    <w:jc w:val="center"/>
                    <w:rPr>
                      <w:color w:val="auto"/>
                      <w:szCs w:val="21"/>
                      <w:highlight w:val="none"/>
                    </w:rPr>
                  </w:pPr>
                  <w:r>
                    <w:rPr>
                      <w:color w:val="auto"/>
                      <w:szCs w:val="21"/>
                      <w:highlight w:val="none"/>
                    </w:rPr>
                    <w:t>排放浓度</w:t>
                  </w:r>
                </w:p>
                <w:p>
                  <w:pPr>
                    <w:autoSpaceDE w:val="0"/>
                    <w:spacing w:line="240" w:lineRule="auto"/>
                    <w:jc w:val="center"/>
                    <w:rPr>
                      <w:color w:val="auto"/>
                      <w:szCs w:val="21"/>
                      <w:highlight w:val="none"/>
                    </w:rPr>
                  </w:pPr>
                  <w:r>
                    <w:rPr>
                      <w:color w:val="auto"/>
                      <w:szCs w:val="21"/>
                      <w:highlight w:val="none"/>
                    </w:rPr>
                    <w:t>（mg/m</w:t>
                  </w:r>
                  <w:r>
                    <w:rPr>
                      <w:color w:val="auto"/>
                      <w:szCs w:val="21"/>
                      <w:highlight w:val="none"/>
                      <w:vertAlign w:val="superscript"/>
                    </w:rPr>
                    <w:t>3</w:t>
                  </w:r>
                  <w:r>
                    <w:rPr>
                      <w:color w:val="auto"/>
                      <w:szCs w:val="21"/>
                      <w:highlight w:val="none"/>
                    </w:rPr>
                    <w:t>）</w:t>
                  </w:r>
                </w:p>
              </w:tc>
              <w:tc>
                <w:tcPr>
                  <w:tcW w:w="356" w:type="pct"/>
                  <w:vAlign w:val="center"/>
                </w:tcPr>
                <w:p>
                  <w:pPr>
                    <w:autoSpaceDE w:val="0"/>
                    <w:spacing w:line="240" w:lineRule="auto"/>
                    <w:jc w:val="center"/>
                    <w:rPr>
                      <w:color w:val="auto"/>
                      <w:szCs w:val="21"/>
                      <w:highlight w:val="none"/>
                    </w:rPr>
                  </w:pPr>
                  <w:r>
                    <w:rPr>
                      <w:color w:val="auto"/>
                      <w:szCs w:val="21"/>
                      <w:highlight w:val="none"/>
                    </w:rPr>
                    <w:t>排放速率kg/h</w:t>
                  </w:r>
                </w:p>
              </w:tc>
              <w:tc>
                <w:tcPr>
                  <w:tcW w:w="419" w:type="pct"/>
                  <w:vAlign w:val="center"/>
                </w:tcPr>
                <w:p>
                  <w:pPr>
                    <w:autoSpaceDE w:val="0"/>
                    <w:spacing w:line="240" w:lineRule="auto"/>
                    <w:jc w:val="center"/>
                    <w:rPr>
                      <w:color w:val="auto"/>
                      <w:szCs w:val="21"/>
                      <w:highlight w:val="none"/>
                    </w:rPr>
                  </w:pPr>
                  <w:r>
                    <w:rPr>
                      <w:color w:val="auto"/>
                      <w:szCs w:val="21"/>
                      <w:highlight w:val="none"/>
                    </w:rPr>
                    <w:t>排放量</w:t>
                  </w:r>
                </w:p>
                <w:p>
                  <w:pPr>
                    <w:autoSpaceDE w:val="0"/>
                    <w:spacing w:line="240" w:lineRule="auto"/>
                    <w:jc w:val="center"/>
                    <w:rPr>
                      <w:color w:val="auto"/>
                      <w:szCs w:val="21"/>
                      <w:highlight w:val="none"/>
                    </w:rPr>
                  </w:pPr>
                  <w:r>
                    <w:rPr>
                      <w:color w:val="auto"/>
                      <w:szCs w:val="21"/>
                      <w:highlight w:val="none"/>
                    </w:rPr>
                    <w:t>（t/a）</w:t>
                  </w:r>
                </w:p>
              </w:tc>
            </w:tr>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04" w:type="pct"/>
                  <w:vMerge w:val="restart"/>
                  <w:vAlign w:val="center"/>
                </w:tcPr>
                <w:p>
                  <w:pPr>
                    <w:autoSpaceDE w:val="0"/>
                    <w:spacing w:line="240" w:lineRule="auto"/>
                    <w:jc w:val="center"/>
                    <w:rPr>
                      <w:color w:val="auto"/>
                      <w:szCs w:val="21"/>
                      <w:highlight w:val="none"/>
                    </w:rPr>
                  </w:pPr>
                  <w:r>
                    <w:rPr>
                      <w:rFonts w:hint="eastAsia"/>
                      <w:color w:val="auto"/>
                      <w:szCs w:val="21"/>
                      <w:highlight w:val="none"/>
                    </w:rPr>
                    <w:t>消化废气</w:t>
                  </w:r>
                </w:p>
              </w:tc>
              <w:tc>
                <w:tcPr>
                  <w:tcW w:w="357" w:type="pct"/>
                  <w:vMerge w:val="restart"/>
                  <w:vAlign w:val="center"/>
                </w:tcPr>
                <w:p>
                  <w:pPr>
                    <w:autoSpaceDE w:val="0"/>
                    <w:spacing w:line="240" w:lineRule="auto"/>
                    <w:jc w:val="center"/>
                    <w:rPr>
                      <w:color w:val="auto"/>
                      <w:szCs w:val="21"/>
                      <w:highlight w:val="none"/>
                    </w:rPr>
                  </w:pPr>
                  <w:r>
                    <w:rPr>
                      <w:rFonts w:hint="eastAsia"/>
                      <w:color w:val="auto"/>
                      <w:szCs w:val="21"/>
                      <w:highlight w:val="none"/>
                    </w:rPr>
                    <w:t>颗粒物</w:t>
                  </w:r>
                </w:p>
              </w:tc>
              <w:tc>
                <w:tcPr>
                  <w:tcW w:w="316" w:type="pct"/>
                  <w:tcBorders>
                    <w:right w:val="single" w:color="auto" w:sz="4" w:space="0"/>
                  </w:tcBorders>
                  <w:vAlign w:val="center"/>
                </w:tcPr>
                <w:p>
                  <w:pPr>
                    <w:spacing w:line="240" w:lineRule="auto"/>
                    <w:jc w:val="center"/>
                    <w:rPr>
                      <w:rFonts w:hint="default" w:eastAsia="宋体"/>
                      <w:color w:val="auto"/>
                      <w:szCs w:val="21"/>
                      <w:highlight w:val="none"/>
                      <w:lang w:val="en-US" w:eastAsia="zh-CN"/>
                    </w:rPr>
                  </w:pPr>
                  <w:r>
                    <w:rPr>
                      <w:rFonts w:hint="eastAsia"/>
                      <w:color w:val="auto"/>
                      <w:szCs w:val="21"/>
                      <w:highlight w:val="none"/>
                      <w:lang w:val="en-US" w:eastAsia="zh-CN"/>
                    </w:rPr>
                    <w:t>95%</w:t>
                  </w:r>
                </w:p>
              </w:tc>
              <w:tc>
                <w:tcPr>
                  <w:tcW w:w="421" w:type="pct"/>
                  <w:tcBorders>
                    <w:left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DA00</w:t>
                  </w:r>
                  <w:r>
                    <w:rPr>
                      <w:rFonts w:hint="eastAsia"/>
                      <w:color w:val="auto"/>
                      <w:szCs w:val="21"/>
                      <w:highlight w:val="none"/>
                    </w:rPr>
                    <w:t>1</w:t>
                  </w:r>
                </w:p>
              </w:tc>
              <w:tc>
                <w:tcPr>
                  <w:tcW w:w="616" w:type="pct"/>
                  <w:tcBorders>
                    <w:left w:val="single" w:color="auto" w:sz="4" w:space="0"/>
                    <w:right w:val="single" w:color="auto" w:sz="4" w:space="0"/>
                  </w:tcBorders>
                  <w:vAlign w:val="center"/>
                </w:tcPr>
                <w:p>
                  <w:pPr>
                    <w:jc w:val="center"/>
                    <w:textAlignment w:val="bottom"/>
                    <w:rPr>
                      <w:color w:val="auto"/>
                      <w:szCs w:val="21"/>
                      <w:highlight w:val="none"/>
                    </w:rPr>
                  </w:pPr>
                  <w:r>
                    <w:rPr>
                      <w:color w:val="auto"/>
                      <w:kern w:val="0"/>
                      <w:szCs w:val="21"/>
                      <w:highlight w:val="none"/>
                      <w:lang w:bidi="ar"/>
                    </w:rPr>
                    <w:t xml:space="preserve">525.240 </w:t>
                  </w:r>
                </w:p>
              </w:tc>
              <w:tc>
                <w:tcPr>
                  <w:tcW w:w="475" w:type="pct"/>
                  <w:tcBorders>
                    <w:left w:val="single" w:color="auto" w:sz="4" w:space="0"/>
                  </w:tcBorders>
                  <w:vAlign w:val="center"/>
                </w:tcPr>
                <w:p>
                  <w:pPr>
                    <w:jc w:val="center"/>
                    <w:textAlignment w:val="bottom"/>
                    <w:rPr>
                      <w:color w:val="auto"/>
                      <w:szCs w:val="21"/>
                      <w:highlight w:val="none"/>
                    </w:rPr>
                  </w:pPr>
                  <w:r>
                    <w:rPr>
                      <w:color w:val="auto"/>
                      <w:kern w:val="0"/>
                      <w:szCs w:val="21"/>
                      <w:highlight w:val="none"/>
                      <w:lang w:bidi="ar"/>
                    </w:rPr>
                    <w:t xml:space="preserve">6.828 </w:t>
                  </w:r>
                </w:p>
              </w:tc>
              <w:tc>
                <w:tcPr>
                  <w:tcW w:w="383" w:type="pct"/>
                  <w:vAlign w:val="center"/>
                </w:tcPr>
                <w:p>
                  <w:pPr>
                    <w:jc w:val="center"/>
                    <w:textAlignment w:val="bottom"/>
                    <w:rPr>
                      <w:color w:val="auto"/>
                      <w:szCs w:val="21"/>
                      <w:highlight w:val="none"/>
                    </w:rPr>
                  </w:pPr>
                  <w:r>
                    <w:rPr>
                      <w:color w:val="auto"/>
                      <w:kern w:val="0"/>
                      <w:szCs w:val="21"/>
                      <w:highlight w:val="none"/>
                      <w:lang w:bidi="ar"/>
                    </w:rPr>
                    <w:t xml:space="preserve">16.388 </w:t>
                  </w:r>
                </w:p>
              </w:tc>
              <w:tc>
                <w:tcPr>
                  <w:tcW w:w="406" w:type="pct"/>
                  <w:vAlign w:val="center"/>
                </w:tcPr>
                <w:p>
                  <w:pPr>
                    <w:spacing w:line="240" w:lineRule="auto"/>
                    <w:jc w:val="center"/>
                    <w:textAlignment w:val="bottom"/>
                    <w:rPr>
                      <w:color w:val="auto"/>
                      <w:szCs w:val="21"/>
                      <w:highlight w:val="none"/>
                    </w:rPr>
                  </w:pPr>
                  <w:r>
                    <w:rPr>
                      <w:color w:val="auto"/>
                      <w:kern w:val="0"/>
                      <w:szCs w:val="21"/>
                      <w:highlight w:val="none"/>
                      <w:lang w:bidi="ar"/>
                    </w:rPr>
                    <w:t>13000</w:t>
                  </w:r>
                </w:p>
              </w:tc>
              <w:tc>
                <w:tcPr>
                  <w:tcW w:w="342" w:type="pct"/>
                  <w:vAlign w:val="center"/>
                </w:tcPr>
                <w:p>
                  <w:pPr>
                    <w:spacing w:line="240" w:lineRule="auto"/>
                    <w:jc w:val="center"/>
                    <w:textAlignment w:val="bottom"/>
                    <w:rPr>
                      <w:color w:val="auto"/>
                      <w:szCs w:val="21"/>
                      <w:highlight w:val="none"/>
                    </w:rPr>
                  </w:pPr>
                  <w:r>
                    <w:rPr>
                      <w:color w:val="auto"/>
                      <w:kern w:val="0"/>
                      <w:szCs w:val="21"/>
                      <w:highlight w:val="none"/>
                      <w:lang w:bidi="ar"/>
                    </w:rPr>
                    <w:t>95</w:t>
                  </w:r>
                </w:p>
              </w:tc>
              <w:tc>
                <w:tcPr>
                  <w:tcW w:w="601" w:type="pct"/>
                  <w:vAlign w:val="center"/>
                </w:tcPr>
                <w:p>
                  <w:pPr>
                    <w:jc w:val="center"/>
                    <w:textAlignment w:val="bottom"/>
                    <w:rPr>
                      <w:color w:val="auto"/>
                      <w:szCs w:val="21"/>
                      <w:highlight w:val="none"/>
                    </w:rPr>
                  </w:pPr>
                  <w:r>
                    <w:rPr>
                      <w:color w:val="auto"/>
                      <w:kern w:val="0"/>
                      <w:szCs w:val="21"/>
                      <w:highlight w:val="none"/>
                      <w:lang w:bidi="ar"/>
                    </w:rPr>
                    <w:t xml:space="preserve">26.262 </w:t>
                  </w:r>
                </w:p>
              </w:tc>
              <w:tc>
                <w:tcPr>
                  <w:tcW w:w="356" w:type="pct"/>
                  <w:vAlign w:val="center"/>
                </w:tcPr>
                <w:p>
                  <w:pPr>
                    <w:jc w:val="center"/>
                    <w:textAlignment w:val="bottom"/>
                    <w:rPr>
                      <w:color w:val="auto"/>
                      <w:szCs w:val="21"/>
                      <w:highlight w:val="none"/>
                    </w:rPr>
                  </w:pPr>
                  <w:r>
                    <w:rPr>
                      <w:color w:val="auto"/>
                      <w:kern w:val="0"/>
                      <w:szCs w:val="21"/>
                      <w:highlight w:val="none"/>
                      <w:lang w:bidi="ar"/>
                    </w:rPr>
                    <w:t xml:space="preserve">0.341 </w:t>
                  </w:r>
                </w:p>
              </w:tc>
              <w:tc>
                <w:tcPr>
                  <w:tcW w:w="419" w:type="pct"/>
                  <w:vAlign w:val="center"/>
                </w:tcPr>
                <w:p>
                  <w:pPr>
                    <w:jc w:val="center"/>
                    <w:textAlignment w:val="bottom"/>
                    <w:rPr>
                      <w:color w:val="auto"/>
                      <w:szCs w:val="21"/>
                      <w:highlight w:val="none"/>
                    </w:rPr>
                  </w:pPr>
                  <w:r>
                    <w:rPr>
                      <w:color w:val="auto"/>
                      <w:kern w:val="0"/>
                      <w:szCs w:val="21"/>
                      <w:highlight w:val="none"/>
                      <w:lang w:bidi="ar"/>
                    </w:rPr>
                    <w:t xml:space="preserve">0.819 </w:t>
                  </w:r>
                </w:p>
              </w:tc>
            </w:tr>
            <w:tr>
              <w:tblPrEx>
                <w:tblBorders>
                  <w:top w:val="single" w:color="000000" w:sz="4" w:space="0"/>
                  <w:left w:val="single" w:color="000000" w:sz="4" w:space="0"/>
                  <w:bottom w:val="single" w:color="000000" w:sz="6"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04" w:type="pct"/>
                  <w:vMerge w:val="continue"/>
                  <w:vAlign w:val="center"/>
                </w:tcPr>
                <w:p>
                  <w:pPr>
                    <w:autoSpaceDE w:val="0"/>
                    <w:spacing w:line="240" w:lineRule="auto"/>
                    <w:jc w:val="center"/>
                    <w:rPr>
                      <w:color w:val="auto"/>
                      <w:szCs w:val="21"/>
                      <w:highlight w:val="none"/>
                    </w:rPr>
                  </w:pPr>
                </w:p>
              </w:tc>
              <w:tc>
                <w:tcPr>
                  <w:tcW w:w="357" w:type="pct"/>
                  <w:vMerge w:val="continue"/>
                  <w:vAlign w:val="center"/>
                </w:tcPr>
                <w:p>
                  <w:pPr>
                    <w:autoSpaceDE w:val="0"/>
                    <w:spacing w:line="240" w:lineRule="auto"/>
                    <w:jc w:val="center"/>
                    <w:rPr>
                      <w:color w:val="auto"/>
                      <w:szCs w:val="21"/>
                      <w:highlight w:val="none"/>
                    </w:rPr>
                  </w:pPr>
                </w:p>
              </w:tc>
              <w:tc>
                <w:tcPr>
                  <w:tcW w:w="316" w:type="pct"/>
                  <w:tcBorders>
                    <w:right w:val="single" w:color="auto" w:sz="4" w:space="0"/>
                  </w:tcBorders>
                  <w:vAlign w:val="center"/>
                </w:tcPr>
                <w:p>
                  <w:pPr>
                    <w:spacing w:line="240" w:lineRule="auto"/>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421" w:type="pct"/>
                  <w:tcBorders>
                    <w:left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无组织</w:t>
                  </w:r>
                </w:p>
              </w:tc>
              <w:tc>
                <w:tcPr>
                  <w:tcW w:w="616" w:type="pct"/>
                  <w:tcBorders>
                    <w:left w:val="single" w:color="auto" w:sz="4" w:space="0"/>
                    <w:right w:val="single" w:color="auto" w:sz="4" w:space="0"/>
                  </w:tcBorders>
                  <w:vAlign w:val="center"/>
                </w:tcPr>
                <w:p>
                  <w:pPr>
                    <w:jc w:val="center"/>
                    <w:textAlignment w:val="bottom"/>
                    <w:rPr>
                      <w:color w:val="auto"/>
                      <w:szCs w:val="21"/>
                      <w:highlight w:val="none"/>
                    </w:rPr>
                  </w:pPr>
                  <w:r>
                    <w:rPr>
                      <w:color w:val="auto"/>
                      <w:kern w:val="0"/>
                      <w:szCs w:val="21"/>
                      <w:highlight w:val="none"/>
                      <w:lang w:bidi="ar"/>
                    </w:rPr>
                    <w:t>/</w:t>
                  </w:r>
                </w:p>
              </w:tc>
              <w:tc>
                <w:tcPr>
                  <w:tcW w:w="475" w:type="pct"/>
                  <w:tcBorders>
                    <w:left w:val="single" w:color="auto" w:sz="4" w:space="0"/>
                  </w:tcBorders>
                  <w:vAlign w:val="center"/>
                </w:tcPr>
                <w:p>
                  <w:pPr>
                    <w:jc w:val="center"/>
                    <w:textAlignment w:val="bottom"/>
                    <w:rPr>
                      <w:color w:val="auto"/>
                      <w:szCs w:val="21"/>
                      <w:highlight w:val="none"/>
                    </w:rPr>
                  </w:pPr>
                  <w:r>
                    <w:rPr>
                      <w:color w:val="auto"/>
                      <w:kern w:val="0"/>
                      <w:szCs w:val="21"/>
                      <w:highlight w:val="none"/>
                      <w:lang w:bidi="ar"/>
                    </w:rPr>
                    <w:t xml:space="preserve">0.359 </w:t>
                  </w:r>
                </w:p>
              </w:tc>
              <w:tc>
                <w:tcPr>
                  <w:tcW w:w="383" w:type="pct"/>
                  <w:vAlign w:val="center"/>
                </w:tcPr>
                <w:p>
                  <w:pPr>
                    <w:jc w:val="center"/>
                    <w:textAlignment w:val="bottom"/>
                    <w:rPr>
                      <w:color w:val="auto"/>
                      <w:szCs w:val="21"/>
                      <w:highlight w:val="none"/>
                    </w:rPr>
                  </w:pPr>
                  <w:r>
                    <w:rPr>
                      <w:color w:val="auto"/>
                      <w:kern w:val="0"/>
                      <w:szCs w:val="21"/>
                      <w:highlight w:val="none"/>
                      <w:lang w:bidi="ar"/>
                    </w:rPr>
                    <w:t xml:space="preserve">0.863 </w:t>
                  </w:r>
                </w:p>
              </w:tc>
              <w:tc>
                <w:tcPr>
                  <w:tcW w:w="406" w:type="pct"/>
                  <w:vAlign w:val="center"/>
                </w:tcPr>
                <w:p>
                  <w:pPr>
                    <w:spacing w:line="240" w:lineRule="auto"/>
                    <w:jc w:val="center"/>
                    <w:textAlignment w:val="bottom"/>
                    <w:rPr>
                      <w:color w:val="auto"/>
                      <w:szCs w:val="21"/>
                      <w:highlight w:val="none"/>
                    </w:rPr>
                  </w:pPr>
                  <w:r>
                    <w:rPr>
                      <w:rFonts w:hint="eastAsia" w:ascii="宋体" w:hAnsi="宋体" w:cs="宋体"/>
                      <w:color w:val="auto"/>
                      <w:kern w:val="0"/>
                      <w:szCs w:val="21"/>
                      <w:highlight w:val="none"/>
                      <w:lang w:bidi="ar"/>
                    </w:rPr>
                    <w:t>/</w:t>
                  </w:r>
                </w:p>
              </w:tc>
              <w:tc>
                <w:tcPr>
                  <w:tcW w:w="342" w:type="pct"/>
                  <w:vAlign w:val="center"/>
                </w:tcPr>
                <w:p>
                  <w:pPr>
                    <w:spacing w:line="240" w:lineRule="auto"/>
                    <w:jc w:val="center"/>
                    <w:textAlignment w:val="bottom"/>
                    <w:rPr>
                      <w:color w:val="auto"/>
                      <w:szCs w:val="21"/>
                      <w:highlight w:val="none"/>
                    </w:rPr>
                  </w:pPr>
                  <w:r>
                    <w:rPr>
                      <w:color w:val="auto"/>
                      <w:kern w:val="0"/>
                      <w:szCs w:val="21"/>
                      <w:highlight w:val="none"/>
                      <w:lang w:bidi="ar"/>
                    </w:rPr>
                    <w:t>/</w:t>
                  </w:r>
                </w:p>
              </w:tc>
              <w:tc>
                <w:tcPr>
                  <w:tcW w:w="601" w:type="pct"/>
                  <w:vAlign w:val="center"/>
                </w:tcPr>
                <w:p>
                  <w:pPr>
                    <w:jc w:val="center"/>
                    <w:textAlignment w:val="bottom"/>
                    <w:rPr>
                      <w:color w:val="auto"/>
                      <w:szCs w:val="21"/>
                      <w:highlight w:val="none"/>
                    </w:rPr>
                  </w:pPr>
                  <w:r>
                    <w:rPr>
                      <w:color w:val="auto"/>
                      <w:kern w:val="0"/>
                      <w:szCs w:val="21"/>
                      <w:highlight w:val="none"/>
                      <w:lang w:bidi="ar"/>
                    </w:rPr>
                    <w:t>/</w:t>
                  </w:r>
                </w:p>
              </w:tc>
              <w:tc>
                <w:tcPr>
                  <w:tcW w:w="356" w:type="pct"/>
                  <w:vAlign w:val="center"/>
                </w:tcPr>
                <w:p>
                  <w:pPr>
                    <w:jc w:val="center"/>
                    <w:textAlignment w:val="bottom"/>
                    <w:rPr>
                      <w:color w:val="auto"/>
                      <w:szCs w:val="21"/>
                      <w:highlight w:val="none"/>
                    </w:rPr>
                  </w:pPr>
                  <w:r>
                    <w:rPr>
                      <w:color w:val="auto"/>
                      <w:kern w:val="0"/>
                      <w:szCs w:val="21"/>
                      <w:highlight w:val="none"/>
                      <w:lang w:bidi="ar"/>
                    </w:rPr>
                    <w:t xml:space="preserve">0.359 </w:t>
                  </w:r>
                </w:p>
              </w:tc>
              <w:tc>
                <w:tcPr>
                  <w:tcW w:w="419" w:type="pct"/>
                  <w:vAlign w:val="center"/>
                </w:tcPr>
                <w:p>
                  <w:pPr>
                    <w:jc w:val="center"/>
                    <w:textAlignment w:val="bottom"/>
                    <w:rPr>
                      <w:color w:val="auto"/>
                      <w:szCs w:val="21"/>
                      <w:highlight w:val="none"/>
                    </w:rPr>
                  </w:pPr>
                  <w:r>
                    <w:rPr>
                      <w:color w:val="auto"/>
                      <w:kern w:val="0"/>
                      <w:szCs w:val="21"/>
                      <w:highlight w:val="none"/>
                      <w:lang w:bidi="ar"/>
                    </w:rPr>
                    <w:t xml:space="preserve">0.863 </w:t>
                  </w:r>
                </w:p>
              </w:tc>
            </w:tr>
          </w:tbl>
          <w:p>
            <w:pPr>
              <w:pStyle w:val="4"/>
              <w:rPr>
                <w:rFonts w:hint="default" w:ascii="Times New Roman" w:hAnsi="Times New Roman" w:eastAsia="宋体"/>
                <w:color w:val="auto"/>
                <w:sz w:val="21"/>
                <w:szCs w:val="21"/>
                <w:highlight w:val="none"/>
              </w:rPr>
            </w:pPr>
            <w:r>
              <w:rPr>
                <w:rFonts w:hint="default" w:ascii="Times New Roman" w:hAnsi="Times New Roman" w:eastAsia="宋体"/>
                <w:color w:val="auto"/>
                <w:sz w:val="21"/>
                <w:szCs w:val="21"/>
                <w:highlight w:val="none"/>
              </w:rPr>
              <w:t>综上，消化废气有组织排放量为</w:t>
            </w:r>
            <w:r>
              <w:rPr>
                <w:rFonts w:ascii="Times New Roman" w:hAnsi="Times New Roman" w:eastAsia="宋体"/>
                <w:color w:val="auto"/>
                <w:sz w:val="21"/>
                <w:szCs w:val="21"/>
                <w:highlight w:val="none"/>
              </w:rPr>
              <w:t>0.341</w:t>
            </w:r>
            <w:r>
              <w:rPr>
                <w:rFonts w:hint="default" w:ascii="Times New Roman" w:hAnsi="Times New Roman" w:eastAsia="宋体"/>
                <w:color w:val="auto"/>
                <w:sz w:val="21"/>
                <w:szCs w:val="21"/>
                <w:highlight w:val="none"/>
              </w:rPr>
              <w:t>t/a，无组织排放量为</w:t>
            </w:r>
            <w:r>
              <w:rPr>
                <w:rFonts w:ascii="Times New Roman" w:hAnsi="Times New Roman" w:eastAsia="宋体"/>
                <w:color w:val="auto"/>
                <w:sz w:val="21"/>
                <w:szCs w:val="21"/>
                <w:highlight w:val="none"/>
              </w:rPr>
              <w:t>0.863</w:t>
            </w:r>
            <w:r>
              <w:rPr>
                <w:rFonts w:hint="default" w:ascii="Times New Roman" w:hAnsi="Times New Roman" w:eastAsia="宋体"/>
                <w:color w:val="auto"/>
                <w:sz w:val="21"/>
                <w:szCs w:val="21"/>
                <w:highlight w:val="none"/>
              </w:rPr>
              <w:t>t/a，总排放量为</w:t>
            </w:r>
            <w:r>
              <w:rPr>
                <w:rFonts w:ascii="Times New Roman" w:hAnsi="Times New Roman" w:eastAsia="宋体"/>
                <w:color w:val="auto"/>
                <w:sz w:val="21"/>
                <w:szCs w:val="21"/>
                <w:highlight w:val="none"/>
              </w:rPr>
              <w:t>1.682</w:t>
            </w:r>
            <w:r>
              <w:rPr>
                <w:rFonts w:hint="default" w:ascii="Times New Roman" w:hAnsi="Times New Roman" w:eastAsia="宋体"/>
                <w:color w:val="auto"/>
                <w:sz w:val="21"/>
                <w:szCs w:val="21"/>
                <w:highlight w:val="none"/>
              </w:rPr>
              <w:t>t/a。</w:t>
            </w:r>
          </w:p>
          <w:p>
            <w:pPr>
              <w:pStyle w:val="13"/>
              <w:ind w:left="842" w:leftChars="200" w:hanging="422"/>
              <w:rPr>
                <w:b/>
                <w:color w:val="auto"/>
                <w:kern w:val="0"/>
                <w:szCs w:val="21"/>
                <w:highlight w:val="none"/>
              </w:rPr>
            </w:pPr>
            <w:r>
              <w:rPr>
                <w:rFonts w:hint="eastAsia"/>
                <w:b/>
                <w:color w:val="auto"/>
                <w:kern w:val="0"/>
                <w:szCs w:val="21"/>
                <w:highlight w:val="none"/>
              </w:rPr>
              <w:t>（3）卸料、堆存废气</w:t>
            </w:r>
          </w:p>
          <w:p>
            <w:pPr>
              <w:ind w:firstLine="420" w:firstLineChars="200"/>
              <w:rPr>
                <w:color w:val="auto"/>
                <w:highlight w:val="none"/>
              </w:rPr>
            </w:pPr>
            <w:r>
              <w:rPr>
                <w:rFonts w:hint="eastAsia"/>
                <w:color w:val="auto"/>
                <w:highlight w:val="none"/>
              </w:rPr>
              <w:t>项目在原料仓进行</w:t>
            </w:r>
            <w:r>
              <w:rPr>
                <w:rFonts w:hint="eastAsia"/>
                <w:bCs/>
                <w:color w:val="auto"/>
                <w:kern w:val="0"/>
                <w:szCs w:val="21"/>
                <w:highlight w:val="none"/>
              </w:rPr>
              <w:t>卸料</w:t>
            </w:r>
            <w:r>
              <w:rPr>
                <w:rFonts w:hint="eastAsia"/>
                <w:b/>
                <w:color w:val="auto"/>
                <w:kern w:val="0"/>
                <w:szCs w:val="21"/>
                <w:highlight w:val="none"/>
              </w:rPr>
              <w:t>、</w:t>
            </w:r>
            <w:r>
              <w:rPr>
                <w:rFonts w:hint="eastAsia"/>
                <w:color w:val="auto"/>
                <w:highlight w:val="none"/>
              </w:rPr>
              <w:t>堆存石灰块，由于风力作用等因素会有少量粉尘产生，石灰块较大，</w:t>
            </w:r>
            <w:r>
              <w:rPr>
                <w:rFonts w:hint="eastAsia"/>
                <w:color w:val="auto"/>
                <w:kern w:val="0"/>
                <w:szCs w:val="21"/>
                <w:highlight w:val="none"/>
              </w:rPr>
              <w:t>参考《逸散性工业粉尘控制技术》（中国环境科学出版社）中石块和砾石逸散尘排放因子中卡车卸料的排放系数，其粉尘产生量按0.02kg/t（卸料）进行估算</w:t>
            </w:r>
            <w:r>
              <w:rPr>
                <w:color w:val="auto"/>
                <w:kern w:val="0"/>
                <w:szCs w:val="21"/>
                <w:highlight w:val="none"/>
              </w:rPr>
              <w:t>，</w:t>
            </w:r>
            <w:r>
              <w:rPr>
                <w:rFonts w:hint="eastAsia"/>
                <w:color w:val="auto"/>
                <w:kern w:val="0"/>
                <w:szCs w:val="21"/>
                <w:highlight w:val="none"/>
              </w:rPr>
              <w:t>石灰石原料为1</w:t>
            </w:r>
            <w:r>
              <w:rPr>
                <w:rFonts w:hint="eastAsia"/>
                <w:color w:val="auto"/>
                <w:kern w:val="0"/>
                <w:szCs w:val="21"/>
                <w:highlight w:val="none"/>
                <w:lang w:val="en-US" w:eastAsia="zh-CN"/>
              </w:rPr>
              <w:t>3</w:t>
            </w:r>
            <w:r>
              <w:rPr>
                <w:rFonts w:hint="eastAsia"/>
                <w:color w:val="auto"/>
                <w:kern w:val="0"/>
                <w:szCs w:val="21"/>
                <w:highlight w:val="none"/>
              </w:rPr>
              <w:t>0000t/a，则卸料</w:t>
            </w:r>
            <w:r>
              <w:rPr>
                <w:color w:val="auto"/>
                <w:kern w:val="0"/>
                <w:szCs w:val="21"/>
                <w:highlight w:val="none"/>
              </w:rPr>
              <w:t>过程颗粒物的产生量为</w:t>
            </w:r>
            <w:r>
              <w:rPr>
                <w:rFonts w:hint="eastAsia"/>
                <w:color w:val="auto"/>
                <w:kern w:val="0"/>
                <w:szCs w:val="21"/>
                <w:highlight w:val="none"/>
              </w:rPr>
              <w:t>2.</w:t>
            </w:r>
            <w:r>
              <w:rPr>
                <w:rFonts w:hint="eastAsia"/>
                <w:color w:val="auto"/>
                <w:kern w:val="0"/>
                <w:szCs w:val="21"/>
                <w:highlight w:val="none"/>
                <w:lang w:val="en-US" w:eastAsia="zh-CN"/>
              </w:rPr>
              <w:t>6</w:t>
            </w:r>
            <w:r>
              <w:rPr>
                <w:rFonts w:hint="eastAsia"/>
                <w:color w:val="auto"/>
                <w:kern w:val="0"/>
                <w:szCs w:val="21"/>
                <w:highlight w:val="none"/>
              </w:rPr>
              <w:t>t/a，由于直接卸料在原料堆料仓，按80%沉降，故</w:t>
            </w:r>
            <w:r>
              <w:rPr>
                <w:rFonts w:hint="eastAsia"/>
                <w:color w:val="auto"/>
                <w:highlight w:val="none"/>
              </w:rPr>
              <w:t>粉尘产生量为2.</w:t>
            </w:r>
            <w:r>
              <w:rPr>
                <w:rFonts w:hint="eastAsia"/>
                <w:color w:val="auto"/>
                <w:highlight w:val="none"/>
                <w:lang w:val="en-US" w:eastAsia="zh-CN"/>
              </w:rPr>
              <w:t>6</w:t>
            </w:r>
            <w:r>
              <w:rPr>
                <w:rFonts w:hint="eastAsia"/>
                <w:color w:val="auto"/>
                <w:highlight w:val="none"/>
              </w:rPr>
              <w:t>×（1-80%）=0.</w:t>
            </w:r>
            <w:r>
              <w:rPr>
                <w:rFonts w:hint="eastAsia"/>
                <w:color w:val="auto"/>
                <w:highlight w:val="none"/>
                <w:lang w:val="en-US" w:eastAsia="zh-CN"/>
              </w:rPr>
              <w:t>52</w:t>
            </w:r>
            <w:r>
              <w:rPr>
                <w:rFonts w:hint="eastAsia"/>
                <w:color w:val="auto"/>
                <w:highlight w:val="none"/>
              </w:rPr>
              <w:t>t/a，时间按2400h/a计算，</w:t>
            </w:r>
            <w:r>
              <w:rPr>
                <w:rFonts w:hint="eastAsia"/>
                <w:bCs/>
                <w:color w:val="auto"/>
                <w:kern w:val="0"/>
                <w:szCs w:val="21"/>
                <w:highlight w:val="none"/>
              </w:rPr>
              <w:t>卸料、堆存粉尘为无组织排放</w:t>
            </w:r>
            <w:r>
              <w:rPr>
                <w:rFonts w:hint="eastAsia"/>
                <w:color w:val="auto"/>
                <w:highlight w:val="none"/>
              </w:rPr>
              <w:t>。</w:t>
            </w:r>
          </w:p>
          <w:p>
            <w:pPr>
              <w:ind w:firstLine="422" w:firstLineChars="200"/>
              <w:rPr>
                <w:rFonts w:hint="default" w:eastAsia="宋体"/>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4）成品罐呼吸废气及研磨废气</w:t>
            </w:r>
          </w:p>
          <w:p>
            <w:pPr>
              <w:ind w:firstLine="480"/>
              <w:rPr>
                <w:rFonts w:hint="eastAsia" w:eastAsia="宋体"/>
                <w:color w:val="auto"/>
                <w:highlight w:val="none"/>
                <w:lang w:val="en-US" w:eastAsia="zh-CN"/>
              </w:rPr>
            </w:pPr>
            <w:r>
              <w:rPr>
                <w:rFonts w:hint="eastAsia"/>
                <w:b w:val="0"/>
                <w:bCs w:val="0"/>
                <w:color w:val="auto"/>
                <w:highlight w:val="none"/>
                <w:lang w:val="en-US" w:eastAsia="zh-CN"/>
              </w:rPr>
              <w:t>本项目成品罐存在呼吸孔，会产生呼吸粉尘，参考</w:t>
            </w:r>
            <w:r>
              <w:rPr>
                <w:color w:val="auto"/>
                <w:highlight w:val="none"/>
              </w:rPr>
              <w:t>《排放源统计调查产排污核算方法和系数手册》</w:t>
            </w:r>
            <w:r>
              <w:rPr>
                <w:rFonts w:hint="eastAsia"/>
                <w:color w:val="auto"/>
                <w:highlight w:val="none"/>
                <w:lang w:val="en-US" w:eastAsia="zh-CN"/>
              </w:rPr>
              <w:t>3024</w:t>
            </w:r>
            <w:r>
              <w:rPr>
                <w:rFonts w:ascii="宋体" w:hAnsi="宋体" w:eastAsia="宋体" w:cs="宋体"/>
                <w:color w:val="auto"/>
                <w:sz w:val="21"/>
                <w:szCs w:val="21"/>
                <w:highlight w:val="none"/>
              </w:rPr>
              <w:t>轻</w:t>
            </w:r>
            <w:r>
              <w:rPr>
                <w:rFonts w:hint="default" w:ascii="Times New Roman" w:hAnsi="Times New Roman" w:eastAsia="宋体" w:cs="Times New Roman"/>
                <w:color w:val="auto"/>
                <w:sz w:val="21"/>
                <w:szCs w:val="21"/>
                <w:highlight w:val="none"/>
              </w:rPr>
              <w:t>质建筑材料制品制造行业系数表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物料输送贮存颗粒物产污系数为0.197</w:t>
            </w:r>
            <w:r>
              <w:rPr>
                <w:rFonts w:hint="default" w:ascii="Times New Roman" w:hAnsi="Times New Roman" w:eastAsia="宋体" w:cs="Times New Roman"/>
                <w:color w:val="auto"/>
                <w:sz w:val="21"/>
                <w:szCs w:val="21"/>
                <w:highlight w:val="none"/>
              </w:rPr>
              <w:t>千克/吨-产品</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氢氧化钙、氧化钙产品共15万吨，故颗粒物产生量为29.55t/a，</w:t>
            </w:r>
            <w:r>
              <w:rPr>
                <w:rFonts w:hint="eastAsia"/>
                <w:b w:val="0"/>
                <w:bCs w:val="0"/>
                <w:color w:val="auto"/>
                <w:highlight w:val="none"/>
                <w:lang w:val="en-US" w:eastAsia="zh-CN"/>
              </w:rPr>
              <w:t>成品罐呼吸口直接连接脉冲布袋除尘器，密封性良好，本项目有6个成品罐，一个成品罐配套一个脉冲布袋除尘设施，</w:t>
            </w:r>
            <w:r>
              <w:rPr>
                <w:rFonts w:hint="eastAsia"/>
                <w:color w:val="auto"/>
                <w:kern w:val="0"/>
                <w:szCs w:val="21"/>
                <w:highlight w:val="none"/>
              </w:rPr>
              <w:t>消化器自带脉冲布袋除尘器，相当于设备直连，</w:t>
            </w:r>
            <w:r>
              <w:rPr>
                <w:rFonts w:hint="eastAsia"/>
                <w:color w:val="auto"/>
                <w:kern w:val="0"/>
                <w:szCs w:val="21"/>
                <w:highlight w:val="none"/>
                <w:lang w:val="en-US" w:eastAsia="zh-CN"/>
              </w:rPr>
              <w:t>收集</w:t>
            </w:r>
            <w:r>
              <w:rPr>
                <w:rFonts w:hint="eastAsia"/>
                <w:color w:val="auto"/>
                <w:kern w:val="0"/>
                <w:szCs w:val="21"/>
                <w:highlight w:val="none"/>
              </w:rPr>
              <w:t>效率可达100%</w:t>
            </w:r>
            <w:r>
              <w:rPr>
                <w:rFonts w:hint="eastAsia"/>
                <w:color w:val="auto"/>
                <w:kern w:val="0"/>
                <w:szCs w:val="21"/>
                <w:highlight w:val="none"/>
                <w:lang w:eastAsia="zh-CN"/>
              </w:rPr>
              <w:t>，</w:t>
            </w:r>
            <w:r>
              <w:rPr>
                <w:rFonts w:hint="eastAsia"/>
                <w:color w:val="auto"/>
                <w:kern w:val="0"/>
                <w:szCs w:val="21"/>
                <w:highlight w:val="none"/>
                <w:lang w:val="en-US" w:eastAsia="zh-CN"/>
              </w:rPr>
              <w:t>收集后粉尘回用,，无外排</w:t>
            </w:r>
            <w:r>
              <w:rPr>
                <w:color w:val="auto"/>
                <w:highlight w:val="none"/>
              </w:rPr>
              <w:t>。</w:t>
            </w:r>
            <w:r>
              <w:rPr>
                <w:rFonts w:hint="eastAsia"/>
                <w:b w:val="0"/>
                <w:bCs w:val="0"/>
                <w:color w:val="auto"/>
                <w:highlight w:val="none"/>
                <w:lang w:val="en-US" w:eastAsia="zh-CN"/>
              </w:rPr>
              <w:t>本项目雷蒙磨机风选研磨会产生粉尘，</w:t>
            </w:r>
            <w:r>
              <w:rPr>
                <w:rFonts w:hint="eastAsia"/>
                <w:color w:val="auto"/>
                <w:highlight w:val="none"/>
              </w:rPr>
              <w:t>产生</w:t>
            </w:r>
            <w:r>
              <w:rPr>
                <w:rFonts w:hint="eastAsia"/>
                <w:color w:val="auto"/>
                <w:highlight w:val="none"/>
                <w:lang w:val="en-US" w:eastAsia="zh-CN"/>
              </w:rPr>
              <w:t>的</w:t>
            </w:r>
            <w:r>
              <w:rPr>
                <w:rFonts w:hint="eastAsia"/>
                <w:color w:val="auto"/>
                <w:highlight w:val="none"/>
              </w:rPr>
              <w:t>粉尘</w:t>
            </w:r>
            <w:r>
              <w:rPr>
                <w:rFonts w:hint="eastAsia"/>
                <w:color w:val="auto"/>
                <w:highlight w:val="none"/>
                <w:lang w:val="en-US" w:eastAsia="zh-CN"/>
              </w:rPr>
              <w:t>既为产品粉，</w:t>
            </w:r>
            <w:r>
              <w:rPr>
                <w:rFonts w:hint="eastAsia"/>
                <w:color w:val="auto"/>
                <w:highlight w:val="none"/>
              </w:rPr>
              <w:t>研磨后的</w:t>
            </w:r>
            <w:r>
              <w:rPr>
                <w:rFonts w:hint="eastAsia"/>
                <w:color w:val="auto"/>
                <w:highlight w:val="none"/>
                <w:lang w:val="en-US" w:eastAsia="zh-CN"/>
              </w:rPr>
              <w:t>产品</w:t>
            </w:r>
            <w:r>
              <w:rPr>
                <w:rFonts w:hint="eastAsia"/>
                <w:color w:val="auto"/>
                <w:highlight w:val="none"/>
              </w:rPr>
              <w:t>粉经</w:t>
            </w:r>
            <w:r>
              <w:rPr>
                <w:rFonts w:hint="eastAsia"/>
                <w:color w:val="auto"/>
                <w:highlight w:val="none"/>
                <w:lang w:val="en-US" w:eastAsia="zh-CN"/>
              </w:rPr>
              <w:t>配套</w:t>
            </w:r>
            <w:r>
              <w:rPr>
                <w:rFonts w:hint="eastAsia"/>
                <w:color w:val="auto"/>
                <w:highlight w:val="none"/>
              </w:rPr>
              <w:t>鼓风机进入成品罐</w:t>
            </w:r>
            <w:r>
              <w:rPr>
                <w:rFonts w:hint="eastAsia"/>
                <w:color w:val="auto"/>
                <w:highlight w:val="none"/>
                <w:lang w:eastAsia="zh-CN"/>
              </w:rPr>
              <w:t>。</w:t>
            </w:r>
          </w:p>
          <w:p>
            <w:pPr>
              <w:ind w:firstLine="422" w:firstLineChars="200"/>
              <w:rPr>
                <w:b/>
                <w:bCs/>
                <w:color w:val="auto"/>
                <w:highlight w:val="none"/>
              </w:rPr>
            </w:pPr>
            <w:r>
              <w:rPr>
                <w:rFonts w:hint="eastAsia"/>
                <w:b/>
                <w:bCs/>
                <w:color w:val="auto"/>
                <w:highlight w:val="none"/>
              </w:rPr>
              <w:t>（</w:t>
            </w:r>
            <w:r>
              <w:rPr>
                <w:rFonts w:hint="eastAsia"/>
                <w:b/>
                <w:bCs/>
                <w:color w:val="auto"/>
                <w:highlight w:val="none"/>
                <w:lang w:val="en-US" w:eastAsia="zh-CN"/>
              </w:rPr>
              <w:t>5</w:t>
            </w:r>
            <w:r>
              <w:rPr>
                <w:rFonts w:hint="eastAsia"/>
                <w:b/>
                <w:bCs/>
                <w:color w:val="auto"/>
                <w:highlight w:val="none"/>
              </w:rPr>
              <w:t>）食堂油烟</w:t>
            </w:r>
          </w:p>
          <w:p>
            <w:pPr>
              <w:ind w:firstLine="420" w:firstLineChars="200"/>
              <w:rPr>
                <w:color w:val="auto"/>
                <w:highlight w:val="none"/>
              </w:rPr>
            </w:pPr>
            <w:r>
              <w:rPr>
                <w:color w:val="auto"/>
                <w:highlight w:val="none"/>
              </w:rPr>
              <w:t>本项目员工10人，全部在厨房就餐，厂区内设置有职工厨房，厨房使用液化石油气作为燃料，设炉头1个，每天工作</w:t>
            </w:r>
            <w:r>
              <w:rPr>
                <w:rFonts w:hint="eastAsia"/>
                <w:color w:val="auto"/>
                <w:highlight w:val="none"/>
              </w:rPr>
              <w:t>4</w:t>
            </w:r>
            <w:r>
              <w:rPr>
                <w:color w:val="auto"/>
                <w:highlight w:val="none"/>
              </w:rPr>
              <w:t>h。据统计，一般食堂食用油耗油系数为7kg/100人·d，则员工一天的食用油用量为</w:t>
            </w:r>
            <w:r>
              <w:rPr>
                <w:rFonts w:hint="eastAsia"/>
                <w:color w:val="auto"/>
                <w:highlight w:val="none"/>
              </w:rPr>
              <w:t>0.7</w:t>
            </w:r>
            <w:r>
              <w:rPr>
                <w:color w:val="auto"/>
                <w:highlight w:val="none"/>
              </w:rPr>
              <w:t>kg，油烟和油的挥发量占总耗油量的2%~4%之间，取其均值3%，则油烟的产生量为</w:t>
            </w:r>
            <w:r>
              <w:rPr>
                <w:rFonts w:hint="eastAsia"/>
                <w:color w:val="auto"/>
                <w:highlight w:val="none"/>
              </w:rPr>
              <w:t>6.3</w:t>
            </w:r>
            <w:r>
              <w:rPr>
                <w:color w:val="auto"/>
                <w:highlight w:val="none"/>
              </w:rPr>
              <w:t>kg/a(年工作日以300天计)。厨房烹饪过程中产生的油烟及蒸汽经油烟净化器(处理效率≥</w:t>
            </w:r>
            <w:r>
              <w:rPr>
                <w:rFonts w:hint="eastAsia"/>
                <w:color w:val="auto"/>
                <w:highlight w:val="none"/>
              </w:rPr>
              <w:t>8</w:t>
            </w:r>
            <w:r>
              <w:rPr>
                <w:color w:val="auto"/>
                <w:highlight w:val="none"/>
              </w:rPr>
              <w:t>0%)处理后引至</w:t>
            </w:r>
            <w:r>
              <w:rPr>
                <w:rFonts w:hint="eastAsia"/>
                <w:color w:val="auto"/>
                <w:highlight w:val="none"/>
              </w:rPr>
              <w:t>排气筒</w:t>
            </w:r>
            <w:r>
              <w:rPr>
                <w:color w:val="auto"/>
                <w:highlight w:val="none"/>
              </w:rPr>
              <w:t>高空排放，收集风量约为2000m</w:t>
            </w:r>
            <w:r>
              <w:rPr>
                <w:color w:val="auto"/>
                <w:highlight w:val="none"/>
                <w:vertAlign w:val="superscript"/>
              </w:rPr>
              <w:t>3</w:t>
            </w:r>
            <w:r>
              <w:rPr>
                <w:color w:val="auto"/>
                <w:highlight w:val="none"/>
              </w:rPr>
              <w:t>/h。则油烟的排放浓度为0.</w:t>
            </w:r>
            <w:r>
              <w:rPr>
                <w:rFonts w:hint="eastAsia"/>
                <w:color w:val="auto"/>
                <w:highlight w:val="none"/>
              </w:rPr>
              <w:t>525</w:t>
            </w:r>
            <w:r>
              <w:rPr>
                <w:color w:val="auto"/>
                <w:highlight w:val="none"/>
              </w:rPr>
              <w:t>mg/m</w:t>
            </w:r>
            <w:r>
              <w:rPr>
                <w:color w:val="auto"/>
                <w:highlight w:val="none"/>
                <w:vertAlign w:val="superscript"/>
              </w:rPr>
              <w:t>3</w:t>
            </w:r>
            <w:r>
              <w:rPr>
                <w:color w:val="auto"/>
                <w:highlight w:val="none"/>
              </w:rPr>
              <w:t>，排放量为</w:t>
            </w:r>
            <w:r>
              <w:rPr>
                <w:rFonts w:hint="eastAsia"/>
                <w:color w:val="auto"/>
                <w:highlight w:val="none"/>
              </w:rPr>
              <w:t>1.3kg</w:t>
            </w:r>
            <w:r>
              <w:rPr>
                <w:color w:val="auto"/>
                <w:highlight w:val="none"/>
              </w:rPr>
              <w:t>/a。</w:t>
            </w:r>
          </w:p>
          <w:p>
            <w:pPr>
              <w:pStyle w:val="13"/>
              <w:ind w:left="842" w:leftChars="200" w:hanging="422"/>
              <w:rPr>
                <w:b/>
                <w:color w:val="auto"/>
                <w:kern w:val="0"/>
                <w:szCs w:val="21"/>
                <w:highlight w:val="none"/>
              </w:rPr>
            </w:pPr>
            <w:r>
              <w:rPr>
                <w:rFonts w:hint="eastAsia"/>
                <w:b/>
                <w:color w:val="auto"/>
                <w:kern w:val="0"/>
                <w:szCs w:val="21"/>
                <w:highlight w:val="none"/>
              </w:rPr>
              <w:t>3</w:t>
            </w:r>
            <w:r>
              <w:rPr>
                <w:rFonts w:hint="eastAsia" w:ascii="宋体" w:hAnsi="宋体"/>
                <w:b/>
                <w:color w:val="auto"/>
                <w:kern w:val="0"/>
                <w:szCs w:val="21"/>
                <w:highlight w:val="none"/>
              </w:rPr>
              <w:t>、</w:t>
            </w:r>
            <w:r>
              <w:rPr>
                <w:rFonts w:hint="eastAsia"/>
                <w:b/>
                <w:bCs/>
                <w:color w:val="auto"/>
                <w:highlight w:val="none"/>
              </w:rPr>
              <w:t>生产设施开停炉（机）等非正常情况分</w:t>
            </w:r>
            <w:r>
              <w:rPr>
                <w:rFonts w:ascii="宋体" w:hAnsi="宋体"/>
                <w:b/>
                <w:bCs/>
                <w:color w:val="auto"/>
                <w:kern w:val="0"/>
                <w:szCs w:val="21"/>
                <w:highlight w:val="none"/>
              </w:rPr>
              <w:t>析</w:t>
            </w:r>
          </w:p>
          <w:p>
            <w:pPr>
              <w:pStyle w:val="13"/>
              <w:autoSpaceDE w:val="0"/>
              <w:ind w:left="0" w:firstLine="420" w:firstLineChars="200"/>
              <w:rPr>
                <w:rFonts w:ascii="宋体" w:hAnsi="宋体"/>
                <w:color w:val="auto"/>
                <w:kern w:val="0"/>
                <w:szCs w:val="21"/>
                <w:highlight w:val="none"/>
              </w:rPr>
            </w:pPr>
            <w:r>
              <w:rPr>
                <w:color w:val="auto"/>
                <w:highlight w:val="none"/>
              </w:rPr>
              <w:t>项目生产设备均使用电能，运行工况稳定，开机正常排污，停机则污染停止，因此，不存在生产设施开停机的非正常排污情况</w:t>
            </w:r>
            <w:r>
              <w:rPr>
                <w:rFonts w:hint="eastAsia" w:ascii="宋体" w:hAnsi="宋体"/>
                <w:color w:val="auto"/>
                <w:kern w:val="0"/>
                <w:szCs w:val="21"/>
                <w:highlight w:val="none"/>
              </w:rPr>
              <w:t>。</w:t>
            </w:r>
          </w:p>
          <w:p>
            <w:pPr>
              <w:pStyle w:val="13"/>
              <w:ind w:left="0" w:firstLine="422" w:firstLineChars="200"/>
              <w:rPr>
                <w:b/>
                <w:color w:val="auto"/>
                <w:kern w:val="0"/>
                <w:szCs w:val="21"/>
                <w:highlight w:val="none"/>
              </w:rPr>
            </w:pPr>
            <w:r>
              <w:rPr>
                <w:b/>
                <w:color w:val="auto"/>
                <w:kern w:val="0"/>
                <w:szCs w:val="21"/>
                <w:highlight w:val="none"/>
              </w:rPr>
              <w:t>4</w:t>
            </w:r>
            <w:r>
              <w:rPr>
                <w:rFonts w:ascii="宋体" w:hAnsi="宋体"/>
                <w:b/>
                <w:color w:val="auto"/>
                <w:kern w:val="0"/>
                <w:szCs w:val="21"/>
                <w:highlight w:val="none"/>
              </w:rPr>
              <w:t>、污染治理措施可行性分析</w:t>
            </w:r>
          </w:p>
          <w:p>
            <w:pPr>
              <w:pStyle w:val="13"/>
              <w:ind w:left="0" w:firstLine="420" w:firstLineChars="200"/>
              <w:rPr>
                <w:color w:val="auto"/>
                <w:kern w:val="0"/>
                <w:szCs w:val="21"/>
                <w:highlight w:val="none"/>
              </w:rPr>
            </w:pPr>
            <w:r>
              <w:rPr>
                <w:rFonts w:ascii="宋体" w:hAnsi="宋体"/>
                <w:color w:val="auto"/>
                <w:kern w:val="0"/>
                <w:szCs w:val="21"/>
                <w:highlight w:val="none"/>
              </w:rPr>
              <w:t>参考《</w:t>
            </w:r>
            <w:r>
              <w:rPr>
                <w:rFonts w:hint="eastAsia" w:ascii="宋体" w:hAnsi="宋体"/>
                <w:color w:val="auto"/>
                <w:kern w:val="0"/>
                <w:szCs w:val="21"/>
                <w:highlight w:val="none"/>
              </w:rPr>
              <w:t>排污许可证</w:t>
            </w:r>
            <w:r>
              <w:rPr>
                <w:color w:val="auto"/>
                <w:kern w:val="0"/>
                <w:szCs w:val="21"/>
                <w:highlight w:val="none"/>
              </w:rPr>
              <w:t>申请与核发技术规范 水泥工业》（HJ847—2017）中附录B，本项目投料</w:t>
            </w:r>
            <w:r>
              <w:rPr>
                <w:rFonts w:hint="eastAsia"/>
                <w:color w:val="auto"/>
                <w:kern w:val="0"/>
                <w:szCs w:val="21"/>
                <w:highlight w:val="none"/>
              </w:rPr>
              <w:t>过程</w:t>
            </w:r>
            <w:r>
              <w:rPr>
                <w:color w:val="auto"/>
                <w:kern w:val="0"/>
                <w:szCs w:val="21"/>
                <w:highlight w:val="none"/>
              </w:rPr>
              <w:t>产生的颗粒物经脉冲布袋除尘器处理，消化</w:t>
            </w:r>
            <w:r>
              <w:rPr>
                <w:rFonts w:hint="eastAsia"/>
                <w:color w:val="auto"/>
                <w:kern w:val="0"/>
                <w:szCs w:val="21"/>
                <w:highlight w:val="none"/>
              </w:rPr>
              <w:t>过程</w:t>
            </w:r>
            <w:r>
              <w:rPr>
                <w:color w:val="auto"/>
                <w:kern w:val="0"/>
                <w:szCs w:val="21"/>
                <w:highlight w:val="none"/>
              </w:rPr>
              <w:t>产生的颗粒物经脉冲布袋除尘器处理属于可行技术。</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lang w:val="en-US" w:eastAsia="zh-CN"/>
              </w:rPr>
              <w:t>本项目处理设施一览表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23"/>
              <w:gridCol w:w="624"/>
              <w:gridCol w:w="935"/>
              <w:gridCol w:w="1070"/>
              <w:gridCol w:w="1247"/>
              <w:gridCol w:w="1426"/>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Align w:val="center"/>
                </w:tcPr>
                <w:p>
                  <w:pPr>
                    <w:spacing w:line="240" w:lineRule="auto"/>
                    <w:ind w:left="-105" w:leftChars="-50" w:right="-105" w:rightChars="-50"/>
                    <w:jc w:val="center"/>
                    <w:rPr>
                      <w:color w:val="auto"/>
                      <w:szCs w:val="21"/>
                      <w:highlight w:val="none"/>
                    </w:rPr>
                  </w:pPr>
                  <w:r>
                    <w:rPr>
                      <w:rFonts w:hint="eastAsia"/>
                      <w:color w:val="auto"/>
                      <w:szCs w:val="21"/>
                      <w:highlight w:val="none"/>
                      <w:lang w:val="en-US" w:eastAsia="zh-CN"/>
                    </w:rPr>
                    <w:t>工序</w:t>
                  </w:r>
                </w:p>
              </w:tc>
              <w:tc>
                <w:tcPr>
                  <w:tcW w:w="1223" w:type="dxa"/>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设备</w:t>
                  </w:r>
                </w:p>
              </w:tc>
              <w:tc>
                <w:tcPr>
                  <w:tcW w:w="624" w:type="dxa"/>
                  <w:vAlign w:val="center"/>
                </w:tcPr>
                <w:p>
                  <w:pPr>
                    <w:spacing w:line="240" w:lineRule="auto"/>
                    <w:ind w:left="-105" w:leftChars="-50" w:right="-105" w:rightChars="-50"/>
                    <w:jc w:val="center"/>
                    <w:rPr>
                      <w:rFonts w:hint="default"/>
                      <w:color w:val="auto"/>
                      <w:szCs w:val="21"/>
                      <w:highlight w:val="none"/>
                      <w:lang w:val="en-US" w:eastAsia="zh-CN"/>
                    </w:rPr>
                  </w:pPr>
                  <w:r>
                    <w:rPr>
                      <w:rFonts w:hint="eastAsia"/>
                      <w:color w:val="auto"/>
                      <w:szCs w:val="21"/>
                      <w:highlight w:val="none"/>
                      <w:lang w:val="en-US" w:eastAsia="zh-CN"/>
                    </w:rPr>
                    <w:t>设备个数</w:t>
                  </w:r>
                </w:p>
              </w:tc>
              <w:tc>
                <w:tcPr>
                  <w:tcW w:w="935" w:type="dxa"/>
                  <w:vAlign w:val="center"/>
                </w:tcPr>
                <w:p>
                  <w:pPr>
                    <w:spacing w:line="240" w:lineRule="auto"/>
                    <w:ind w:left="-105" w:leftChars="-50" w:right="-105" w:rightChars="-50"/>
                    <w:jc w:val="center"/>
                    <w:rPr>
                      <w:rFonts w:hint="eastAsia" w:eastAsia="宋体"/>
                      <w:color w:val="auto"/>
                      <w:szCs w:val="21"/>
                      <w:highlight w:val="none"/>
                      <w:lang w:val="en-US" w:eastAsia="zh-CN"/>
                    </w:rPr>
                  </w:pPr>
                  <w:r>
                    <w:rPr>
                      <w:rFonts w:hint="eastAsia"/>
                      <w:color w:val="auto"/>
                      <w:szCs w:val="21"/>
                      <w:highlight w:val="none"/>
                      <w:lang w:val="en-US" w:eastAsia="zh-CN"/>
                    </w:rPr>
                    <w:t>收集方式</w:t>
                  </w:r>
                </w:p>
              </w:tc>
              <w:tc>
                <w:tcPr>
                  <w:tcW w:w="1070" w:type="dxa"/>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处理设施</w:t>
                  </w:r>
                </w:p>
              </w:tc>
              <w:tc>
                <w:tcPr>
                  <w:tcW w:w="1247" w:type="dxa"/>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除尘器个数</w:t>
                  </w:r>
                </w:p>
              </w:tc>
              <w:tc>
                <w:tcPr>
                  <w:tcW w:w="1426" w:type="dxa"/>
                  <w:vAlign w:val="center"/>
                </w:tcPr>
                <w:p>
                  <w:pPr>
                    <w:spacing w:line="240" w:lineRule="auto"/>
                    <w:ind w:left="-105" w:leftChars="-50" w:right="-105" w:rightChars="-50"/>
                    <w:jc w:val="center"/>
                    <w:rPr>
                      <w:rFonts w:hint="default"/>
                      <w:color w:val="auto"/>
                      <w:szCs w:val="21"/>
                      <w:highlight w:val="none"/>
                      <w:lang w:val="en-US" w:eastAsia="zh-CN"/>
                    </w:rPr>
                  </w:pPr>
                  <w:r>
                    <w:rPr>
                      <w:rFonts w:hint="eastAsia"/>
                      <w:color w:val="auto"/>
                      <w:szCs w:val="21"/>
                      <w:highlight w:val="none"/>
                      <w:lang w:val="en-US" w:eastAsia="zh-CN"/>
                    </w:rPr>
                    <w:t>风机个数</w:t>
                  </w:r>
                </w:p>
              </w:tc>
              <w:tc>
                <w:tcPr>
                  <w:tcW w:w="1225" w:type="dxa"/>
                  <w:vAlign w:val="center"/>
                </w:tcPr>
                <w:p>
                  <w:pPr>
                    <w:spacing w:line="240" w:lineRule="auto"/>
                    <w:ind w:left="-105" w:leftChars="-50" w:right="-105" w:rightChars="-50"/>
                    <w:jc w:val="center"/>
                    <w:rPr>
                      <w:rFonts w:hint="default"/>
                      <w:color w:val="auto"/>
                      <w:szCs w:val="21"/>
                      <w:highlight w:val="none"/>
                      <w:lang w:val="en-US" w:eastAsia="zh-CN"/>
                    </w:rPr>
                  </w:pPr>
                  <w:r>
                    <w:rPr>
                      <w:rFonts w:hint="eastAsia"/>
                      <w:color w:val="auto"/>
                      <w:szCs w:val="21"/>
                      <w:highlight w:val="none"/>
                      <w:lang w:val="en-US" w:eastAsia="zh-CN"/>
                    </w:rPr>
                    <w:t>风机功率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Align w:val="center"/>
                </w:tcPr>
                <w:p>
                  <w:pPr>
                    <w:pStyle w:val="50"/>
                    <w:adjustRightInd/>
                    <w:snapToGrid/>
                    <w:spacing w:before="31" w:after="31" w:line="240" w:lineRule="auto"/>
                    <w:ind w:left="-105" w:leftChars="-50" w:right="-105" w:rightChars="-50"/>
                    <w:rPr>
                      <w:color w:val="auto"/>
                      <w:szCs w:val="21"/>
                      <w:highlight w:val="none"/>
                    </w:rPr>
                  </w:pPr>
                  <w:r>
                    <w:rPr>
                      <w:rFonts w:hint="eastAsia" w:ascii="Times New Roman" w:hAnsi="Times New Roman" w:cs="Times New Roman"/>
                      <w:color w:val="auto"/>
                      <w:highlight w:val="none"/>
                      <w:lang w:val="en-US" w:eastAsia="zh-CN"/>
                    </w:rPr>
                    <w:t>投料</w:t>
                  </w:r>
                </w:p>
              </w:tc>
              <w:tc>
                <w:tcPr>
                  <w:tcW w:w="1223" w:type="dxa"/>
                  <w:vAlign w:val="center"/>
                </w:tcPr>
                <w:p>
                  <w:pPr>
                    <w:pStyle w:val="50"/>
                    <w:adjustRightInd/>
                    <w:snapToGrid/>
                    <w:spacing w:before="31" w:after="31" w:line="240" w:lineRule="auto"/>
                    <w:ind w:left="-105" w:leftChars="-50" w:right="-105" w:rightChars="-5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料斗</w:t>
                  </w:r>
                </w:p>
              </w:tc>
              <w:tc>
                <w:tcPr>
                  <w:tcW w:w="624" w:type="dxa"/>
                  <w:vAlign w:val="center"/>
                </w:tcPr>
                <w:p>
                  <w:pPr>
                    <w:pStyle w:val="50"/>
                    <w:adjustRightInd/>
                    <w:snapToGrid/>
                    <w:spacing w:before="31" w:after="31" w:line="240" w:lineRule="auto"/>
                    <w:ind w:left="-105" w:leftChars="-50" w:right="-105" w:rightChars="-5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eastAsia"/>
                      <w:color w:val="auto"/>
                      <w:kern w:val="0"/>
                      <w:szCs w:val="21"/>
                      <w:highlight w:val="none"/>
                      <w:lang w:val="en-US" w:eastAsia="zh-CN"/>
                    </w:rPr>
                    <w:t>个</w:t>
                  </w:r>
                </w:p>
              </w:tc>
              <w:tc>
                <w:tcPr>
                  <w:tcW w:w="935" w:type="dxa"/>
                  <w:vAlign w:val="center"/>
                </w:tcPr>
                <w:p>
                  <w:pPr>
                    <w:spacing w:line="240" w:lineRule="auto"/>
                    <w:ind w:left="-105" w:leftChars="-50" w:right="-105" w:rightChars="-50"/>
                    <w:jc w:val="center"/>
                    <w:rPr>
                      <w:rFonts w:hint="eastAsia" w:eastAsia="宋体"/>
                      <w:color w:val="auto"/>
                      <w:szCs w:val="21"/>
                      <w:highlight w:val="none"/>
                      <w:lang w:val="en-US" w:eastAsia="zh-CN"/>
                    </w:rPr>
                  </w:pPr>
                  <w:r>
                    <w:rPr>
                      <w:rFonts w:hint="eastAsia"/>
                      <w:color w:val="auto"/>
                      <w:szCs w:val="21"/>
                      <w:highlight w:val="none"/>
                      <w:lang w:val="en-US" w:eastAsia="zh-CN"/>
                    </w:rPr>
                    <w:t>集气罩</w:t>
                  </w:r>
                </w:p>
              </w:tc>
              <w:tc>
                <w:tcPr>
                  <w:tcW w:w="1070" w:type="dxa"/>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脉冲布袋除尘器</w:t>
                  </w:r>
                </w:p>
              </w:tc>
              <w:tc>
                <w:tcPr>
                  <w:tcW w:w="1247" w:type="dxa"/>
                  <w:vAlign w:val="center"/>
                </w:tcPr>
                <w:p>
                  <w:pPr>
                    <w:spacing w:line="240" w:lineRule="auto"/>
                    <w:ind w:left="-105" w:leftChars="-50" w:right="-105" w:rightChars="-5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1个</w:t>
                  </w:r>
                </w:p>
              </w:tc>
              <w:tc>
                <w:tcPr>
                  <w:tcW w:w="1426" w:type="dxa"/>
                  <w:vAlign w:val="center"/>
                </w:tcPr>
                <w:p>
                  <w:pPr>
                    <w:spacing w:line="240" w:lineRule="auto"/>
                    <w:ind w:left="-105" w:leftChars="-50" w:right="-105" w:rightChars="-5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1个鼓风机</w:t>
                  </w:r>
                </w:p>
              </w:tc>
              <w:tc>
                <w:tcPr>
                  <w:tcW w:w="1225" w:type="dxa"/>
                  <w:vAlign w:val="center"/>
                </w:tcPr>
                <w:p>
                  <w:pPr>
                    <w:spacing w:line="240" w:lineRule="auto"/>
                    <w:ind w:left="-105" w:leftChars="-50" w:right="-105" w:rightChars="-50"/>
                    <w:jc w:val="center"/>
                    <w:rPr>
                      <w:color w:val="auto"/>
                      <w:kern w:val="0"/>
                      <w:szCs w:val="21"/>
                      <w:highlight w:val="none"/>
                    </w:rPr>
                  </w:pPr>
                  <w:r>
                    <w:rPr>
                      <w:rFonts w:hint="eastAsia"/>
                      <w:color w:val="auto"/>
                      <w:szCs w:val="21"/>
                      <w:highlight w:val="none"/>
                      <w:lang w:val="en-US" w:eastAsia="zh-CN"/>
                    </w:rPr>
                    <w:t>5.5KW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Align w:val="center"/>
                </w:tcPr>
                <w:p>
                  <w:pPr>
                    <w:pStyle w:val="50"/>
                    <w:adjustRightInd/>
                    <w:snapToGrid/>
                    <w:spacing w:before="31" w:after="31" w:line="240" w:lineRule="auto"/>
                    <w:ind w:left="-105" w:leftChars="-50" w:right="-105" w:rightChars="-50"/>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呼吸</w:t>
                  </w:r>
                </w:p>
              </w:tc>
              <w:tc>
                <w:tcPr>
                  <w:tcW w:w="1223" w:type="dxa"/>
                  <w:vAlign w:val="center"/>
                </w:tcPr>
                <w:p>
                  <w:pPr>
                    <w:pStyle w:val="50"/>
                    <w:adjustRightInd/>
                    <w:snapToGrid/>
                    <w:spacing w:before="31" w:after="31" w:line="240" w:lineRule="auto"/>
                    <w:ind w:left="-105" w:leftChars="-50" w:right="-105" w:rightChars="-5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成品罐</w:t>
                  </w:r>
                </w:p>
              </w:tc>
              <w:tc>
                <w:tcPr>
                  <w:tcW w:w="624" w:type="dxa"/>
                  <w:vAlign w:val="center"/>
                </w:tcPr>
                <w:p>
                  <w:pPr>
                    <w:pStyle w:val="50"/>
                    <w:adjustRightInd/>
                    <w:snapToGrid/>
                    <w:spacing w:before="31" w:after="31" w:line="240" w:lineRule="auto"/>
                    <w:ind w:left="-105" w:leftChars="-50" w:right="-105" w:rightChars="-5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r>
                    <w:rPr>
                      <w:rFonts w:hint="eastAsia"/>
                      <w:color w:val="auto"/>
                      <w:kern w:val="0"/>
                      <w:szCs w:val="21"/>
                      <w:highlight w:val="none"/>
                      <w:lang w:val="en-US" w:eastAsia="zh-CN"/>
                    </w:rPr>
                    <w:t>个</w:t>
                  </w:r>
                </w:p>
              </w:tc>
              <w:tc>
                <w:tcPr>
                  <w:tcW w:w="935" w:type="dxa"/>
                  <w:vAlign w:val="center"/>
                </w:tcPr>
                <w:p>
                  <w:pPr>
                    <w:spacing w:line="240" w:lineRule="auto"/>
                    <w:ind w:left="-105" w:leftChars="-50" w:right="-105" w:rightChars="-50"/>
                    <w:jc w:val="center"/>
                    <w:rPr>
                      <w:rFonts w:hint="default"/>
                      <w:color w:val="auto"/>
                      <w:szCs w:val="21"/>
                      <w:highlight w:val="none"/>
                      <w:lang w:val="en-US" w:eastAsia="zh-CN"/>
                    </w:rPr>
                  </w:pPr>
                  <w:r>
                    <w:rPr>
                      <w:rFonts w:hint="eastAsia"/>
                      <w:color w:val="auto"/>
                      <w:szCs w:val="21"/>
                      <w:highlight w:val="none"/>
                      <w:lang w:val="en-US" w:eastAsia="zh-CN"/>
                    </w:rPr>
                    <w:t>设备自带</w:t>
                  </w:r>
                </w:p>
              </w:tc>
              <w:tc>
                <w:tcPr>
                  <w:tcW w:w="1070" w:type="dxa"/>
                  <w:vAlign w:val="center"/>
                </w:tcPr>
                <w:p>
                  <w:pPr>
                    <w:spacing w:line="240" w:lineRule="auto"/>
                    <w:ind w:left="-105" w:leftChars="-50" w:right="-105" w:rightChars="-50"/>
                    <w:jc w:val="center"/>
                    <w:rPr>
                      <w:rFonts w:hint="eastAsia"/>
                      <w:color w:val="auto"/>
                      <w:szCs w:val="21"/>
                      <w:highlight w:val="none"/>
                      <w:lang w:val="en-US" w:eastAsia="zh-CN"/>
                    </w:rPr>
                  </w:pPr>
                  <w:r>
                    <w:rPr>
                      <w:rFonts w:hint="eastAsia"/>
                      <w:color w:val="auto"/>
                      <w:szCs w:val="21"/>
                      <w:highlight w:val="none"/>
                      <w:lang w:val="en-US" w:eastAsia="zh-CN"/>
                    </w:rPr>
                    <w:t>脉冲布袋除尘器</w:t>
                  </w:r>
                </w:p>
              </w:tc>
              <w:tc>
                <w:tcPr>
                  <w:tcW w:w="1247" w:type="dxa"/>
                  <w:vAlign w:val="center"/>
                </w:tcPr>
                <w:p>
                  <w:pPr>
                    <w:spacing w:line="240" w:lineRule="auto"/>
                    <w:ind w:left="-105" w:leftChars="-50" w:right="-105" w:rightChars="-5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共6个</w:t>
                  </w:r>
                  <w:r>
                    <w:rPr>
                      <w:rFonts w:hint="eastAsia"/>
                      <w:color w:val="auto"/>
                      <w:szCs w:val="21"/>
                      <w:highlight w:val="none"/>
                      <w:lang w:val="en-US" w:eastAsia="zh-CN"/>
                    </w:rPr>
                    <w:t>脉冲布袋除尘器</w:t>
                  </w:r>
                </w:p>
              </w:tc>
              <w:tc>
                <w:tcPr>
                  <w:tcW w:w="1426" w:type="dxa"/>
                  <w:vAlign w:val="center"/>
                </w:tcPr>
                <w:p>
                  <w:pPr>
                    <w:spacing w:line="240" w:lineRule="auto"/>
                    <w:ind w:left="-105" w:leftChars="-50" w:right="-105" w:rightChars="-50"/>
                    <w:jc w:val="center"/>
                    <w:rPr>
                      <w:color w:val="auto"/>
                      <w:kern w:val="0"/>
                      <w:szCs w:val="21"/>
                      <w:highlight w:val="none"/>
                    </w:rPr>
                  </w:pPr>
                  <w:r>
                    <w:rPr>
                      <w:rFonts w:hint="eastAsia"/>
                      <w:color w:val="auto"/>
                      <w:kern w:val="0"/>
                      <w:szCs w:val="21"/>
                      <w:highlight w:val="none"/>
                      <w:lang w:val="en-US" w:eastAsia="zh-CN"/>
                    </w:rPr>
                    <w:t>6个鼓风机</w:t>
                  </w:r>
                </w:p>
              </w:tc>
              <w:tc>
                <w:tcPr>
                  <w:tcW w:w="1225" w:type="dxa"/>
                  <w:vAlign w:val="center"/>
                </w:tcPr>
                <w:p>
                  <w:pPr>
                    <w:spacing w:line="240" w:lineRule="auto"/>
                    <w:ind w:left="-105" w:leftChars="-50" w:right="-105" w:rightChars="-50"/>
                    <w:jc w:val="center"/>
                    <w:rPr>
                      <w:color w:val="auto"/>
                      <w:kern w:val="0"/>
                      <w:szCs w:val="21"/>
                      <w:highlight w:val="none"/>
                    </w:rPr>
                  </w:pPr>
                  <w:r>
                    <w:rPr>
                      <w:rFonts w:hint="eastAsia"/>
                      <w:color w:val="auto"/>
                      <w:szCs w:val="21"/>
                      <w:highlight w:val="none"/>
                      <w:lang w:val="en-US" w:eastAsia="zh-CN"/>
                    </w:rPr>
                    <w:t>2.2KW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Align w:val="center"/>
                </w:tcPr>
                <w:p>
                  <w:pPr>
                    <w:pStyle w:val="50"/>
                    <w:adjustRightInd/>
                    <w:snapToGrid/>
                    <w:spacing w:before="31" w:after="31" w:line="240" w:lineRule="auto"/>
                    <w:ind w:left="-105" w:leftChars="-50" w:right="-105" w:rightChars="-5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消化</w:t>
                  </w:r>
                </w:p>
              </w:tc>
              <w:tc>
                <w:tcPr>
                  <w:tcW w:w="1223" w:type="dxa"/>
                  <w:vAlign w:val="center"/>
                </w:tcPr>
                <w:p>
                  <w:pPr>
                    <w:pStyle w:val="50"/>
                    <w:adjustRightInd/>
                    <w:snapToGrid/>
                    <w:spacing w:before="31" w:after="31" w:line="240" w:lineRule="auto"/>
                    <w:ind w:left="-105" w:leftChars="-50" w:right="-105" w:rightChars="-5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消化器（三级消化）</w:t>
                  </w:r>
                </w:p>
              </w:tc>
              <w:tc>
                <w:tcPr>
                  <w:tcW w:w="624" w:type="dxa"/>
                  <w:vAlign w:val="center"/>
                </w:tcPr>
                <w:p>
                  <w:pPr>
                    <w:pStyle w:val="50"/>
                    <w:adjustRightInd/>
                    <w:snapToGrid/>
                    <w:spacing w:before="31" w:after="31" w:line="240" w:lineRule="auto"/>
                    <w:ind w:left="-105" w:leftChars="-50" w:right="-105" w:rightChars="-5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2台</w:t>
                  </w:r>
                </w:p>
              </w:tc>
              <w:tc>
                <w:tcPr>
                  <w:tcW w:w="935" w:type="dxa"/>
                  <w:vAlign w:val="center"/>
                </w:tcPr>
                <w:p>
                  <w:pPr>
                    <w:spacing w:line="240" w:lineRule="auto"/>
                    <w:ind w:left="-105" w:leftChars="-50" w:right="-105" w:rightChars="-50"/>
                    <w:jc w:val="center"/>
                    <w:rPr>
                      <w:color w:val="auto"/>
                      <w:szCs w:val="21"/>
                      <w:highlight w:val="none"/>
                    </w:rPr>
                  </w:pPr>
                  <w:r>
                    <w:rPr>
                      <w:rFonts w:hint="eastAsia"/>
                      <w:color w:val="auto"/>
                      <w:szCs w:val="21"/>
                      <w:highlight w:val="none"/>
                      <w:lang w:val="en-US" w:eastAsia="zh-CN"/>
                    </w:rPr>
                    <w:t>设备自带</w:t>
                  </w:r>
                </w:p>
              </w:tc>
              <w:tc>
                <w:tcPr>
                  <w:tcW w:w="1070" w:type="dxa"/>
                  <w:vAlign w:val="center"/>
                </w:tcPr>
                <w:p>
                  <w:pPr>
                    <w:spacing w:line="240" w:lineRule="auto"/>
                    <w:ind w:left="-105" w:leftChars="-50" w:right="-105" w:rightChars="-50"/>
                    <w:jc w:val="center"/>
                    <w:rPr>
                      <w:color w:val="auto"/>
                      <w:szCs w:val="21"/>
                      <w:highlight w:val="none"/>
                    </w:rPr>
                  </w:pPr>
                  <w:r>
                    <w:rPr>
                      <w:rFonts w:hint="eastAsia"/>
                      <w:color w:val="auto"/>
                      <w:szCs w:val="21"/>
                      <w:highlight w:val="none"/>
                      <w:lang w:val="en-US" w:eastAsia="zh-CN"/>
                    </w:rPr>
                    <w:t>脉冲布袋除尘器</w:t>
                  </w:r>
                </w:p>
              </w:tc>
              <w:tc>
                <w:tcPr>
                  <w:tcW w:w="1247" w:type="dxa"/>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共4个脉冲布袋除尘器</w:t>
                  </w:r>
                </w:p>
              </w:tc>
              <w:tc>
                <w:tcPr>
                  <w:tcW w:w="1426" w:type="dxa"/>
                  <w:vAlign w:val="center"/>
                </w:tcPr>
                <w:p>
                  <w:pPr>
                    <w:spacing w:line="240" w:lineRule="auto"/>
                    <w:ind w:left="-105" w:leftChars="-50" w:right="-105" w:rightChars="-50"/>
                    <w:jc w:val="center"/>
                    <w:rPr>
                      <w:color w:val="auto"/>
                      <w:szCs w:val="21"/>
                      <w:highlight w:val="none"/>
                    </w:rPr>
                  </w:pPr>
                  <w:r>
                    <w:rPr>
                      <w:rFonts w:hint="eastAsia"/>
                      <w:color w:val="auto"/>
                      <w:kern w:val="0"/>
                      <w:szCs w:val="21"/>
                      <w:highlight w:val="none"/>
                      <w:lang w:val="en-US" w:eastAsia="zh-CN"/>
                    </w:rPr>
                    <w:t>4个鼓风机</w:t>
                  </w:r>
                </w:p>
              </w:tc>
              <w:tc>
                <w:tcPr>
                  <w:tcW w:w="1225" w:type="dxa"/>
                  <w:vAlign w:val="center"/>
                </w:tcPr>
                <w:p>
                  <w:pPr>
                    <w:spacing w:line="240" w:lineRule="auto"/>
                    <w:ind w:left="-105" w:leftChars="-50" w:right="-105" w:rightChars="-50"/>
                    <w:jc w:val="center"/>
                    <w:rPr>
                      <w:color w:val="auto"/>
                      <w:szCs w:val="21"/>
                      <w:highlight w:val="none"/>
                    </w:rPr>
                  </w:pPr>
                  <w:r>
                    <w:rPr>
                      <w:rFonts w:hint="eastAsia"/>
                      <w:color w:val="auto"/>
                      <w:szCs w:val="21"/>
                      <w:highlight w:val="none"/>
                      <w:lang w:val="en-US" w:eastAsia="zh-CN"/>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 w:type="dxa"/>
                  <w:vAlign w:val="center"/>
                </w:tcPr>
                <w:p>
                  <w:pPr>
                    <w:pStyle w:val="50"/>
                    <w:adjustRightInd/>
                    <w:snapToGrid/>
                    <w:spacing w:before="31" w:after="31" w:line="240" w:lineRule="auto"/>
                    <w:ind w:left="-105" w:leftChars="-50" w:right="-105" w:rightChars="-5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highlight w:val="none"/>
                      <w:lang w:val="en-US" w:eastAsia="zh-CN"/>
                    </w:rPr>
                    <w:t>风选研磨</w:t>
                  </w:r>
                </w:p>
              </w:tc>
              <w:tc>
                <w:tcPr>
                  <w:tcW w:w="1223" w:type="dxa"/>
                  <w:vAlign w:val="center"/>
                </w:tcPr>
                <w:p>
                  <w:pPr>
                    <w:pStyle w:val="50"/>
                    <w:adjustRightInd/>
                    <w:snapToGrid/>
                    <w:spacing w:before="31" w:after="31" w:line="240" w:lineRule="auto"/>
                    <w:ind w:left="-105" w:leftChars="-50" w:right="-105" w:rightChars="-50"/>
                    <w:rPr>
                      <w:rFonts w:hint="default" w:ascii="Times New Roman" w:hAnsi="Times New Roman" w:cs="Times New Roman"/>
                      <w:color w:val="auto"/>
                      <w:highlight w:val="none"/>
                      <w:lang w:val="en-US" w:eastAsia="zh-CN"/>
                    </w:rPr>
                  </w:pPr>
                  <w:r>
                    <w:rPr>
                      <w:rFonts w:hint="eastAsia"/>
                      <w:color w:val="auto"/>
                      <w:highlight w:val="none"/>
                    </w:rPr>
                    <w:t>雷蒙磨机</w:t>
                  </w:r>
                </w:p>
              </w:tc>
              <w:tc>
                <w:tcPr>
                  <w:tcW w:w="624" w:type="dxa"/>
                  <w:vAlign w:val="center"/>
                </w:tcPr>
                <w:p>
                  <w:pPr>
                    <w:pStyle w:val="50"/>
                    <w:adjustRightInd/>
                    <w:snapToGrid/>
                    <w:spacing w:before="31" w:after="31" w:line="240" w:lineRule="auto"/>
                    <w:ind w:left="-105" w:leftChars="-50" w:right="-105" w:rightChars="-5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3台</w:t>
                  </w:r>
                </w:p>
              </w:tc>
              <w:tc>
                <w:tcPr>
                  <w:tcW w:w="935" w:type="dxa"/>
                  <w:vAlign w:val="center"/>
                </w:tcPr>
                <w:p>
                  <w:pPr>
                    <w:spacing w:line="240" w:lineRule="auto"/>
                    <w:ind w:left="-105" w:leftChars="-50" w:right="-105" w:rightChars="-50"/>
                    <w:jc w:val="center"/>
                    <w:rPr>
                      <w:color w:val="auto"/>
                      <w:szCs w:val="21"/>
                      <w:highlight w:val="none"/>
                    </w:rPr>
                  </w:pPr>
                  <w:r>
                    <w:rPr>
                      <w:rFonts w:hint="eastAsia"/>
                      <w:color w:val="auto"/>
                      <w:szCs w:val="21"/>
                      <w:highlight w:val="none"/>
                      <w:lang w:val="en-US" w:eastAsia="zh-CN"/>
                    </w:rPr>
                    <w:t>设备自带</w:t>
                  </w:r>
                </w:p>
              </w:tc>
              <w:tc>
                <w:tcPr>
                  <w:tcW w:w="1070" w:type="dxa"/>
                  <w:vAlign w:val="center"/>
                </w:tcPr>
                <w:p>
                  <w:pPr>
                    <w:spacing w:line="240" w:lineRule="auto"/>
                    <w:ind w:left="-105" w:leftChars="-50" w:right="-105" w:rightChars="-50"/>
                    <w:jc w:val="center"/>
                    <w:rPr>
                      <w:rFonts w:hint="eastAsia" w:eastAsia="宋体"/>
                      <w:color w:val="auto"/>
                      <w:szCs w:val="21"/>
                      <w:highlight w:val="none"/>
                      <w:lang w:val="en-US" w:eastAsia="zh-CN"/>
                    </w:rPr>
                  </w:pPr>
                  <w:r>
                    <w:rPr>
                      <w:rFonts w:hint="eastAsia"/>
                      <w:color w:val="auto"/>
                      <w:szCs w:val="21"/>
                      <w:highlight w:val="none"/>
                      <w:lang w:val="en-US" w:eastAsia="zh-CN"/>
                    </w:rPr>
                    <w:t>旋风除尘</w:t>
                  </w:r>
                </w:p>
              </w:tc>
              <w:tc>
                <w:tcPr>
                  <w:tcW w:w="1247" w:type="dxa"/>
                  <w:vAlign w:val="center"/>
                </w:tcPr>
                <w:p>
                  <w:pPr>
                    <w:spacing w:line="240" w:lineRule="auto"/>
                    <w:ind w:left="-105" w:leftChars="-50" w:right="-105" w:rightChars="-50"/>
                    <w:jc w:val="center"/>
                    <w:rPr>
                      <w:color w:val="auto"/>
                      <w:szCs w:val="21"/>
                      <w:highlight w:val="none"/>
                    </w:rPr>
                  </w:pPr>
                  <w:r>
                    <w:rPr>
                      <w:rFonts w:hint="eastAsia"/>
                      <w:color w:val="auto"/>
                      <w:kern w:val="0"/>
                      <w:szCs w:val="21"/>
                      <w:highlight w:val="none"/>
                      <w:lang w:val="en-US" w:eastAsia="zh-CN"/>
                    </w:rPr>
                    <w:t>3个</w:t>
                  </w:r>
                </w:p>
              </w:tc>
              <w:tc>
                <w:tcPr>
                  <w:tcW w:w="1426" w:type="dxa"/>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kern w:val="0"/>
                      <w:szCs w:val="21"/>
                      <w:highlight w:val="none"/>
                      <w:lang w:val="en-US" w:eastAsia="zh-CN"/>
                    </w:rPr>
                    <w:t>3个</w:t>
                  </w:r>
                  <w:r>
                    <w:rPr>
                      <w:rFonts w:hint="eastAsia"/>
                      <w:color w:val="auto"/>
                      <w:szCs w:val="21"/>
                      <w:highlight w:val="none"/>
                      <w:lang w:val="en-US" w:eastAsia="zh-CN"/>
                    </w:rPr>
                    <w:t>离心高压风机</w:t>
                  </w:r>
                </w:p>
              </w:tc>
              <w:tc>
                <w:tcPr>
                  <w:tcW w:w="1225" w:type="dxa"/>
                  <w:vAlign w:val="center"/>
                </w:tcPr>
                <w:p>
                  <w:pPr>
                    <w:spacing w:line="240" w:lineRule="auto"/>
                    <w:ind w:left="-105" w:leftChars="-50" w:right="-105" w:rightChars="-50"/>
                    <w:jc w:val="center"/>
                    <w:rPr>
                      <w:rFonts w:hint="default" w:eastAsia="宋体"/>
                      <w:color w:val="auto"/>
                      <w:szCs w:val="21"/>
                      <w:highlight w:val="none"/>
                      <w:lang w:val="en-US" w:eastAsia="zh-CN"/>
                    </w:rPr>
                  </w:pPr>
                  <w:r>
                    <w:rPr>
                      <w:rFonts w:hint="eastAsia"/>
                      <w:color w:val="auto"/>
                      <w:szCs w:val="21"/>
                      <w:highlight w:val="none"/>
                      <w:lang w:val="en-US" w:eastAsia="zh-CN"/>
                    </w:rPr>
                    <w:t>132KW</w:t>
                  </w:r>
                </w:p>
              </w:tc>
            </w:tr>
          </w:tbl>
          <w:p>
            <w:pPr>
              <w:pStyle w:val="13"/>
              <w:ind w:left="0" w:firstLine="422" w:firstLineChars="200"/>
              <w:rPr>
                <w:b/>
                <w:color w:val="auto"/>
                <w:kern w:val="0"/>
                <w:szCs w:val="21"/>
                <w:highlight w:val="none"/>
              </w:rPr>
            </w:pPr>
            <w:r>
              <w:rPr>
                <w:b/>
                <w:color w:val="auto"/>
                <w:kern w:val="0"/>
                <w:szCs w:val="21"/>
                <w:highlight w:val="none"/>
              </w:rPr>
              <w:t>5</w:t>
            </w:r>
            <w:r>
              <w:rPr>
                <w:rFonts w:ascii="宋体" w:hAnsi="宋体"/>
                <w:b/>
                <w:color w:val="auto"/>
                <w:kern w:val="0"/>
                <w:szCs w:val="21"/>
                <w:highlight w:val="none"/>
              </w:rPr>
              <w:t>、环境影响分析</w:t>
            </w:r>
          </w:p>
          <w:p>
            <w:pPr>
              <w:pStyle w:val="13"/>
              <w:ind w:left="0" w:firstLine="420" w:firstLineChars="200"/>
              <w:rPr>
                <w:color w:val="auto"/>
                <w:kern w:val="0"/>
                <w:szCs w:val="21"/>
                <w:highlight w:val="none"/>
              </w:rPr>
            </w:pPr>
            <w:r>
              <w:rPr>
                <w:color w:val="auto"/>
                <w:kern w:val="0"/>
                <w:szCs w:val="21"/>
                <w:highlight w:val="none"/>
              </w:rPr>
              <w:t>根据上文分析，本项目</w:t>
            </w:r>
            <w:r>
              <w:rPr>
                <w:rFonts w:hint="eastAsia"/>
                <w:color w:val="auto"/>
                <w:kern w:val="0"/>
                <w:szCs w:val="21"/>
                <w:highlight w:val="none"/>
              </w:rPr>
              <w:t>处于大气环境质量现状达标区，厂区最近的敏感点为距离110米的牛掩村，项目</w:t>
            </w:r>
            <w:r>
              <w:rPr>
                <w:color w:val="auto"/>
                <w:kern w:val="0"/>
                <w:szCs w:val="21"/>
                <w:highlight w:val="none"/>
              </w:rPr>
              <w:t>营运过程中，投料</w:t>
            </w:r>
            <w:r>
              <w:rPr>
                <w:rFonts w:hint="eastAsia"/>
                <w:color w:val="auto"/>
                <w:kern w:val="0"/>
                <w:szCs w:val="21"/>
                <w:highlight w:val="none"/>
              </w:rPr>
              <w:t>过程</w:t>
            </w:r>
            <w:r>
              <w:rPr>
                <w:color w:val="auto"/>
                <w:kern w:val="0"/>
                <w:szCs w:val="21"/>
                <w:highlight w:val="none"/>
              </w:rPr>
              <w:t>产生的颗粒物经脉冲布袋除尘器处理，消化</w:t>
            </w:r>
            <w:r>
              <w:rPr>
                <w:rFonts w:hint="eastAsia"/>
                <w:color w:val="auto"/>
                <w:kern w:val="0"/>
                <w:szCs w:val="21"/>
                <w:highlight w:val="none"/>
              </w:rPr>
              <w:t>过程</w:t>
            </w:r>
            <w:r>
              <w:rPr>
                <w:color w:val="auto"/>
                <w:kern w:val="0"/>
                <w:szCs w:val="21"/>
                <w:highlight w:val="none"/>
              </w:rPr>
              <w:t>产生的颗粒物经脉冲布袋除尘器处理</w:t>
            </w:r>
            <w:r>
              <w:rPr>
                <w:rFonts w:hint="eastAsia"/>
                <w:color w:val="auto"/>
                <w:kern w:val="0"/>
                <w:szCs w:val="21"/>
                <w:highlight w:val="none"/>
              </w:rPr>
              <w:t>后经15米高排气筒DA001外排</w:t>
            </w:r>
            <w:r>
              <w:rPr>
                <w:color w:val="auto"/>
                <w:kern w:val="0"/>
                <w:szCs w:val="21"/>
                <w:highlight w:val="none"/>
              </w:rPr>
              <w:t>，</w:t>
            </w:r>
            <w:r>
              <w:rPr>
                <w:rFonts w:hint="eastAsia"/>
                <w:color w:val="auto"/>
                <w:kern w:val="0"/>
                <w:szCs w:val="21"/>
                <w:highlight w:val="none"/>
              </w:rPr>
              <w:t>经处理后颗粒物</w:t>
            </w:r>
            <w:r>
              <w:rPr>
                <w:color w:val="auto"/>
                <w:kern w:val="0"/>
                <w:szCs w:val="21"/>
                <w:highlight w:val="none"/>
              </w:rPr>
              <w:t>符合</w:t>
            </w:r>
            <w:r>
              <w:rPr>
                <w:rFonts w:hint="eastAsia"/>
                <w:color w:val="auto"/>
                <w:kern w:val="0"/>
                <w:szCs w:val="21"/>
                <w:highlight w:val="none"/>
              </w:rPr>
              <w:t>广东省地方标准《大气污染物排放限值》（DB44/27-2001）第二时段二级标准及无组织排放监控点浓度限值；项目厨房油烟经油烟净化器后引至高空排放，排放浓度满足《饮食业油烟排放标准(试行)》(GB18483-2001)小型规模排放限值，</w:t>
            </w:r>
            <w:r>
              <w:rPr>
                <w:rFonts w:hint="eastAsia"/>
                <w:color w:val="auto"/>
                <w:highlight w:val="none"/>
              </w:rPr>
              <w:t>经处理后</w:t>
            </w:r>
            <w:r>
              <w:rPr>
                <w:color w:val="auto"/>
                <w:kern w:val="0"/>
                <w:szCs w:val="21"/>
                <w:highlight w:val="none"/>
              </w:rPr>
              <w:t>对周边环境影响不大。</w:t>
            </w:r>
          </w:p>
          <w:p>
            <w:pPr>
              <w:pStyle w:val="13"/>
              <w:numPr>
                <w:ilvl w:val="0"/>
                <w:numId w:val="9"/>
              </w:numPr>
              <w:ind w:firstLine="422" w:firstLineChars="200"/>
              <w:rPr>
                <w:b/>
                <w:color w:val="auto"/>
                <w:kern w:val="0"/>
                <w:szCs w:val="21"/>
                <w:highlight w:val="none"/>
              </w:rPr>
            </w:pPr>
            <w:r>
              <w:rPr>
                <w:rFonts w:ascii="宋体" w:hAnsi="宋体"/>
                <w:b/>
                <w:color w:val="auto"/>
                <w:kern w:val="0"/>
                <w:szCs w:val="21"/>
                <w:highlight w:val="none"/>
              </w:rPr>
              <w:t>监测要求</w:t>
            </w:r>
          </w:p>
          <w:p>
            <w:pPr>
              <w:pStyle w:val="13"/>
              <w:ind w:left="0" w:firstLine="420" w:firstLineChars="200"/>
              <w:rPr>
                <w:rFonts w:ascii="宋体" w:hAnsi="宋体"/>
                <w:color w:val="auto"/>
                <w:kern w:val="0"/>
                <w:szCs w:val="21"/>
                <w:highlight w:val="none"/>
              </w:rPr>
            </w:pPr>
            <w:r>
              <w:rPr>
                <w:rFonts w:hint="eastAsia" w:ascii="宋体" w:hAnsi="宋体"/>
                <w:color w:val="auto"/>
                <w:kern w:val="0"/>
                <w:szCs w:val="21"/>
                <w:highlight w:val="none"/>
              </w:rPr>
              <w:t>根据</w:t>
            </w:r>
            <w:r>
              <w:rPr>
                <w:color w:val="auto"/>
                <w:kern w:val="0"/>
                <w:szCs w:val="21"/>
                <w:highlight w:val="none"/>
              </w:rPr>
              <w:t>《2020 年纳入排污许可管理的行业和管理类别表》，项目属于简化管理。根据参考《排污许可证申请与核发技术规范 总则》（HJ 942-2018）、</w:t>
            </w:r>
            <w:r>
              <w:rPr>
                <w:rFonts w:hint="eastAsia"/>
                <w:color w:val="auto"/>
                <w:kern w:val="0"/>
                <w:szCs w:val="21"/>
                <w:highlight w:val="none"/>
              </w:rPr>
              <w:t>《排污许可证申请与核发技术规范 水泥工业》（HJ847-2017）、</w:t>
            </w:r>
            <w:r>
              <w:rPr>
                <w:color w:val="auto"/>
                <w:kern w:val="0"/>
                <w:szCs w:val="21"/>
                <w:highlight w:val="none"/>
              </w:rPr>
              <w:t xml:space="preserve">《排污单位自行监测技术指南 </w:t>
            </w:r>
            <w:r>
              <w:rPr>
                <w:rFonts w:hint="eastAsia"/>
                <w:color w:val="auto"/>
                <w:kern w:val="0"/>
                <w:szCs w:val="21"/>
                <w:highlight w:val="none"/>
              </w:rPr>
              <w:t>水泥工业</w:t>
            </w:r>
            <w:r>
              <w:rPr>
                <w:color w:val="auto"/>
                <w:kern w:val="0"/>
                <w:szCs w:val="21"/>
                <w:highlight w:val="none"/>
              </w:rPr>
              <w:t>》</w:t>
            </w:r>
            <w:r>
              <w:rPr>
                <w:rFonts w:hint="eastAsia"/>
                <w:color w:val="auto"/>
                <w:kern w:val="0"/>
                <w:szCs w:val="21"/>
                <w:highlight w:val="none"/>
              </w:rPr>
              <w:t>（HJ848-2017）</w:t>
            </w:r>
            <w:r>
              <w:rPr>
                <w:color w:val="auto"/>
                <w:kern w:val="0"/>
                <w:szCs w:val="21"/>
                <w:highlight w:val="none"/>
              </w:rPr>
              <w:t>的要求开展自行监测，本项目运营期监测要求如下表。</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监测要求一览表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2132"/>
              <w:gridCol w:w="920"/>
              <w:gridCol w:w="1247"/>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spacing w:line="240" w:lineRule="auto"/>
                    <w:ind w:left="-105" w:leftChars="-50" w:right="-105" w:rightChars="-50"/>
                    <w:jc w:val="center"/>
                    <w:rPr>
                      <w:color w:val="auto"/>
                      <w:szCs w:val="21"/>
                      <w:highlight w:val="none"/>
                    </w:rPr>
                  </w:pPr>
                  <w:r>
                    <w:rPr>
                      <w:color w:val="auto"/>
                      <w:szCs w:val="21"/>
                      <w:highlight w:val="none"/>
                    </w:rPr>
                    <w:t>序号</w:t>
                  </w:r>
                </w:p>
              </w:tc>
              <w:tc>
                <w:tcPr>
                  <w:tcW w:w="1283" w:type="pct"/>
                  <w:vAlign w:val="center"/>
                </w:tcPr>
                <w:p>
                  <w:pPr>
                    <w:spacing w:line="240" w:lineRule="auto"/>
                    <w:ind w:left="-105" w:leftChars="-50" w:right="-105" w:rightChars="-50"/>
                    <w:jc w:val="center"/>
                    <w:rPr>
                      <w:color w:val="auto"/>
                      <w:szCs w:val="21"/>
                      <w:highlight w:val="none"/>
                    </w:rPr>
                  </w:pPr>
                  <w:r>
                    <w:rPr>
                      <w:color w:val="auto"/>
                      <w:szCs w:val="21"/>
                      <w:highlight w:val="none"/>
                    </w:rPr>
                    <w:t>监测点位</w:t>
                  </w:r>
                </w:p>
              </w:tc>
              <w:tc>
                <w:tcPr>
                  <w:tcW w:w="554" w:type="pct"/>
                  <w:vAlign w:val="center"/>
                </w:tcPr>
                <w:p>
                  <w:pPr>
                    <w:spacing w:line="240" w:lineRule="auto"/>
                    <w:ind w:left="-105" w:leftChars="-50" w:right="-105" w:rightChars="-50"/>
                    <w:jc w:val="center"/>
                    <w:rPr>
                      <w:color w:val="auto"/>
                      <w:szCs w:val="21"/>
                      <w:highlight w:val="none"/>
                    </w:rPr>
                  </w:pPr>
                  <w:r>
                    <w:rPr>
                      <w:color w:val="auto"/>
                      <w:szCs w:val="21"/>
                      <w:highlight w:val="none"/>
                    </w:rPr>
                    <w:t>监测因子</w:t>
                  </w:r>
                </w:p>
              </w:tc>
              <w:tc>
                <w:tcPr>
                  <w:tcW w:w="751" w:type="pct"/>
                  <w:vAlign w:val="center"/>
                </w:tcPr>
                <w:p>
                  <w:pPr>
                    <w:spacing w:line="240" w:lineRule="auto"/>
                    <w:ind w:left="-105" w:leftChars="-50" w:right="-105" w:rightChars="-50"/>
                    <w:jc w:val="center"/>
                    <w:rPr>
                      <w:color w:val="auto"/>
                      <w:szCs w:val="21"/>
                      <w:highlight w:val="none"/>
                    </w:rPr>
                  </w:pPr>
                  <w:r>
                    <w:rPr>
                      <w:color w:val="auto"/>
                      <w:szCs w:val="21"/>
                      <w:highlight w:val="none"/>
                    </w:rPr>
                    <w:t>监测频次</w:t>
                  </w:r>
                </w:p>
              </w:tc>
              <w:tc>
                <w:tcPr>
                  <w:tcW w:w="2078" w:type="pct"/>
                  <w:vAlign w:val="center"/>
                </w:tcPr>
                <w:p>
                  <w:pPr>
                    <w:spacing w:line="240" w:lineRule="auto"/>
                    <w:ind w:left="-105" w:leftChars="-50" w:right="-105" w:rightChars="-50"/>
                    <w:jc w:val="center"/>
                    <w:rPr>
                      <w:color w:val="auto"/>
                      <w:szCs w:val="21"/>
                      <w:highlight w:val="none"/>
                    </w:rPr>
                  </w:pPr>
                  <w:r>
                    <w:rPr>
                      <w:color w:val="auto"/>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6"/>
                    <w:spacing w:line="240" w:lineRule="auto"/>
                    <w:ind w:left="-105" w:leftChars="-50" w:right="-105" w:rightChars="-50" w:firstLine="0" w:firstLineChars="0"/>
                    <w:jc w:val="center"/>
                    <w:rPr>
                      <w:color w:val="auto"/>
                      <w:szCs w:val="21"/>
                      <w:highlight w:val="none"/>
                    </w:rPr>
                  </w:pPr>
                  <w:r>
                    <w:rPr>
                      <w:color w:val="auto"/>
                      <w:szCs w:val="21"/>
                      <w:highlight w:val="none"/>
                    </w:rPr>
                    <w:t>1</w:t>
                  </w:r>
                </w:p>
              </w:tc>
              <w:tc>
                <w:tcPr>
                  <w:tcW w:w="1283" w:type="pct"/>
                  <w:vAlign w:val="center"/>
                </w:tcPr>
                <w:p>
                  <w:pPr>
                    <w:pStyle w:val="50"/>
                    <w:adjustRightInd/>
                    <w:snapToGrid/>
                    <w:spacing w:before="31" w:after="31" w:line="240" w:lineRule="auto"/>
                    <w:ind w:left="-105" w:leftChars="-50" w:right="-105" w:rightChars="-50"/>
                    <w:rPr>
                      <w:rFonts w:ascii="Times New Roman" w:hAnsi="Times New Roman" w:cs="Times New Roman"/>
                      <w:color w:val="auto"/>
                      <w:highlight w:val="none"/>
                    </w:rPr>
                  </w:pPr>
                  <w:r>
                    <w:rPr>
                      <w:rFonts w:ascii="Times New Roman" w:hAnsi="Times New Roman" w:cs="Times New Roman"/>
                      <w:color w:val="auto"/>
                      <w:highlight w:val="none"/>
                    </w:rPr>
                    <w:t>DA00</w:t>
                  </w:r>
                  <w:r>
                    <w:rPr>
                      <w:rFonts w:hint="eastAsia" w:ascii="Times New Roman" w:hAnsi="Times New Roman" w:cs="Times New Roman"/>
                      <w:color w:val="auto"/>
                      <w:highlight w:val="none"/>
                    </w:rPr>
                    <w:t>1</w:t>
                  </w:r>
                </w:p>
              </w:tc>
              <w:tc>
                <w:tcPr>
                  <w:tcW w:w="55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颗粒物</w:t>
                  </w:r>
                </w:p>
              </w:tc>
              <w:tc>
                <w:tcPr>
                  <w:tcW w:w="751" w:type="pct"/>
                  <w:vAlign w:val="center"/>
                </w:tcPr>
                <w:p>
                  <w:pPr>
                    <w:spacing w:line="240" w:lineRule="auto"/>
                    <w:ind w:left="-105" w:leftChars="-50" w:right="-105" w:rightChars="-50"/>
                    <w:jc w:val="center"/>
                    <w:rPr>
                      <w:color w:val="auto"/>
                      <w:szCs w:val="21"/>
                      <w:highlight w:val="none"/>
                    </w:rPr>
                  </w:pPr>
                  <w:r>
                    <w:rPr>
                      <w:color w:val="auto"/>
                      <w:highlight w:val="none"/>
                    </w:rPr>
                    <w:t>每</w:t>
                  </w:r>
                  <w:r>
                    <w:rPr>
                      <w:rFonts w:hint="eastAsia"/>
                      <w:color w:val="auto"/>
                      <w:highlight w:val="none"/>
                    </w:rPr>
                    <w:t>季度</w:t>
                  </w:r>
                  <w:r>
                    <w:rPr>
                      <w:color w:val="auto"/>
                      <w:highlight w:val="none"/>
                    </w:rPr>
                    <w:t>一次</w:t>
                  </w:r>
                </w:p>
              </w:tc>
              <w:tc>
                <w:tcPr>
                  <w:tcW w:w="2078" w:type="pct"/>
                  <w:vAlign w:val="center"/>
                </w:tcPr>
                <w:p>
                  <w:pPr>
                    <w:spacing w:line="240" w:lineRule="auto"/>
                    <w:ind w:left="-105" w:leftChars="-50" w:right="-105" w:rightChars="-50"/>
                    <w:jc w:val="center"/>
                    <w:rPr>
                      <w:color w:val="auto"/>
                      <w:kern w:val="0"/>
                      <w:szCs w:val="21"/>
                      <w:highlight w:val="none"/>
                    </w:rPr>
                  </w:pPr>
                  <w:r>
                    <w:rPr>
                      <w:rFonts w:hint="eastAsia"/>
                      <w:color w:val="auto"/>
                      <w:kern w:val="0"/>
                      <w:szCs w:val="21"/>
                      <w:highlight w:val="none"/>
                    </w:rPr>
                    <w:t>广东省地方标准《大气污染物排放限值》（DB44/27-2001）第二时段二级标准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 w:type="pct"/>
                  <w:vAlign w:val="center"/>
                </w:tcPr>
                <w:p>
                  <w:pPr>
                    <w:pStyle w:val="46"/>
                    <w:spacing w:line="240" w:lineRule="auto"/>
                    <w:ind w:left="-105" w:leftChars="-50" w:right="-105" w:rightChars="-50" w:firstLine="0" w:firstLineChars="0"/>
                    <w:jc w:val="center"/>
                    <w:rPr>
                      <w:color w:val="auto"/>
                      <w:szCs w:val="21"/>
                      <w:highlight w:val="none"/>
                    </w:rPr>
                  </w:pPr>
                  <w:r>
                    <w:rPr>
                      <w:rFonts w:hint="eastAsia"/>
                      <w:color w:val="auto"/>
                      <w:szCs w:val="21"/>
                      <w:highlight w:val="none"/>
                    </w:rPr>
                    <w:t>2</w:t>
                  </w:r>
                </w:p>
              </w:tc>
              <w:tc>
                <w:tcPr>
                  <w:tcW w:w="1283" w:type="pct"/>
                  <w:vAlign w:val="center"/>
                </w:tcPr>
                <w:p>
                  <w:pPr>
                    <w:pStyle w:val="50"/>
                    <w:adjustRightInd/>
                    <w:snapToGrid/>
                    <w:spacing w:before="31" w:after="31" w:line="240" w:lineRule="auto"/>
                    <w:ind w:left="-105" w:leftChars="-50" w:right="-105" w:rightChars="-50"/>
                    <w:rPr>
                      <w:rFonts w:ascii="Times New Roman" w:hAnsi="Times New Roman" w:cs="Times New Roman"/>
                      <w:color w:val="auto"/>
                      <w:highlight w:val="none"/>
                    </w:rPr>
                  </w:pPr>
                  <w:r>
                    <w:rPr>
                      <w:rFonts w:ascii="Times New Roman" w:hAnsi="Times New Roman" w:cs="Times New Roman"/>
                      <w:color w:val="auto"/>
                      <w:highlight w:val="none"/>
                    </w:rPr>
                    <w:t>厂界无组织废气（上风向1个，下风向3个）</w:t>
                  </w:r>
                </w:p>
              </w:tc>
              <w:tc>
                <w:tcPr>
                  <w:tcW w:w="55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颗粒物</w:t>
                  </w:r>
                </w:p>
              </w:tc>
              <w:tc>
                <w:tcPr>
                  <w:tcW w:w="751" w:type="pct"/>
                  <w:vAlign w:val="center"/>
                </w:tcPr>
                <w:p>
                  <w:pPr>
                    <w:spacing w:line="240" w:lineRule="auto"/>
                    <w:ind w:left="-105" w:leftChars="-50" w:right="-105" w:rightChars="-50"/>
                    <w:jc w:val="center"/>
                    <w:rPr>
                      <w:color w:val="auto"/>
                      <w:szCs w:val="21"/>
                      <w:highlight w:val="none"/>
                    </w:rPr>
                  </w:pPr>
                  <w:r>
                    <w:rPr>
                      <w:color w:val="auto"/>
                      <w:highlight w:val="none"/>
                    </w:rPr>
                    <w:t>每</w:t>
                  </w:r>
                  <w:r>
                    <w:rPr>
                      <w:rFonts w:hint="eastAsia"/>
                      <w:color w:val="auto"/>
                      <w:highlight w:val="none"/>
                    </w:rPr>
                    <w:t>季度</w:t>
                  </w:r>
                  <w:r>
                    <w:rPr>
                      <w:color w:val="auto"/>
                      <w:highlight w:val="none"/>
                    </w:rPr>
                    <w:t>一次</w:t>
                  </w:r>
                </w:p>
              </w:tc>
              <w:tc>
                <w:tcPr>
                  <w:tcW w:w="2078" w:type="pct"/>
                  <w:vAlign w:val="center"/>
                </w:tcPr>
                <w:p>
                  <w:pPr>
                    <w:spacing w:line="240" w:lineRule="auto"/>
                    <w:ind w:left="-105" w:leftChars="-50" w:right="-105" w:rightChars="-50"/>
                    <w:jc w:val="center"/>
                    <w:rPr>
                      <w:color w:val="auto"/>
                      <w:szCs w:val="21"/>
                      <w:highlight w:val="none"/>
                    </w:rPr>
                  </w:pPr>
                  <w:r>
                    <w:rPr>
                      <w:rFonts w:hint="eastAsia"/>
                      <w:color w:val="auto"/>
                      <w:kern w:val="0"/>
                      <w:szCs w:val="21"/>
                      <w:highlight w:val="none"/>
                    </w:rPr>
                    <w:t>广东省地方标准《大气污染物排放限值》（DB44/27-2001）第二时段无组织排放监控点浓度限值</w:t>
                  </w:r>
                </w:p>
              </w:tc>
            </w:tr>
          </w:tbl>
          <w:p>
            <w:pPr>
              <w:pStyle w:val="13"/>
              <w:ind w:left="0" w:firstLine="422" w:firstLineChars="200"/>
              <w:rPr>
                <w:b/>
                <w:color w:val="auto"/>
                <w:kern w:val="0"/>
                <w:szCs w:val="21"/>
                <w:highlight w:val="none"/>
              </w:rPr>
            </w:pPr>
            <w:r>
              <w:rPr>
                <w:rFonts w:ascii="宋体" w:hAnsi="宋体"/>
                <w:b/>
                <w:color w:val="auto"/>
                <w:kern w:val="0"/>
                <w:szCs w:val="21"/>
                <w:highlight w:val="none"/>
              </w:rPr>
              <w:t>二、废水</w:t>
            </w:r>
          </w:p>
          <w:p>
            <w:pPr>
              <w:ind w:firstLine="422" w:firstLineChars="200"/>
              <w:rPr>
                <w:b/>
                <w:bCs/>
                <w:color w:val="auto"/>
                <w:kern w:val="0"/>
                <w:szCs w:val="21"/>
                <w:highlight w:val="none"/>
              </w:rPr>
            </w:pPr>
            <w:r>
              <w:rPr>
                <w:b/>
                <w:bCs/>
                <w:color w:val="auto"/>
                <w:kern w:val="0"/>
                <w:szCs w:val="21"/>
                <w:highlight w:val="none"/>
              </w:rPr>
              <w:t>1、源强核算</w:t>
            </w:r>
          </w:p>
          <w:p>
            <w:pPr>
              <w:ind w:firstLine="420" w:firstLineChars="200"/>
              <w:rPr>
                <w:color w:val="auto"/>
                <w:kern w:val="0"/>
                <w:szCs w:val="21"/>
                <w:highlight w:val="none"/>
              </w:rPr>
            </w:pPr>
            <w:r>
              <w:rPr>
                <w:color w:val="auto"/>
                <w:kern w:val="0"/>
                <w:szCs w:val="21"/>
                <w:highlight w:val="none"/>
              </w:rPr>
              <w:t>本项目无生产废水不外排，产生的废水主要为生活污水。</w:t>
            </w:r>
          </w:p>
          <w:p>
            <w:pPr>
              <w:ind w:firstLine="420" w:firstLineChars="200"/>
              <w:rPr>
                <w:color w:val="auto"/>
                <w:highlight w:val="none"/>
              </w:rPr>
            </w:pPr>
            <w:r>
              <w:rPr>
                <w:color w:val="auto"/>
                <w:szCs w:val="21"/>
                <w:highlight w:val="none"/>
              </w:rPr>
              <w:t>本项目</w:t>
            </w:r>
            <w:r>
              <w:rPr>
                <w:bCs/>
                <w:color w:val="auto"/>
                <w:szCs w:val="21"/>
                <w:highlight w:val="none"/>
              </w:rPr>
              <w:t>员工为10人，全部在厂区内</w:t>
            </w:r>
            <w:r>
              <w:rPr>
                <w:rFonts w:hint="eastAsia"/>
                <w:bCs/>
                <w:color w:val="auto"/>
                <w:szCs w:val="21"/>
                <w:highlight w:val="none"/>
                <w:lang w:val="en-US" w:eastAsia="zh-CN"/>
              </w:rPr>
              <w:t>吃饭，不住宿</w:t>
            </w:r>
            <w:r>
              <w:rPr>
                <w:color w:val="auto"/>
                <w:szCs w:val="21"/>
                <w:highlight w:val="none"/>
              </w:rPr>
              <w:t>。根据广东省地方标准《用水定额 第3部分：生活》（DB44/T1461.3-2021），</w:t>
            </w:r>
            <w:r>
              <w:rPr>
                <w:rFonts w:hint="eastAsia"/>
                <w:color w:val="auto"/>
                <w:szCs w:val="21"/>
                <w:highlight w:val="none"/>
                <w:lang w:val="en-US" w:eastAsia="zh-CN"/>
              </w:rPr>
              <w:t>有</w:t>
            </w:r>
            <w:r>
              <w:rPr>
                <w:color w:val="auto"/>
                <w:szCs w:val="21"/>
                <w:highlight w:val="none"/>
              </w:rPr>
              <w:t>食堂和浴室</w:t>
            </w:r>
            <w:r>
              <w:rPr>
                <w:rFonts w:hint="eastAsia"/>
                <w:color w:val="auto"/>
                <w:szCs w:val="21"/>
                <w:highlight w:val="none"/>
              </w:rPr>
              <w:t>系数</w:t>
            </w:r>
            <w:r>
              <w:rPr>
                <w:rFonts w:hint="eastAsia"/>
                <w:color w:val="auto"/>
                <w:szCs w:val="21"/>
                <w:highlight w:val="none"/>
                <w:lang w:val="en-US" w:eastAsia="zh-CN"/>
              </w:rPr>
              <w:t>为38</w:t>
            </w:r>
            <w:r>
              <w:rPr>
                <w:color w:val="auto"/>
                <w:szCs w:val="21"/>
                <w:highlight w:val="none"/>
              </w:rPr>
              <w:t>m</w:t>
            </w:r>
            <w:r>
              <w:rPr>
                <w:color w:val="auto"/>
                <w:szCs w:val="21"/>
                <w:highlight w:val="none"/>
                <w:vertAlign w:val="superscript"/>
              </w:rPr>
              <w:t>3</w:t>
            </w:r>
            <w:r>
              <w:rPr>
                <w:color w:val="auto"/>
                <w:szCs w:val="21"/>
                <w:highlight w:val="none"/>
              </w:rPr>
              <w:t>/（人·a），项目取</w:t>
            </w:r>
            <w:r>
              <w:rPr>
                <w:rFonts w:hint="eastAsia"/>
                <w:color w:val="auto"/>
                <w:szCs w:val="21"/>
                <w:highlight w:val="none"/>
              </w:rPr>
              <w:t>系数</w:t>
            </w:r>
            <w:r>
              <w:rPr>
                <w:rFonts w:hint="eastAsia"/>
                <w:color w:val="auto"/>
                <w:szCs w:val="21"/>
                <w:highlight w:val="none"/>
                <w:lang w:val="en-US" w:eastAsia="zh-CN"/>
              </w:rPr>
              <w:t>的一半，</w:t>
            </w:r>
            <w:r>
              <w:rPr>
                <w:color w:val="auto"/>
                <w:szCs w:val="21"/>
                <w:highlight w:val="none"/>
              </w:rPr>
              <w:t>因此本项目的生活用水定额按1</w:t>
            </w:r>
            <w:r>
              <w:rPr>
                <w:rFonts w:hint="eastAsia"/>
                <w:color w:val="auto"/>
                <w:szCs w:val="21"/>
                <w:highlight w:val="none"/>
                <w:lang w:val="en-US" w:eastAsia="zh-CN"/>
              </w:rPr>
              <w:t>9</w:t>
            </w:r>
            <w:r>
              <w:rPr>
                <w:color w:val="auto"/>
                <w:szCs w:val="21"/>
                <w:highlight w:val="none"/>
              </w:rPr>
              <w:t>m</w:t>
            </w:r>
            <w:r>
              <w:rPr>
                <w:color w:val="auto"/>
                <w:szCs w:val="21"/>
                <w:highlight w:val="none"/>
                <w:vertAlign w:val="superscript"/>
              </w:rPr>
              <w:t>3</w:t>
            </w:r>
            <w:r>
              <w:rPr>
                <w:color w:val="auto"/>
                <w:szCs w:val="21"/>
                <w:highlight w:val="none"/>
              </w:rPr>
              <w:t>/（人·a）计，按年工作300天计，</w:t>
            </w:r>
            <w:r>
              <w:rPr>
                <w:color w:val="auto"/>
                <w:highlight w:val="none"/>
              </w:rPr>
              <w:t>则员工用水量约为1</w:t>
            </w:r>
            <w:r>
              <w:rPr>
                <w:rFonts w:hint="eastAsia"/>
                <w:color w:val="auto"/>
                <w:highlight w:val="none"/>
                <w:lang w:val="en-US" w:eastAsia="zh-CN"/>
              </w:rPr>
              <w:t>9</w:t>
            </w:r>
            <w:r>
              <w:rPr>
                <w:color w:val="auto"/>
                <w:highlight w:val="none"/>
              </w:rPr>
              <w:t>0m</w:t>
            </w:r>
            <w:r>
              <w:rPr>
                <w:color w:val="auto"/>
                <w:highlight w:val="none"/>
                <w:vertAlign w:val="superscript"/>
              </w:rPr>
              <w:t>3</w:t>
            </w:r>
            <w:r>
              <w:rPr>
                <w:color w:val="auto"/>
                <w:highlight w:val="none"/>
              </w:rPr>
              <w:t>/a（0.</w:t>
            </w:r>
            <w:r>
              <w:rPr>
                <w:rFonts w:hint="eastAsia"/>
                <w:color w:val="auto"/>
                <w:highlight w:val="none"/>
                <w:lang w:val="en-US" w:eastAsia="zh-CN"/>
              </w:rPr>
              <w:t>63</w:t>
            </w:r>
            <w:r>
              <w:rPr>
                <w:color w:val="auto"/>
                <w:highlight w:val="none"/>
              </w:rPr>
              <w:t>m</w:t>
            </w:r>
            <w:r>
              <w:rPr>
                <w:color w:val="auto"/>
                <w:highlight w:val="none"/>
                <w:vertAlign w:val="superscript"/>
              </w:rPr>
              <w:t>3</w:t>
            </w:r>
            <w:r>
              <w:rPr>
                <w:color w:val="auto"/>
                <w:highlight w:val="none"/>
              </w:rPr>
              <w:t>/d），污染排放系数按0.</w:t>
            </w:r>
            <w:r>
              <w:rPr>
                <w:rFonts w:hint="eastAsia"/>
                <w:color w:val="auto"/>
                <w:highlight w:val="none"/>
                <w:lang w:val="en-US" w:eastAsia="zh-CN"/>
              </w:rPr>
              <w:t>8</w:t>
            </w:r>
            <w:r>
              <w:rPr>
                <w:color w:val="auto"/>
                <w:highlight w:val="none"/>
              </w:rPr>
              <w:t>计，则生活污水产生量为1</w:t>
            </w:r>
            <w:r>
              <w:rPr>
                <w:rFonts w:hint="eastAsia"/>
                <w:color w:val="auto"/>
                <w:highlight w:val="none"/>
                <w:lang w:val="en-US" w:eastAsia="zh-CN"/>
              </w:rPr>
              <w:t>52</w:t>
            </w:r>
            <w:r>
              <w:rPr>
                <w:color w:val="auto"/>
                <w:highlight w:val="none"/>
              </w:rPr>
              <w:t>m</w:t>
            </w:r>
            <w:r>
              <w:rPr>
                <w:color w:val="auto"/>
                <w:highlight w:val="none"/>
                <w:vertAlign w:val="superscript"/>
              </w:rPr>
              <w:t>3</w:t>
            </w:r>
            <w:r>
              <w:rPr>
                <w:color w:val="auto"/>
                <w:highlight w:val="none"/>
              </w:rPr>
              <w:t>/a（0.</w:t>
            </w:r>
            <w:r>
              <w:rPr>
                <w:rFonts w:hint="eastAsia"/>
                <w:color w:val="auto"/>
                <w:highlight w:val="none"/>
                <w:lang w:val="en-US" w:eastAsia="zh-CN"/>
              </w:rPr>
              <w:t>504</w:t>
            </w:r>
            <w:r>
              <w:rPr>
                <w:color w:val="auto"/>
                <w:highlight w:val="none"/>
              </w:rPr>
              <w:t>m</w:t>
            </w:r>
            <w:r>
              <w:rPr>
                <w:color w:val="auto"/>
                <w:highlight w:val="none"/>
                <w:vertAlign w:val="superscript"/>
              </w:rPr>
              <w:t>3</w:t>
            </w:r>
            <w:r>
              <w:rPr>
                <w:color w:val="auto"/>
                <w:highlight w:val="none"/>
              </w:rPr>
              <w:t>/d）。本项目生活污水经化粪池</w:t>
            </w:r>
            <w:r>
              <w:rPr>
                <w:rFonts w:hint="eastAsia"/>
                <w:color w:val="auto"/>
                <w:kern w:val="0"/>
                <w:szCs w:val="21"/>
                <w:highlight w:val="none"/>
              </w:rPr>
              <w:t>、隔油隔渣池</w:t>
            </w:r>
            <w:r>
              <w:rPr>
                <w:color w:val="auto"/>
                <w:highlight w:val="none"/>
              </w:rPr>
              <w:t>预处理后用于园区绿化，不外排。</w:t>
            </w:r>
          </w:p>
          <w:p>
            <w:pPr>
              <w:pStyle w:val="46"/>
              <w:numPr>
                <w:ilvl w:val="8"/>
                <w:numId w:val="8"/>
              </w:numPr>
              <w:autoSpaceDE w:val="0"/>
              <w:autoSpaceDN w:val="0"/>
              <w:adjustRightInd w:val="0"/>
              <w:snapToGrid w:val="0"/>
              <w:spacing w:line="240" w:lineRule="auto"/>
              <w:ind w:firstLineChars="0"/>
              <w:jc w:val="center"/>
              <w:rPr>
                <w:b/>
                <w:bCs/>
                <w:color w:val="auto"/>
                <w:highlight w:val="none"/>
              </w:rPr>
            </w:pPr>
            <w:r>
              <w:rPr>
                <w:b/>
                <w:bCs/>
                <w:color w:val="auto"/>
                <w:highlight w:val="none"/>
              </w:rPr>
              <w:t>本项目生活</w:t>
            </w:r>
            <w:r>
              <w:rPr>
                <w:b/>
                <w:bCs/>
                <w:color w:val="auto"/>
                <w:kern w:val="0"/>
                <w:szCs w:val="21"/>
                <w:highlight w:val="none"/>
              </w:rPr>
              <w:t>污水</w:t>
            </w:r>
            <w:r>
              <w:rPr>
                <w:b/>
                <w:bCs/>
                <w:color w:val="auto"/>
                <w:highlight w:val="none"/>
              </w:rPr>
              <w:t>产生情况一览表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938"/>
              <w:gridCol w:w="1033"/>
              <w:gridCol w:w="1064"/>
              <w:gridCol w:w="1478"/>
              <w:gridCol w:w="1395"/>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4" w:type="dxa"/>
                  <w:vAlign w:val="center"/>
                </w:tcPr>
                <w:p>
                  <w:pPr>
                    <w:spacing w:line="240" w:lineRule="auto"/>
                    <w:jc w:val="center"/>
                    <w:rPr>
                      <w:color w:val="auto"/>
                      <w:highlight w:val="none"/>
                    </w:rPr>
                  </w:pPr>
                  <w:r>
                    <w:rPr>
                      <w:color w:val="auto"/>
                      <w:highlight w:val="none"/>
                    </w:rPr>
                    <w:t>污染源</w:t>
                  </w:r>
                </w:p>
              </w:tc>
              <w:tc>
                <w:tcPr>
                  <w:tcW w:w="938" w:type="dxa"/>
                  <w:vAlign w:val="center"/>
                </w:tcPr>
                <w:p>
                  <w:pPr>
                    <w:spacing w:line="240" w:lineRule="auto"/>
                    <w:jc w:val="center"/>
                    <w:rPr>
                      <w:color w:val="auto"/>
                      <w:highlight w:val="none"/>
                    </w:rPr>
                  </w:pPr>
                  <w:r>
                    <w:rPr>
                      <w:color w:val="auto"/>
                      <w:highlight w:val="none"/>
                    </w:rPr>
                    <w:t>指标</w:t>
                  </w:r>
                </w:p>
              </w:tc>
              <w:tc>
                <w:tcPr>
                  <w:tcW w:w="1033" w:type="dxa"/>
                  <w:vAlign w:val="center"/>
                </w:tcPr>
                <w:p>
                  <w:pPr>
                    <w:spacing w:line="240" w:lineRule="auto"/>
                    <w:jc w:val="center"/>
                    <w:rPr>
                      <w:color w:val="auto"/>
                      <w:highlight w:val="none"/>
                    </w:rPr>
                  </w:pPr>
                  <w:r>
                    <w:rPr>
                      <w:color w:val="auto"/>
                      <w:highlight w:val="none"/>
                    </w:rPr>
                    <w:t>产生浓</w:t>
                  </w:r>
                  <w:r>
                    <w:rPr>
                      <w:rFonts w:hint="eastAsia"/>
                      <w:color w:val="auto"/>
                      <w:highlight w:val="none"/>
                    </w:rPr>
                    <w:t>度</w:t>
                  </w:r>
                  <w:r>
                    <w:rPr>
                      <w:color w:val="auto"/>
                      <w:highlight w:val="none"/>
                    </w:rPr>
                    <w:t>(mg/L)</w:t>
                  </w:r>
                </w:p>
              </w:tc>
              <w:tc>
                <w:tcPr>
                  <w:tcW w:w="1064" w:type="dxa"/>
                  <w:vAlign w:val="center"/>
                </w:tcPr>
                <w:p>
                  <w:pPr>
                    <w:spacing w:line="240" w:lineRule="auto"/>
                    <w:jc w:val="center"/>
                    <w:rPr>
                      <w:color w:val="auto"/>
                      <w:highlight w:val="none"/>
                    </w:rPr>
                  </w:pPr>
                  <w:r>
                    <w:rPr>
                      <w:color w:val="auto"/>
                      <w:highlight w:val="none"/>
                    </w:rPr>
                    <w:t>产生量</w:t>
                  </w:r>
                </w:p>
                <w:p>
                  <w:pPr>
                    <w:spacing w:line="240" w:lineRule="auto"/>
                    <w:jc w:val="center"/>
                    <w:rPr>
                      <w:color w:val="auto"/>
                      <w:highlight w:val="none"/>
                    </w:rPr>
                  </w:pPr>
                  <w:r>
                    <w:rPr>
                      <w:color w:val="auto"/>
                      <w:highlight w:val="none"/>
                    </w:rPr>
                    <w:t>(t/a)</w:t>
                  </w:r>
                </w:p>
              </w:tc>
              <w:tc>
                <w:tcPr>
                  <w:tcW w:w="1478" w:type="dxa"/>
                  <w:vAlign w:val="center"/>
                </w:tcPr>
                <w:p>
                  <w:pPr>
                    <w:spacing w:line="240" w:lineRule="auto"/>
                    <w:jc w:val="center"/>
                    <w:rPr>
                      <w:color w:val="auto"/>
                      <w:highlight w:val="none"/>
                    </w:rPr>
                  </w:pPr>
                  <w:r>
                    <w:rPr>
                      <w:color w:val="auto"/>
                      <w:highlight w:val="none"/>
                    </w:rPr>
                    <w:t>处理措施</w:t>
                  </w:r>
                </w:p>
              </w:tc>
              <w:tc>
                <w:tcPr>
                  <w:tcW w:w="1395" w:type="dxa"/>
                  <w:vAlign w:val="center"/>
                </w:tcPr>
                <w:p>
                  <w:pPr>
                    <w:spacing w:line="240" w:lineRule="auto"/>
                    <w:jc w:val="center"/>
                    <w:rPr>
                      <w:color w:val="auto"/>
                      <w:highlight w:val="none"/>
                    </w:rPr>
                  </w:pPr>
                  <w:r>
                    <w:rPr>
                      <w:rFonts w:hint="eastAsia"/>
                      <w:color w:val="auto"/>
                      <w:highlight w:val="none"/>
                    </w:rPr>
                    <w:t>处理后浓度</w:t>
                  </w:r>
                  <w:r>
                    <w:rPr>
                      <w:color w:val="auto"/>
                      <w:highlight w:val="none"/>
                    </w:rPr>
                    <w:t>(mg/L)</w:t>
                  </w:r>
                </w:p>
              </w:tc>
              <w:tc>
                <w:tcPr>
                  <w:tcW w:w="1108" w:type="dxa"/>
                  <w:vAlign w:val="center"/>
                </w:tcPr>
                <w:p>
                  <w:pPr>
                    <w:spacing w:line="240" w:lineRule="auto"/>
                    <w:jc w:val="center"/>
                    <w:rPr>
                      <w:color w:val="auto"/>
                      <w:highlight w:val="none"/>
                    </w:rPr>
                  </w:pPr>
                  <w:r>
                    <w:rPr>
                      <w:color w:val="auto"/>
                      <w:highlight w:val="none"/>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4" w:type="dxa"/>
                  <w:vMerge w:val="restart"/>
                  <w:vAlign w:val="center"/>
                </w:tcPr>
                <w:p>
                  <w:pPr>
                    <w:spacing w:line="240" w:lineRule="auto"/>
                    <w:jc w:val="center"/>
                    <w:rPr>
                      <w:color w:val="auto"/>
                      <w:highlight w:val="none"/>
                    </w:rPr>
                  </w:pPr>
                  <w:r>
                    <w:rPr>
                      <w:color w:val="auto"/>
                      <w:highlight w:val="none"/>
                    </w:rPr>
                    <w:t>生活污水1</w:t>
                  </w:r>
                  <w:r>
                    <w:rPr>
                      <w:rFonts w:hint="eastAsia"/>
                      <w:color w:val="auto"/>
                      <w:highlight w:val="none"/>
                      <w:lang w:val="en-US" w:eastAsia="zh-CN"/>
                    </w:rPr>
                    <w:t>52</w:t>
                  </w:r>
                  <w:r>
                    <w:rPr>
                      <w:color w:val="auto"/>
                      <w:highlight w:val="none"/>
                    </w:rPr>
                    <w:t>t/a</w:t>
                  </w:r>
                </w:p>
              </w:tc>
              <w:tc>
                <w:tcPr>
                  <w:tcW w:w="938" w:type="dxa"/>
                  <w:vAlign w:val="center"/>
                </w:tcPr>
                <w:p>
                  <w:pPr>
                    <w:spacing w:line="240" w:lineRule="auto"/>
                    <w:jc w:val="center"/>
                    <w:rPr>
                      <w:color w:val="auto"/>
                      <w:highlight w:val="none"/>
                    </w:rPr>
                  </w:pPr>
                  <w:r>
                    <w:rPr>
                      <w:color w:val="auto"/>
                      <w:highlight w:val="none"/>
                    </w:rPr>
                    <w:t>COD</w:t>
                  </w:r>
                  <w:r>
                    <w:rPr>
                      <w:color w:val="auto"/>
                      <w:highlight w:val="none"/>
                      <w:vertAlign w:val="subscript"/>
                    </w:rPr>
                    <w:t>Cr</w:t>
                  </w:r>
                </w:p>
              </w:tc>
              <w:tc>
                <w:tcPr>
                  <w:tcW w:w="10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250</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0.027</w:t>
                  </w:r>
                </w:p>
              </w:tc>
              <w:tc>
                <w:tcPr>
                  <w:tcW w:w="1478" w:type="dxa"/>
                  <w:vMerge w:val="restart"/>
                  <w:vAlign w:val="center"/>
                </w:tcPr>
                <w:p>
                  <w:pPr>
                    <w:spacing w:line="240" w:lineRule="auto"/>
                    <w:jc w:val="center"/>
                    <w:rPr>
                      <w:color w:val="auto"/>
                      <w:highlight w:val="none"/>
                    </w:rPr>
                  </w:pPr>
                  <w:r>
                    <w:rPr>
                      <w:color w:val="auto"/>
                      <w:highlight w:val="none"/>
                    </w:rPr>
                    <w:t>经化粪池</w:t>
                  </w:r>
                  <w:r>
                    <w:rPr>
                      <w:rFonts w:hint="eastAsia"/>
                      <w:color w:val="auto"/>
                      <w:highlight w:val="none"/>
                    </w:rPr>
                    <w:t>、隔油隔渣池</w:t>
                  </w:r>
                  <w:r>
                    <w:rPr>
                      <w:color w:val="auto"/>
                      <w:highlight w:val="none"/>
                    </w:rPr>
                    <w:t>处理后回用于厂区绿化不外排</w:t>
                  </w:r>
                </w:p>
              </w:tc>
              <w:tc>
                <w:tcPr>
                  <w:tcW w:w="1395" w:type="dxa"/>
                  <w:vAlign w:val="center"/>
                </w:tcPr>
                <w:p>
                  <w:pPr>
                    <w:spacing w:line="240" w:lineRule="auto"/>
                    <w:jc w:val="center"/>
                    <w:rPr>
                      <w:color w:val="auto"/>
                      <w:highlight w:val="none"/>
                    </w:rPr>
                  </w:pPr>
                  <w:r>
                    <w:rPr>
                      <w:rFonts w:hint="eastAsia"/>
                      <w:color w:val="auto"/>
                      <w:highlight w:val="none"/>
                    </w:rPr>
                    <w:t>200</w:t>
                  </w:r>
                </w:p>
              </w:tc>
              <w:tc>
                <w:tcPr>
                  <w:tcW w:w="1108" w:type="dxa"/>
                  <w:vAlign w:val="center"/>
                </w:tcPr>
                <w:p>
                  <w:pPr>
                    <w:spacing w:line="240" w:lineRule="auto"/>
                    <w:jc w:val="center"/>
                    <w:rPr>
                      <w:color w:val="auto"/>
                      <w:highlight w:val="none"/>
                    </w:rPr>
                  </w:pPr>
                  <w:r>
                    <w:rPr>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4" w:type="dxa"/>
                  <w:vMerge w:val="continue"/>
                  <w:vAlign w:val="center"/>
                </w:tcPr>
                <w:p>
                  <w:pPr>
                    <w:spacing w:line="240" w:lineRule="auto"/>
                    <w:jc w:val="center"/>
                    <w:rPr>
                      <w:color w:val="auto"/>
                      <w:highlight w:val="none"/>
                    </w:rPr>
                  </w:pPr>
                </w:p>
              </w:tc>
              <w:tc>
                <w:tcPr>
                  <w:tcW w:w="938" w:type="dxa"/>
                  <w:vAlign w:val="center"/>
                </w:tcPr>
                <w:p>
                  <w:pPr>
                    <w:spacing w:line="240" w:lineRule="auto"/>
                    <w:jc w:val="center"/>
                    <w:rPr>
                      <w:color w:val="auto"/>
                      <w:highlight w:val="none"/>
                    </w:rPr>
                  </w:pPr>
                  <w:r>
                    <w:rPr>
                      <w:color w:val="auto"/>
                      <w:highlight w:val="none"/>
                    </w:rPr>
                    <w:t>BOD</w:t>
                  </w:r>
                  <w:r>
                    <w:rPr>
                      <w:color w:val="auto"/>
                      <w:highlight w:val="none"/>
                      <w:vertAlign w:val="subscript"/>
                    </w:rPr>
                    <w:t>5</w:t>
                  </w:r>
                </w:p>
              </w:tc>
              <w:tc>
                <w:tcPr>
                  <w:tcW w:w="10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150</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0.016</w:t>
                  </w:r>
                </w:p>
              </w:tc>
              <w:tc>
                <w:tcPr>
                  <w:tcW w:w="1478" w:type="dxa"/>
                  <w:vMerge w:val="continue"/>
                  <w:vAlign w:val="center"/>
                </w:tcPr>
                <w:p>
                  <w:pPr>
                    <w:spacing w:line="240" w:lineRule="auto"/>
                    <w:jc w:val="center"/>
                    <w:rPr>
                      <w:color w:val="auto"/>
                      <w:highlight w:val="none"/>
                    </w:rPr>
                  </w:pPr>
                </w:p>
              </w:tc>
              <w:tc>
                <w:tcPr>
                  <w:tcW w:w="1395" w:type="dxa"/>
                  <w:vAlign w:val="center"/>
                </w:tcPr>
                <w:p>
                  <w:pPr>
                    <w:spacing w:line="240" w:lineRule="auto"/>
                    <w:jc w:val="center"/>
                    <w:rPr>
                      <w:color w:val="auto"/>
                      <w:highlight w:val="none"/>
                    </w:rPr>
                  </w:pPr>
                  <w:r>
                    <w:rPr>
                      <w:rFonts w:hint="eastAsia"/>
                      <w:color w:val="auto"/>
                      <w:highlight w:val="none"/>
                    </w:rPr>
                    <w:t>96</w:t>
                  </w:r>
                </w:p>
              </w:tc>
              <w:tc>
                <w:tcPr>
                  <w:tcW w:w="1108" w:type="dxa"/>
                  <w:vAlign w:val="center"/>
                </w:tcPr>
                <w:p>
                  <w:pPr>
                    <w:spacing w:line="240" w:lineRule="auto"/>
                    <w:jc w:val="center"/>
                    <w:rPr>
                      <w:color w:val="auto"/>
                      <w:highlight w:val="none"/>
                    </w:rPr>
                  </w:pPr>
                  <w:r>
                    <w:rPr>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4" w:type="dxa"/>
                  <w:vMerge w:val="continue"/>
                  <w:vAlign w:val="center"/>
                </w:tcPr>
                <w:p>
                  <w:pPr>
                    <w:spacing w:line="240" w:lineRule="auto"/>
                    <w:jc w:val="center"/>
                    <w:rPr>
                      <w:color w:val="auto"/>
                      <w:highlight w:val="none"/>
                    </w:rPr>
                  </w:pPr>
                </w:p>
              </w:tc>
              <w:tc>
                <w:tcPr>
                  <w:tcW w:w="938" w:type="dxa"/>
                  <w:vAlign w:val="center"/>
                </w:tcPr>
                <w:p>
                  <w:pPr>
                    <w:spacing w:line="240" w:lineRule="auto"/>
                    <w:jc w:val="center"/>
                    <w:rPr>
                      <w:color w:val="auto"/>
                      <w:highlight w:val="none"/>
                    </w:rPr>
                  </w:pPr>
                  <w:r>
                    <w:rPr>
                      <w:color w:val="auto"/>
                      <w:highlight w:val="none"/>
                    </w:rPr>
                    <w:t>SS</w:t>
                  </w:r>
                </w:p>
              </w:tc>
              <w:tc>
                <w:tcPr>
                  <w:tcW w:w="10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200</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0.022</w:t>
                  </w:r>
                </w:p>
              </w:tc>
              <w:tc>
                <w:tcPr>
                  <w:tcW w:w="1478" w:type="dxa"/>
                  <w:vMerge w:val="continue"/>
                  <w:vAlign w:val="center"/>
                </w:tcPr>
                <w:p>
                  <w:pPr>
                    <w:spacing w:line="240" w:lineRule="auto"/>
                    <w:jc w:val="center"/>
                    <w:rPr>
                      <w:color w:val="auto"/>
                      <w:highlight w:val="none"/>
                    </w:rPr>
                  </w:pPr>
                </w:p>
              </w:tc>
              <w:tc>
                <w:tcPr>
                  <w:tcW w:w="1395" w:type="dxa"/>
                  <w:vAlign w:val="center"/>
                </w:tcPr>
                <w:p>
                  <w:pPr>
                    <w:spacing w:line="240" w:lineRule="auto"/>
                    <w:jc w:val="center"/>
                    <w:rPr>
                      <w:color w:val="auto"/>
                      <w:highlight w:val="none"/>
                    </w:rPr>
                  </w:pPr>
                  <w:r>
                    <w:rPr>
                      <w:rFonts w:hint="eastAsia"/>
                      <w:color w:val="auto"/>
                      <w:highlight w:val="none"/>
                    </w:rPr>
                    <w:t>100</w:t>
                  </w:r>
                </w:p>
              </w:tc>
              <w:tc>
                <w:tcPr>
                  <w:tcW w:w="1108" w:type="dxa"/>
                  <w:vAlign w:val="center"/>
                </w:tcPr>
                <w:p>
                  <w:pPr>
                    <w:spacing w:line="240" w:lineRule="auto"/>
                    <w:jc w:val="center"/>
                    <w:rPr>
                      <w:color w:val="auto"/>
                      <w:highlight w:val="none"/>
                    </w:rPr>
                  </w:pPr>
                  <w:r>
                    <w:rPr>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4" w:type="dxa"/>
                  <w:vMerge w:val="continue"/>
                  <w:vAlign w:val="center"/>
                </w:tcPr>
                <w:p>
                  <w:pPr>
                    <w:spacing w:line="240" w:lineRule="auto"/>
                    <w:jc w:val="center"/>
                    <w:rPr>
                      <w:color w:val="auto"/>
                      <w:highlight w:val="none"/>
                    </w:rPr>
                  </w:pPr>
                </w:p>
              </w:tc>
              <w:tc>
                <w:tcPr>
                  <w:tcW w:w="938" w:type="dxa"/>
                  <w:vAlign w:val="center"/>
                </w:tcPr>
                <w:p>
                  <w:pPr>
                    <w:spacing w:line="240" w:lineRule="auto"/>
                    <w:jc w:val="center"/>
                    <w:rPr>
                      <w:color w:val="auto"/>
                      <w:highlight w:val="none"/>
                    </w:rPr>
                  </w:pPr>
                  <w:r>
                    <w:rPr>
                      <w:color w:val="auto"/>
                      <w:highlight w:val="none"/>
                    </w:rPr>
                    <w:t>氨氮</w:t>
                  </w:r>
                </w:p>
              </w:tc>
              <w:tc>
                <w:tcPr>
                  <w:tcW w:w="10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w:t>
                  </w:r>
                </w:p>
              </w:tc>
              <w:tc>
                <w:tcPr>
                  <w:tcW w:w="1478" w:type="dxa"/>
                  <w:vMerge w:val="continue"/>
                  <w:vAlign w:val="center"/>
                </w:tcPr>
                <w:p>
                  <w:pPr>
                    <w:spacing w:line="240" w:lineRule="auto"/>
                    <w:jc w:val="center"/>
                    <w:rPr>
                      <w:color w:val="auto"/>
                      <w:highlight w:val="none"/>
                    </w:rPr>
                  </w:pPr>
                </w:p>
              </w:tc>
              <w:tc>
                <w:tcPr>
                  <w:tcW w:w="1395" w:type="dxa"/>
                  <w:vAlign w:val="center"/>
                </w:tcPr>
                <w:p>
                  <w:pPr>
                    <w:spacing w:line="240" w:lineRule="auto"/>
                    <w:jc w:val="center"/>
                    <w:rPr>
                      <w:color w:val="auto"/>
                      <w:highlight w:val="none"/>
                    </w:rPr>
                  </w:pPr>
                  <w:r>
                    <w:rPr>
                      <w:rFonts w:hint="eastAsia"/>
                      <w:color w:val="auto"/>
                      <w:highlight w:val="none"/>
                    </w:rPr>
                    <w:t>30</w:t>
                  </w:r>
                </w:p>
              </w:tc>
              <w:tc>
                <w:tcPr>
                  <w:tcW w:w="1108" w:type="dxa"/>
                  <w:vAlign w:val="center"/>
                </w:tcPr>
                <w:p>
                  <w:pPr>
                    <w:spacing w:line="240" w:lineRule="auto"/>
                    <w:jc w:val="center"/>
                    <w:rPr>
                      <w:color w:val="auto"/>
                      <w:highlight w:val="none"/>
                    </w:rPr>
                  </w:pPr>
                  <w:r>
                    <w:rPr>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84" w:type="dxa"/>
                  <w:vMerge w:val="continue"/>
                  <w:vAlign w:val="center"/>
                </w:tcPr>
                <w:p>
                  <w:pPr>
                    <w:spacing w:line="240" w:lineRule="auto"/>
                    <w:jc w:val="center"/>
                    <w:rPr>
                      <w:color w:val="auto"/>
                      <w:highlight w:val="none"/>
                    </w:rPr>
                  </w:pPr>
                </w:p>
              </w:tc>
              <w:tc>
                <w:tcPr>
                  <w:tcW w:w="938" w:type="dxa"/>
                  <w:vAlign w:val="center"/>
                </w:tcPr>
                <w:p>
                  <w:pPr>
                    <w:spacing w:line="240" w:lineRule="auto"/>
                    <w:jc w:val="center"/>
                    <w:rPr>
                      <w:color w:val="auto"/>
                      <w:highlight w:val="none"/>
                    </w:rPr>
                  </w:pPr>
                  <w:r>
                    <w:rPr>
                      <w:color w:val="auto"/>
                      <w:highlight w:val="none"/>
                    </w:rPr>
                    <w:t>动植物油</w:t>
                  </w:r>
                </w:p>
              </w:tc>
              <w:tc>
                <w:tcPr>
                  <w:tcW w:w="10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10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0.0030</w:t>
                  </w:r>
                </w:p>
              </w:tc>
              <w:tc>
                <w:tcPr>
                  <w:tcW w:w="1478" w:type="dxa"/>
                  <w:vMerge w:val="continue"/>
                  <w:vAlign w:val="center"/>
                </w:tcPr>
                <w:p>
                  <w:pPr>
                    <w:spacing w:line="240" w:lineRule="auto"/>
                    <w:jc w:val="center"/>
                    <w:rPr>
                      <w:color w:val="auto"/>
                      <w:highlight w:val="none"/>
                    </w:rPr>
                  </w:pPr>
                </w:p>
              </w:tc>
              <w:tc>
                <w:tcPr>
                  <w:tcW w:w="1395" w:type="dxa"/>
                  <w:vAlign w:val="center"/>
                </w:tcPr>
                <w:p>
                  <w:pPr>
                    <w:spacing w:line="240" w:lineRule="auto"/>
                    <w:jc w:val="center"/>
                    <w:rPr>
                      <w:color w:val="auto"/>
                      <w:highlight w:val="none"/>
                    </w:rPr>
                  </w:pPr>
                  <w:r>
                    <w:rPr>
                      <w:rFonts w:hint="eastAsia"/>
                      <w:color w:val="auto"/>
                      <w:highlight w:val="none"/>
                    </w:rPr>
                    <w:t>10</w:t>
                  </w:r>
                </w:p>
              </w:tc>
              <w:tc>
                <w:tcPr>
                  <w:tcW w:w="1108" w:type="dxa"/>
                  <w:vAlign w:val="center"/>
                </w:tcPr>
                <w:p>
                  <w:pPr>
                    <w:spacing w:line="240" w:lineRule="auto"/>
                    <w:jc w:val="center"/>
                    <w:rPr>
                      <w:color w:val="auto"/>
                      <w:highlight w:val="none"/>
                    </w:rPr>
                  </w:pPr>
                  <w:r>
                    <w:rPr>
                      <w:rFonts w:hint="eastAsia"/>
                      <w:color w:val="auto"/>
                      <w:highlight w:val="none"/>
                    </w:rPr>
                    <w:t>0</w:t>
                  </w:r>
                </w:p>
              </w:tc>
            </w:tr>
          </w:tbl>
          <w:p>
            <w:pPr>
              <w:pStyle w:val="13"/>
              <w:ind w:left="0" w:firstLine="422" w:firstLineChars="200"/>
              <w:rPr>
                <w:b/>
                <w:color w:val="auto"/>
                <w:kern w:val="0"/>
                <w:szCs w:val="21"/>
                <w:highlight w:val="none"/>
              </w:rPr>
            </w:pPr>
            <w:r>
              <w:rPr>
                <w:b/>
                <w:color w:val="auto"/>
                <w:kern w:val="0"/>
                <w:szCs w:val="21"/>
                <w:highlight w:val="none"/>
              </w:rPr>
              <w:t>2、废水治理措施可行性分析：</w:t>
            </w:r>
          </w:p>
          <w:p>
            <w:pPr>
              <w:adjustRightInd w:val="0"/>
              <w:snapToGrid w:val="0"/>
              <w:spacing w:line="360" w:lineRule="auto"/>
              <w:ind w:firstLine="420"/>
              <w:rPr>
                <w:b/>
                <w:color w:val="auto"/>
                <w:kern w:val="0"/>
                <w:szCs w:val="21"/>
                <w:highlight w:val="none"/>
              </w:rPr>
            </w:pPr>
            <w:r>
              <w:rPr>
                <w:bCs/>
                <w:color w:val="auto"/>
                <w:kern w:val="0"/>
                <w:szCs w:val="21"/>
                <w:highlight w:val="none"/>
              </w:rPr>
              <w:t>项目范围未纳入污水处理厂纳污管网范围</w:t>
            </w:r>
            <w:r>
              <w:rPr>
                <w:rFonts w:hint="eastAsia"/>
                <w:bCs/>
                <w:color w:val="auto"/>
                <w:kern w:val="0"/>
                <w:szCs w:val="21"/>
                <w:highlight w:val="none"/>
              </w:rPr>
              <w:t>，</w:t>
            </w:r>
            <w:r>
              <w:rPr>
                <w:bCs/>
                <w:color w:val="auto"/>
                <w:kern w:val="0"/>
                <w:szCs w:val="21"/>
                <w:highlight w:val="none"/>
              </w:rPr>
              <w:t>生活污水采取化粪池</w:t>
            </w:r>
            <w:r>
              <w:rPr>
                <w:rFonts w:hint="eastAsia"/>
                <w:bCs/>
                <w:color w:val="auto"/>
                <w:kern w:val="0"/>
                <w:szCs w:val="21"/>
                <w:highlight w:val="none"/>
              </w:rPr>
              <w:t>、隔油隔渣池</w:t>
            </w:r>
            <w:r>
              <w:rPr>
                <w:bCs/>
                <w:color w:val="auto"/>
                <w:kern w:val="0"/>
                <w:szCs w:val="21"/>
                <w:highlight w:val="none"/>
              </w:rPr>
              <w:t>处理后的尾水定期回用于厂区内绿化，项目绿化面积约500m</w:t>
            </w:r>
            <w:r>
              <w:rPr>
                <w:bCs/>
                <w:color w:val="auto"/>
                <w:kern w:val="0"/>
                <w:szCs w:val="21"/>
                <w:highlight w:val="none"/>
                <w:vertAlign w:val="superscript"/>
              </w:rPr>
              <w:t>2</w:t>
            </w:r>
            <w:r>
              <w:rPr>
                <w:bCs/>
                <w:color w:val="auto"/>
                <w:kern w:val="0"/>
                <w:szCs w:val="21"/>
                <w:highlight w:val="none"/>
              </w:rPr>
              <w:t>，</w:t>
            </w:r>
            <w:r>
              <w:rPr>
                <w:rFonts w:hint="default" w:ascii="Times New Roman" w:hAnsi="Times New Roman" w:cs="Times New Roman"/>
                <w:bCs/>
                <w:color w:val="auto"/>
                <w:kern w:val="0"/>
                <w:szCs w:val="21"/>
                <w:highlight w:val="none"/>
              </w:rPr>
              <w:t>根据《建筑给水排水设计规范》（GB50015-2003），绿化浇洒用水定额每天可按浇洒面积1.0~3.0L/（m</w:t>
            </w:r>
            <w:r>
              <w:rPr>
                <w:rFonts w:hint="default" w:ascii="Times New Roman" w:hAnsi="Times New Roman" w:cs="Times New Roman"/>
                <w:bCs/>
                <w:color w:val="auto"/>
                <w:kern w:val="0"/>
                <w:szCs w:val="21"/>
                <w:highlight w:val="none"/>
                <w:vertAlign w:val="superscript"/>
              </w:rPr>
              <w:t>2</w:t>
            </w:r>
            <w:r>
              <w:rPr>
                <w:rFonts w:hint="default" w:ascii="Times New Roman" w:hAnsi="Times New Roman" w:cs="Times New Roman"/>
                <w:bCs/>
                <w:color w:val="auto"/>
                <w:kern w:val="0"/>
                <w:szCs w:val="21"/>
                <w:highlight w:val="none"/>
              </w:rPr>
              <w:t>·d）计算，本项目绿化浇洒用水定额取</w:t>
            </w:r>
            <w:r>
              <w:rPr>
                <w:rFonts w:hint="eastAsia" w:cs="Times New Roman"/>
                <w:bCs/>
                <w:color w:val="auto"/>
                <w:kern w:val="0"/>
                <w:szCs w:val="21"/>
                <w:highlight w:val="none"/>
                <w:lang w:val="en-US" w:eastAsia="zh-CN"/>
              </w:rPr>
              <w:t>1.5</w:t>
            </w:r>
            <w:r>
              <w:rPr>
                <w:rFonts w:hint="default" w:ascii="Times New Roman" w:hAnsi="Times New Roman" w:cs="Times New Roman"/>
                <w:bCs/>
                <w:color w:val="auto"/>
                <w:kern w:val="0"/>
                <w:szCs w:val="21"/>
                <w:highlight w:val="none"/>
              </w:rPr>
              <w:t xml:space="preserve"> L/（m</w:t>
            </w:r>
            <w:r>
              <w:rPr>
                <w:rFonts w:hint="default" w:ascii="Times New Roman" w:hAnsi="Times New Roman" w:cs="Times New Roman"/>
                <w:bCs/>
                <w:color w:val="auto"/>
                <w:kern w:val="0"/>
                <w:szCs w:val="21"/>
                <w:highlight w:val="none"/>
                <w:vertAlign w:val="superscript"/>
              </w:rPr>
              <w:t>2</w:t>
            </w:r>
            <w:r>
              <w:rPr>
                <w:rFonts w:hint="default" w:ascii="Times New Roman" w:hAnsi="Times New Roman" w:cs="Times New Roman"/>
                <w:bCs/>
                <w:color w:val="auto"/>
                <w:kern w:val="0"/>
                <w:szCs w:val="21"/>
                <w:highlight w:val="none"/>
              </w:rPr>
              <w:t>·d）计算，</w:t>
            </w:r>
            <w:r>
              <w:rPr>
                <w:bCs/>
                <w:color w:val="auto"/>
                <w:kern w:val="0"/>
                <w:szCs w:val="21"/>
                <w:highlight w:val="none"/>
              </w:rPr>
              <w:t>则每次用水量约为</w:t>
            </w:r>
            <w:r>
              <w:rPr>
                <w:rFonts w:hint="eastAsia"/>
                <w:bCs/>
                <w:color w:val="auto"/>
                <w:kern w:val="0"/>
                <w:szCs w:val="21"/>
                <w:highlight w:val="none"/>
                <w:lang w:val="en-US" w:eastAsia="zh-CN"/>
              </w:rPr>
              <w:t>0.75</w:t>
            </w:r>
            <w:r>
              <w:rPr>
                <w:bCs/>
                <w:color w:val="auto"/>
                <w:kern w:val="0"/>
                <w:szCs w:val="21"/>
                <w:highlight w:val="none"/>
              </w:rPr>
              <w:t>m</w:t>
            </w:r>
            <w:r>
              <w:rPr>
                <w:bCs/>
                <w:color w:val="auto"/>
                <w:kern w:val="0"/>
                <w:szCs w:val="21"/>
                <w:highlight w:val="none"/>
                <w:vertAlign w:val="superscript"/>
              </w:rPr>
              <w:t>3</w:t>
            </w:r>
            <w:r>
              <w:rPr>
                <w:bCs/>
                <w:color w:val="auto"/>
                <w:kern w:val="0"/>
                <w:szCs w:val="21"/>
                <w:highlight w:val="none"/>
              </w:rPr>
              <w:t>。由于绿化用水与当地降雨有关，扣除雨水天年绿化用水按250天，则本项目年绿化用水约为1</w:t>
            </w:r>
            <w:r>
              <w:rPr>
                <w:rFonts w:hint="eastAsia"/>
                <w:bCs/>
                <w:color w:val="auto"/>
                <w:kern w:val="0"/>
                <w:szCs w:val="21"/>
                <w:highlight w:val="none"/>
                <w:lang w:val="en-US" w:eastAsia="zh-CN"/>
              </w:rPr>
              <w:t>87.5</w:t>
            </w:r>
            <w:r>
              <w:rPr>
                <w:bCs/>
                <w:color w:val="auto"/>
                <w:kern w:val="0"/>
                <w:szCs w:val="21"/>
                <w:highlight w:val="none"/>
              </w:rPr>
              <w:t>m</w:t>
            </w:r>
            <w:r>
              <w:rPr>
                <w:bCs/>
                <w:color w:val="auto"/>
                <w:kern w:val="0"/>
                <w:szCs w:val="21"/>
                <w:highlight w:val="none"/>
                <w:vertAlign w:val="superscript"/>
              </w:rPr>
              <w:t>3</w:t>
            </w:r>
            <w:r>
              <w:rPr>
                <w:bCs/>
                <w:color w:val="auto"/>
                <w:kern w:val="0"/>
                <w:szCs w:val="21"/>
                <w:highlight w:val="none"/>
              </w:rPr>
              <w:t>。项目绿化用水量（1</w:t>
            </w:r>
            <w:r>
              <w:rPr>
                <w:rFonts w:hint="eastAsia"/>
                <w:bCs/>
                <w:color w:val="auto"/>
                <w:kern w:val="0"/>
                <w:szCs w:val="21"/>
                <w:highlight w:val="none"/>
                <w:lang w:val="en-US" w:eastAsia="zh-CN"/>
              </w:rPr>
              <w:t>87.5</w:t>
            </w:r>
            <w:r>
              <w:rPr>
                <w:bCs/>
                <w:color w:val="auto"/>
                <w:kern w:val="0"/>
                <w:szCs w:val="21"/>
                <w:highlight w:val="none"/>
              </w:rPr>
              <w:t>m</w:t>
            </w:r>
            <w:r>
              <w:rPr>
                <w:bCs/>
                <w:color w:val="auto"/>
                <w:kern w:val="0"/>
                <w:szCs w:val="21"/>
                <w:highlight w:val="none"/>
                <w:vertAlign w:val="superscript"/>
              </w:rPr>
              <w:t>3</w:t>
            </w:r>
            <w:r>
              <w:rPr>
                <w:bCs/>
                <w:color w:val="auto"/>
                <w:kern w:val="0"/>
                <w:szCs w:val="21"/>
                <w:highlight w:val="none"/>
              </w:rPr>
              <w:t>/a）大于生活废水量（</w:t>
            </w:r>
            <w:r>
              <w:rPr>
                <w:rFonts w:hint="eastAsia"/>
                <w:bCs/>
                <w:color w:val="auto"/>
                <w:kern w:val="0"/>
                <w:szCs w:val="21"/>
                <w:highlight w:val="none"/>
              </w:rPr>
              <w:t>1</w:t>
            </w:r>
            <w:r>
              <w:rPr>
                <w:rFonts w:hint="eastAsia"/>
                <w:bCs/>
                <w:color w:val="auto"/>
                <w:kern w:val="0"/>
                <w:szCs w:val="21"/>
                <w:highlight w:val="none"/>
                <w:lang w:val="en-US" w:eastAsia="zh-CN"/>
              </w:rPr>
              <w:t>52</w:t>
            </w:r>
            <w:r>
              <w:rPr>
                <w:bCs/>
                <w:color w:val="auto"/>
                <w:kern w:val="0"/>
                <w:szCs w:val="21"/>
                <w:highlight w:val="none"/>
              </w:rPr>
              <w:t>m</w:t>
            </w:r>
            <w:r>
              <w:rPr>
                <w:bCs/>
                <w:color w:val="auto"/>
                <w:kern w:val="0"/>
                <w:szCs w:val="21"/>
                <w:highlight w:val="none"/>
                <w:vertAlign w:val="superscript"/>
              </w:rPr>
              <w:t>3</w:t>
            </w:r>
            <w:r>
              <w:rPr>
                <w:bCs/>
                <w:color w:val="auto"/>
                <w:kern w:val="0"/>
                <w:szCs w:val="21"/>
                <w:highlight w:val="none"/>
              </w:rPr>
              <w:t>/a），</w:t>
            </w:r>
            <w:r>
              <w:rPr>
                <w:rFonts w:hint="eastAsia"/>
                <w:color w:val="auto"/>
                <w:sz w:val="21"/>
                <w:szCs w:val="21"/>
                <w:highlight w:val="none"/>
              </w:rPr>
              <w:t>同时因雨季时绿化用水量减少，因此建设单位</w:t>
            </w:r>
            <w:r>
              <w:rPr>
                <w:rFonts w:hint="eastAsia"/>
                <w:color w:val="auto"/>
                <w:sz w:val="21"/>
                <w:szCs w:val="21"/>
                <w:highlight w:val="none"/>
                <w:lang w:val="en-US" w:eastAsia="zh-CN"/>
              </w:rPr>
              <w:t>需</w:t>
            </w:r>
            <w:r>
              <w:rPr>
                <w:rFonts w:hint="eastAsia"/>
                <w:color w:val="auto"/>
                <w:sz w:val="21"/>
                <w:szCs w:val="21"/>
                <w:highlight w:val="none"/>
              </w:rPr>
              <w:t>设置一个</w:t>
            </w:r>
            <w:r>
              <w:rPr>
                <w:rFonts w:hint="eastAsia"/>
                <w:color w:val="auto"/>
                <w:sz w:val="21"/>
                <w:szCs w:val="21"/>
                <w:highlight w:val="none"/>
                <w:lang w:val="en-US" w:eastAsia="zh-CN"/>
              </w:rPr>
              <w:t>4</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rPr>
              <w:t>的回用水池，可容纳7天的污水量。</w:t>
            </w:r>
            <w:r>
              <w:rPr>
                <w:bCs/>
                <w:color w:val="auto"/>
                <w:kern w:val="0"/>
                <w:szCs w:val="21"/>
                <w:highlight w:val="none"/>
              </w:rPr>
              <w:t>因此生活污水经处理后全部回用作绿化用水方案可行</w:t>
            </w:r>
            <w:r>
              <w:rPr>
                <w:color w:val="auto"/>
                <w:highlight w:val="none"/>
              </w:rPr>
              <w:t>。</w:t>
            </w:r>
          </w:p>
          <w:p>
            <w:pPr>
              <w:pStyle w:val="13"/>
              <w:ind w:left="0" w:firstLine="422" w:firstLineChars="200"/>
              <w:rPr>
                <w:b/>
                <w:color w:val="auto"/>
                <w:kern w:val="0"/>
                <w:szCs w:val="21"/>
                <w:highlight w:val="none"/>
              </w:rPr>
            </w:pPr>
            <w:r>
              <w:rPr>
                <w:b/>
                <w:color w:val="auto"/>
                <w:kern w:val="0"/>
                <w:szCs w:val="21"/>
                <w:highlight w:val="none"/>
              </w:rPr>
              <w:t>3、监测要求</w:t>
            </w:r>
          </w:p>
          <w:p>
            <w:pPr>
              <w:pStyle w:val="13"/>
              <w:ind w:left="0" w:firstLine="420" w:firstLineChars="200"/>
              <w:rPr>
                <w:b/>
                <w:color w:val="auto"/>
                <w:kern w:val="0"/>
                <w:szCs w:val="21"/>
                <w:highlight w:val="none"/>
              </w:rPr>
            </w:pPr>
            <w:r>
              <w:rPr>
                <w:color w:val="auto"/>
                <w:szCs w:val="21"/>
                <w:highlight w:val="none"/>
              </w:rPr>
              <w:t>本项目营运期产生的生活污水经化粪池</w:t>
            </w:r>
            <w:r>
              <w:rPr>
                <w:rFonts w:hint="eastAsia"/>
                <w:color w:val="auto"/>
                <w:szCs w:val="21"/>
                <w:highlight w:val="none"/>
                <w:lang w:eastAsia="zh-CN"/>
              </w:rPr>
              <w:t>、</w:t>
            </w:r>
            <w:r>
              <w:rPr>
                <w:rFonts w:hint="eastAsia"/>
                <w:color w:val="auto"/>
                <w:szCs w:val="21"/>
                <w:highlight w:val="none"/>
                <w:lang w:val="en-US" w:eastAsia="zh-CN"/>
              </w:rPr>
              <w:t>隔油隔渣池</w:t>
            </w:r>
            <w:r>
              <w:rPr>
                <w:color w:val="auto"/>
                <w:szCs w:val="21"/>
                <w:highlight w:val="none"/>
              </w:rPr>
              <w:t>处理后用于厂区绿化，不外排，因此本项目营运期不对废水开展自行监测。</w:t>
            </w:r>
          </w:p>
          <w:p>
            <w:pPr>
              <w:pStyle w:val="13"/>
              <w:ind w:left="0" w:firstLine="422" w:firstLineChars="200"/>
              <w:rPr>
                <w:rFonts w:ascii="宋体" w:hAnsi="宋体"/>
                <w:b/>
                <w:color w:val="auto"/>
                <w:kern w:val="0"/>
                <w:szCs w:val="21"/>
                <w:highlight w:val="none"/>
              </w:rPr>
            </w:pPr>
            <w:r>
              <w:rPr>
                <w:rFonts w:ascii="宋体" w:hAnsi="宋体"/>
                <w:b/>
                <w:color w:val="auto"/>
                <w:kern w:val="0"/>
                <w:szCs w:val="21"/>
                <w:highlight w:val="none"/>
              </w:rPr>
              <w:t>三、噪声</w:t>
            </w:r>
          </w:p>
          <w:p>
            <w:pPr>
              <w:pStyle w:val="13"/>
              <w:ind w:left="0" w:firstLine="422" w:firstLineChars="200"/>
              <w:rPr>
                <w:b/>
                <w:color w:val="auto"/>
                <w:kern w:val="0"/>
                <w:szCs w:val="21"/>
                <w:highlight w:val="none"/>
              </w:rPr>
            </w:pPr>
            <w:r>
              <w:rPr>
                <w:b/>
                <w:color w:val="auto"/>
                <w:kern w:val="0"/>
                <w:szCs w:val="21"/>
                <w:highlight w:val="none"/>
              </w:rPr>
              <w:t>1</w:t>
            </w:r>
            <w:r>
              <w:rPr>
                <w:rFonts w:ascii="宋体" w:hAnsi="宋体"/>
                <w:b/>
                <w:color w:val="auto"/>
                <w:kern w:val="0"/>
                <w:szCs w:val="21"/>
                <w:highlight w:val="none"/>
              </w:rPr>
              <w:t>、噪声源强分析</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噪声污染源源强核算结果及相关参数一览表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76"/>
              <w:gridCol w:w="574"/>
              <w:gridCol w:w="753"/>
              <w:gridCol w:w="613"/>
              <w:gridCol w:w="452"/>
              <w:gridCol w:w="455"/>
              <w:gridCol w:w="461"/>
              <w:gridCol w:w="452"/>
              <w:gridCol w:w="572"/>
              <w:gridCol w:w="505"/>
              <w:gridCol w:w="460"/>
              <w:gridCol w:w="475"/>
              <w:gridCol w:w="416"/>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vMerge w:val="restar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设备名称</w:t>
                  </w:r>
                </w:p>
              </w:tc>
              <w:tc>
                <w:tcPr>
                  <w:tcW w:w="286" w:type="pct"/>
                  <w:vMerge w:val="restar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数量(台)</w:t>
                  </w:r>
                </w:p>
              </w:tc>
              <w:tc>
                <w:tcPr>
                  <w:tcW w:w="345" w:type="pct"/>
                  <w:vMerge w:val="restar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声压级(dB(A))</w:t>
                  </w:r>
                </w:p>
              </w:tc>
              <w:tc>
                <w:tcPr>
                  <w:tcW w:w="453" w:type="pct"/>
                  <w:vMerge w:val="restar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措施降噪值(dB(A))</w:t>
                  </w:r>
                </w:p>
              </w:tc>
              <w:tc>
                <w:tcPr>
                  <w:tcW w:w="369" w:type="pct"/>
                  <w:vMerge w:val="restar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叠加值(dB(A))</w:t>
                  </w:r>
                </w:p>
              </w:tc>
              <w:tc>
                <w:tcPr>
                  <w:tcW w:w="824" w:type="pct"/>
                  <w:gridSpan w:val="3"/>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厂界距离(m)</w:t>
                  </w:r>
                </w:p>
              </w:tc>
              <w:tc>
                <w:tcPr>
                  <w:tcW w:w="921" w:type="pct"/>
                  <w:gridSpan w:val="3"/>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预测结果(dB(A))</w:t>
                  </w:r>
                </w:p>
              </w:tc>
              <w:tc>
                <w:tcPr>
                  <w:tcW w:w="813" w:type="pct"/>
                  <w:gridSpan w:val="3"/>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rFonts w:hint="eastAsia"/>
                      <w:color w:val="auto"/>
                      <w:highlight w:val="none"/>
                    </w:rPr>
                    <w:t>贡献值</w:t>
                  </w:r>
                  <w:r>
                    <w:rPr>
                      <w:color w:val="auto"/>
                      <w:highlight w:val="none"/>
                    </w:rPr>
                    <w:t>(dB(A))</w:t>
                  </w:r>
                </w:p>
              </w:tc>
              <w:tc>
                <w:tcPr>
                  <w:tcW w:w="389" w:type="pct"/>
                  <w:vMerge w:val="restart"/>
                  <w:tcBorders>
                    <w:top w:val="single" w:color="auto" w:sz="4" w:space="0"/>
                    <w:left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vMerge w:val="continue"/>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p>
              </w:tc>
              <w:tc>
                <w:tcPr>
                  <w:tcW w:w="369" w:type="pct"/>
                  <w:vMerge w:val="continue"/>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p>
              </w:tc>
              <w:tc>
                <w:tcPr>
                  <w:tcW w:w="272"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东</w:t>
                  </w:r>
                </w:p>
              </w:tc>
              <w:tc>
                <w:tcPr>
                  <w:tcW w:w="274"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西</w:t>
                  </w:r>
                </w:p>
              </w:tc>
              <w:tc>
                <w:tcPr>
                  <w:tcW w:w="277"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北</w:t>
                  </w:r>
                </w:p>
              </w:tc>
              <w:tc>
                <w:tcPr>
                  <w:tcW w:w="272"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东</w:t>
                  </w:r>
                </w:p>
              </w:tc>
              <w:tc>
                <w:tcPr>
                  <w:tcW w:w="344"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西</w:t>
                  </w:r>
                </w:p>
              </w:tc>
              <w:tc>
                <w:tcPr>
                  <w:tcW w:w="304"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北</w:t>
                  </w:r>
                </w:p>
              </w:tc>
              <w:tc>
                <w:tcPr>
                  <w:tcW w:w="277"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东</w:t>
                  </w:r>
                </w:p>
              </w:tc>
              <w:tc>
                <w:tcPr>
                  <w:tcW w:w="286"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西</w:t>
                  </w:r>
                </w:p>
              </w:tc>
              <w:tc>
                <w:tcPr>
                  <w:tcW w:w="250"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北</w:t>
                  </w:r>
                </w:p>
              </w:tc>
              <w:tc>
                <w:tcPr>
                  <w:tcW w:w="389"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破碎机</w:t>
                  </w:r>
                </w:p>
              </w:tc>
              <w:tc>
                <w:tcPr>
                  <w:tcW w:w="286"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2</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80</w:t>
                  </w:r>
                </w:p>
              </w:tc>
              <w:tc>
                <w:tcPr>
                  <w:tcW w:w="453" w:type="pct"/>
                  <w:vMerge w:val="restart"/>
                  <w:tcBorders>
                    <w:top w:val="single" w:color="auto" w:sz="4" w:space="0"/>
                    <w:left w:val="single" w:color="auto" w:sz="4" w:space="0"/>
                    <w:right w:val="single" w:color="auto" w:sz="4" w:space="0"/>
                  </w:tcBorders>
                  <w:vAlign w:val="center"/>
                </w:tcPr>
                <w:p>
                  <w:pPr>
                    <w:pStyle w:val="55"/>
                    <w:ind w:left="-105" w:leftChars="-50" w:right="-105" w:rightChars="-50"/>
                    <w:rPr>
                      <w:color w:val="auto"/>
                      <w:highlight w:val="none"/>
                    </w:rPr>
                  </w:pPr>
                  <w:r>
                    <w:rPr>
                      <w:rFonts w:hint="eastAsia"/>
                      <w:color w:val="auto"/>
                      <w:highlight w:val="none"/>
                    </w:rPr>
                    <w:t>20</w:t>
                  </w:r>
                </w:p>
              </w:tc>
              <w:tc>
                <w:tcPr>
                  <w:tcW w:w="369"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63.0 </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70</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20</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30</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26.1 </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37.0 </w:t>
                  </w:r>
                </w:p>
              </w:tc>
              <w:tc>
                <w:tcPr>
                  <w:tcW w:w="30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33.5 </w:t>
                  </w:r>
                </w:p>
              </w:tc>
              <w:tc>
                <w:tcPr>
                  <w:tcW w:w="277" w:type="pct"/>
                  <w:vMerge w:val="restart"/>
                  <w:tcBorders>
                    <w:top w:val="single" w:color="auto" w:sz="4" w:space="0"/>
                    <w:left w:val="single" w:color="auto" w:sz="4" w:space="0"/>
                    <w:right w:val="single" w:color="auto" w:sz="4" w:space="0"/>
                  </w:tcBorders>
                  <w:vAlign w:val="center"/>
                </w:tcPr>
                <w:p>
                  <w:pPr>
                    <w:pStyle w:val="55"/>
                    <w:ind w:left="-105" w:leftChars="-50" w:right="-105" w:rightChars="-50"/>
                    <w:rPr>
                      <w:color w:val="auto"/>
                      <w:highlight w:val="none"/>
                    </w:rPr>
                  </w:pPr>
                  <w:r>
                    <w:rPr>
                      <w:rFonts w:hint="eastAsia"/>
                      <w:color w:val="auto"/>
                      <w:highlight w:val="none"/>
                    </w:rPr>
                    <w:t>26.1</w:t>
                  </w:r>
                </w:p>
              </w:tc>
              <w:tc>
                <w:tcPr>
                  <w:tcW w:w="286" w:type="pct"/>
                  <w:vMerge w:val="restart"/>
                  <w:tcBorders>
                    <w:top w:val="single" w:color="auto" w:sz="4" w:space="0"/>
                    <w:left w:val="single" w:color="auto" w:sz="4" w:space="0"/>
                    <w:right w:val="single" w:color="auto" w:sz="4" w:space="0"/>
                  </w:tcBorders>
                  <w:vAlign w:val="center"/>
                </w:tcPr>
                <w:p>
                  <w:pPr>
                    <w:pStyle w:val="55"/>
                    <w:ind w:left="-105" w:leftChars="-50" w:right="-105" w:rightChars="-50"/>
                    <w:rPr>
                      <w:color w:val="auto"/>
                      <w:highlight w:val="none"/>
                    </w:rPr>
                  </w:pPr>
                  <w:r>
                    <w:rPr>
                      <w:rFonts w:hint="eastAsia"/>
                      <w:color w:val="auto"/>
                      <w:highlight w:val="none"/>
                    </w:rPr>
                    <w:t>37.0</w:t>
                  </w:r>
                </w:p>
              </w:tc>
              <w:tc>
                <w:tcPr>
                  <w:tcW w:w="250" w:type="pct"/>
                  <w:vMerge w:val="restart"/>
                  <w:tcBorders>
                    <w:top w:val="single" w:color="auto" w:sz="4" w:space="0"/>
                    <w:left w:val="single" w:color="auto" w:sz="4" w:space="0"/>
                    <w:right w:val="single" w:color="auto" w:sz="4" w:space="0"/>
                  </w:tcBorders>
                  <w:vAlign w:val="center"/>
                </w:tcPr>
                <w:p>
                  <w:pPr>
                    <w:pStyle w:val="55"/>
                    <w:ind w:left="-105" w:leftChars="-50" w:right="-105" w:rightChars="-50"/>
                    <w:rPr>
                      <w:color w:val="auto"/>
                      <w:highlight w:val="none"/>
                    </w:rPr>
                  </w:pPr>
                  <w:r>
                    <w:rPr>
                      <w:rFonts w:hint="eastAsia"/>
                      <w:color w:val="auto"/>
                      <w:highlight w:val="none"/>
                    </w:rPr>
                    <w:t>33.5</w:t>
                  </w:r>
                </w:p>
              </w:tc>
              <w:tc>
                <w:tcPr>
                  <w:tcW w:w="389"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振动给料器</w:t>
                  </w:r>
                </w:p>
              </w:tc>
              <w:tc>
                <w:tcPr>
                  <w:tcW w:w="286"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2</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80</w:t>
                  </w:r>
                </w:p>
              </w:tc>
              <w:tc>
                <w:tcPr>
                  <w:tcW w:w="453"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63.0 </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65</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15</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25</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 xml:space="preserve">26.8 </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 xml:space="preserve">39.5 </w:t>
                  </w:r>
                </w:p>
              </w:tc>
              <w:tc>
                <w:tcPr>
                  <w:tcW w:w="30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 xml:space="preserve">35.1 </w:t>
                  </w:r>
                </w:p>
              </w:tc>
              <w:tc>
                <w:tcPr>
                  <w:tcW w:w="277"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86"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50"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rFonts w:hint="eastAsia"/>
                      <w:color w:val="auto"/>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雷蒙磨机</w:t>
                  </w:r>
                </w:p>
              </w:tc>
              <w:tc>
                <w:tcPr>
                  <w:tcW w:w="286"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4</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80</w:t>
                  </w:r>
                </w:p>
              </w:tc>
              <w:tc>
                <w:tcPr>
                  <w:tcW w:w="453"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66.0 </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60</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18</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30</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30.5 </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40.9 </w:t>
                  </w:r>
                </w:p>
              </w:tc>
              <w:tc>
                <w:tcPr>
                  <w:tcW w:w="30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36.5 </w:t>
                  </w:r>
                </w:p>
              </w:tc>
              <w:tc>
                <w:tcPr>
                  <w:tcW w:w="277"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86"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50"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提升机1#</w:t>
                  </w:r>
                </w:p>
              </w:tc>
              <w:tc>
                <w:tcPr>
                  <w:tcW w:w="286"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4</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80</w:t>
                  </w:r>
                </w:p>
              </w:tc>
              <w:tc>
                <w:tcPr>
                  <w:tcW w:w="453"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66.0 </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68</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13</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22</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29.4 </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43.7 </w:t>
                  </w:r>
                </w:p>
              </w:tc>
              <w:tc>
                <w:tcPr>
                  <w:tcW w:w="30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39.2 </w:t>
                  </w:r>
                </w:p>
              </w:tc>
              <w:tc>
                <w:tcPr>
                  <w:tcW w:w="277"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86"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50"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提升机2#</w:t>
                  </w:r>
                </w:p>
              </w:tc>
              <w:tc>
                <w:tcPr>
                  <w:tcW w:w="286"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4</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85</w:t>
                  </w:r>
                </w:p>
              </w:tc>
              <w:tc>
                <w:tcPr>
                  <w:tcW w:w="453"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71.0 </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70</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13</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28</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34.1 </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48.7 </w:t>
                  </w:r>
                </w:p>
              </w:tc>
              <w:tc>
                <w:tcPr>
                  <w:tcW w:w="30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42.1 </w:t>
                  </w:r>
                </w:p>
              </w:tc>
              <w:tc>
                <w:tcPr>
                  <w:tcW w:w="277"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86"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50"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石灰消化器</w:t>
                  </w:r>
                </w:p>
              </w:tc>
              <w:tc>
                <w:tcPr>
                  <w:tcW w:w="286"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4</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80</w:t>
                  </w:r>
                </w:p>
              </w:tc>
              <w:tc>
                <w:tcPr>
                  <w:tcW w:w="453"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67.8 </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60</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15</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22</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32.2 </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44.3 </w:t>
                  </w:r>
                </w:p>
              </w:tc>
              <w:tc>
                <w:tcPr>
                  <w:tcW w:w="30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40.9 </w:t>
                  </w:r>
                </w:p>
              </w:tc>
              <w:tc>
                <w:tcPr>
                  <w:tcW w:w="277"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86"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50"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给料螺旋</w:t>
                  </w:r>
                </w:p>
              </w:tc>
              <w:tc>
                <w:tcPr>
                  <w:tcW w:w="286"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6</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80</w:t>
                  </w:r>
                </w:p>
              </w:tc>
              <w:tc>
                <w:tcPr>
                  <w:tcW w:w="453"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color w:val="auto"/>
                      <w:szCs w:val="21"/>
                      <w:highlight w:val="none"/>
                    </w:rPr>
                  </w:pPr>
                  <w:r>
                    <w:rPr>
                      <w:color w:val="auto"/>
                      <w:kern w:val="0"/>
                      <w:szCs w:val="21"/>
                      <w:highlight w:val="none"/>
                      <w:lang w:bidi="ar"/>
                    </w:rPr>
                    <w:t xml:space="preserve">63.0 </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63</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20</w:t>
                  </w:r>
                </w:p>
              </w:tc>
              <w:tc>
                <w:tcPr>
                  <w:tcW w:w="277"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30</w:t>
                  </w:r>
                </w:p>
              </w:tc>
              <w:tc>
                <w:tcPr>
                  <w:tcW w:w="272"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 xml:space="preserve">27.0 </w:t>
                  </w:r>
                </w:p>
              </w:tc>
              <w:tc>
                <w:tcPr>
                  <w:tcW w:w="34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 xml:space="preserve">37.0 </w:t>
                  </w:r>
                </w:p>
              </w:tc>
              <w:tc>
                <w:tcPr>
                  <w:tcW w:w="304" w:type="pct"/>
                  <w:tcBorders>
                    <w:top w:val="single" w:color="auto" w:sz="4" w:space="0"/>
                    <w:left w:val="single" w:color="auto" w:sz="4" w:space="0"/>
                    <w:bottom w:val="single" w:color="auto" w:sz="4" w:space="0"/>
                    <w:right w:val="single" w:color="auto" w:sz="4" w:space="0"/>
                  </w:tcBorders>
                  <w:vAlign w:val="center"/>
                </w:tcPr>
                <w:p>
                  <w:pPr>
                    <w:spacing w:line="240" w:lineRule="auto"/>
                    <w:ind w:left="-105" w:leftChars="-50" w:right="-105" w:rightChars="-50"/>
                    <w:jc w:val="center"/>
                    <w:textAlignment w:val="center"/>
                    <w:rPr>
                      <w:rFonts w:eastAsia="等线"/>
                      <w:color w:val="auto"/>
                      <w:kern w:val="0"/>
                      <w:szCs w:val="21"/>
                      <w:highlight w:val="none"/>
                      <w:lang w:bidi="ar"/>
                    </w:rPr>
                  </w:pPr>
                  <w:r>
                    <w:rPr>
                      <w:color w:val="auto"/>
                      <w:kern w:val="0"/>
                      <w:szCs w:val="21"/>
                      <w:highlight w:val="none"/>
                      <w:lang w:bidi="ar"/>
                    </w:rPr>
                    <w:t xml:space="preserve">33.5 </w:t>
                  </w:r>
                </w:p>
              </w:tc>
              <w:tc>
                <w:tcPr>
                  <w:tcW w:w="277"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86"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250" w:type="pct"/>
                  <w:vMerge w:val="continue"/>
                  <w:tcBorders>
                    <w:left w:val="single" w:color="auto" w:sz="4" w:space="0"/>
                    <w:right w:val="single" w:color="auto" w:sz="4" w:space="0"/>
                  </w:tcBorders>
                  <w:vAlign w:val="center"/>
                </w:tcPr>
                <w:p>
                  <w:pPr>
                    <w:pStyle w:val="55"/>
                    <w:ind w:left="-105" w:leftChars="-50" w:right="-105" w:rightChars="-50"/>
                    <w:rPr>
                      <w:color w:val="auto"/>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ind w:left="-105" w:leftChars="-50" w:right="-105" w:rightChars="-50"/>
                    <w:rPr>
                      <w:color w:val="auto"/>
                      <w:highlight w:val="none"/>
                    </w:rPr>
                  </w:pPr>
                  <w:r>
                    <w:rPr>
                      <w:color w:val="auto"/>
                      <w:highlight w:val="none"/>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仓泵</w:t>
                  </w: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80</w:t>
                  </w:r>
                </w:p>
              </w:tc>
              <w:tc>
                <w:tcPr>
                  <w:tcW w:w="453"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64.8 </w:t>
                  </w:r>
                </w:p>
              </w:tc>
              <w:tc>
                <w:tcPr>
                  <w:tcW w:w="2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2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2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30.7 </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41.2 </w:t>
                  </w:r>
                </w:p>
              </w:tc>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36.8 </w:t>
                  </w:r>
                </w:p>
              </w:tc>
              <w:tc>
                <w:tcPr>
                  <w:tcW w:w="277"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286"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250"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风机</w:t>
                  </w:r>
                </w:p>
              </w:tc>
              <w:tc>
                <w:tcPr>
                  <w:tcW w:w="2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14</w:t>
                  </w:r>
                </w:p>
              </w:tc>
              <w:tc>
                <w:tcPr>
                  <w:tcW w:w="345" w:type="pct"/>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85</w:t>
                  </w:r>
                </w:p>
              </w:tc>
              <w:tc>
                <w:tcPr>
                  <w:tcW w:w="453"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3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76.5 </w:t>
                  </w:r>
                </w:p>
              </w:tc>
              <w:tc>
                <w:tcPr>
                  <w:tcW w:w="2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2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2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42.4 </w:t>
                  </w:r>
                </w:p>
              </w:tc>
              <w:tc>
                <w:tcPr>
                  <w:tcW w:w="34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51.3 </w:t>
                  </w:r>
                </w:p>
              </w:tc>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105" w:leftChars="-50" w:right="-105" w:rightChars="-50"/>
                    <w:jc w:val="center"/>
                    <w:textAlignment w:val="center"/>
                    <w:rPr>
                      <w:rFonts w:hint="default" w:ascii="Times New Roman" w:hAnsi="Times New Roman"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49.2 </w:t>
                  </w:r>
                </w:p>
              </w:tc>
              <w:tc>
                <w:tcPr>
                  <w:tcW w:w="277"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286"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250" w:type="pct"/>
                  <w:vMerge w:val="continue"/>
                  <w:tcBorders>
                    <w:left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cs="Times New Roman"/>
                      <w:color w:val="auto"/>
                      <w:sz w:val="21"/>
                      <w:szCs w:val="21"/>
                      <w:highlight w:val="none"/>
                    </w:rPr>
                  </w:pPr>
                </w:p>
              </w:tc>
              <w:tc>
                <w:tcPr>
                  <w:tcW w:w="389" w:type="pct"/>
                  <w:tcBorders>
                    <w:top w:val="single" w:color="auto" w:sz="4" w:space="0"/>
                    <w:left w:val="single" w:color="auto" w:sz="4" w:space="0"/>
                    <w:bottom w:val="single" w:color="auto" w:sz="4" w:space="0"/>
                    <w:right w:val="single" w:color="auto" w:sz="4" w:space="0"/>
                  </w:tcBorders>
                  <w:vAlign w:val="center"/>
                </w:tcPr>
                <w:p>
                  <w:pPr>
                    <w:pStyle w:val="55"/>
                    <w:keepNext w:val="0"/>
                    <w:keepLines w:val="0"/>
                    <w:pageBreakBefore w:val="0"/>
                    <w:widowControl/>
                    <w:kinsoku/>
                    <w:wordWrap/>
                    <w:overflowPunct/>
                    <w:topLinePunct w:val="0"/>
                    <w:autoSpaceDE/>
                    <w:autoSpaceDN/>
                    <w:bidi w:val="0"/>
                    <w:adjustRightInd/>
                    <w:snapToGrid/>
                    <w:spacing w:line="240" w:lineRule="auto"/>
                    <w:ind w:left="-105" w:leftChars="-50" w:right="-105" w:rightChars="-50"/>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2400</w:t>
                  </w:r>
                </w:p>
              </w:tc>
            </w:tr>
          </w:tbl>
          <w:p>
            <w:pPr>
              <w:pStyle w:val="13"/>
              <w:ind w:left="420" w:leftChars="200" w:firstLine="0" w:firstLineChars="0"/>
              <w:rPr>
                <w:bCs/>
                <w:color w:val="auto"/>
                <w:kern w:val="0"/>
                <w:szCs w:val="21"/>
                <w:highlight w:val="none"/>
              </w:rPr>
            </w:pPr>
            <w:r>
              <w:rPr>
                <w:rFonts w:hint="eastAsia"/>
                <w:bCs/>
                <w:color w:val="auto"/>
                <w:kern w:val="0"/>
                <w:szCs w:val="21"/>
                <w:highlight w:val="none"/>
              </w:rPr>
              <w:t>注：由于南边与邻场清远市展鸿环保科技有限公司紧挨，本项目不作预测。</w:t>
            </w:r>
          </w:p>
          <w:p>
            <w:pPr>
              <w:pStyle w:val="13"/>
              <w:numPr>
                <w:ilvl w:val="0"/>
                <w:numId w:val="10"/>
              </w:numPr>
              <w:ind w:firstLine="422" w:firstLineChars="200"/>
              <w:rPr>
                <w:b/>
                <w:color w:val="auto"/>
                <w:kern w:val="0"/>
                <w:szCs w:val="21"/>
                <w:highlight w:val="none"/>
              </w:rPr>
            </w:pPr>
            <w:r>
              <w:rPr>
                <w:rFonts w:hint="eastAsia" w:ascii="宋体" w:hAnsi="宋体"/>
                <w:b/>
                <w:color w:val="auto"/>
                <w:kern w:val="0"/>
                <w:szCs w:val="21"/>
                <w:highlight w:val="none"/>
              </w:rPr>
              <w:t>降噪措施和</w:t>
            </w:r>
            <w:r>
              <w:rPr>
                <w:rFonts w:ascii="宋体" w:hAnsi="宋体"/>
                <w:b/>
                <w:color w:val="auto"/>
                <w:kern w:val="0"/>
                <w:szCs w:val="21"/>
                <w:highlight w:val="none"/>
              </w:rPr>
              <w:t>达标分析</w:t>
            </w:r>
          </w:p>
          <w:p>
            <w:pPr>
              <w:ind w:firstLine="480"/>
              <w:rPr>
                <w:color w:val="auto"/>
                <w:highlight w:val="none"/>
              </w:rPr>
            </w:pPr>
            <w:r>
              <w:rPr>
                <w:color w:val="auto"/>
                <w:highlight w:val="none"/>
                <w:lang w:bidi="ar"/>
              </w:rPr>
              <w:t>(1)降噪措施</w:t>
            </w:r>
          </w:p>
          <w:p>
            <w:pPr>
              <w:ind w:firstLine="480"/>
              <w:rPr>
                <w:color w:val="auto"/>
                <w:highlight w:val="none"/>
              </w:rPr>
            </w:pPr>
            <w:r>
              <w:rPr>
                <w:color w:val="auto"/>
                <w:highlight w:val="none"/>
                <w:lang w:bidi="ar"/>
              </w:rPr>
              <w:t>项目采取以下噪声防治措施：</w:t>
            </w:r>
          </w:p>
          <w:p>
            <w:pPr>
              <w:ind w:firstLine="480"/>
              <w:rPr>
                <w:color w:val="auto"/>
                <w:highlight w:val="none"/>
              </w:rPr>
            </w:pPr>
            <w:r>
              <w:rPr>
                <w:color w:val="auto"/>
                <w:highlight w:val="none"/>
                <w:lang w:bidi="ar"/>
              </w:rPr>
              <w:t>①合理布局，重视总平面布置</w:t>
            </w:r>
          </w:p>
          <w:p>
            <w:pPr>
              <w:ind w:firstLine="480"/>
              <w:rPr>
                <w:color w:val="auto"/>
                <w:highlight w:val="none"/>
              </w:rPr>
            </w:pPr>
            <w:r>
              <w:rPr>
                <w:color w:val="auto"/>
                <w:highlight w:val="none"/>
                <w:lang w:bidi="ar"/>
              </w:rPr>
              <w:t>尽量将高噪声设备布置在厂房中间，远离厂界，利用围墙等建筑物、构筑物来阻隔声波的传播，减少对周围环境的影响。</w:t>
            </w:r>
          </w:p>
          <w:p>
            <w:pPr>
              <w:ind w:firstLine="480"/>
              <w:rPr>
                <w:color w:val="auto"/>
                <w:highlight w:val="none"/>
              </w:rPr>
            </w:pPr>
            <w:r>
              <w:rPr>
                <w:color w:val="auto"/>
                <w:highlight w:val="none"/>
                <w:lang w:bidi="ar"/>
              </w:rPr>
              <w:t>②防治措施</w:t>
            </w:r>
          </w:p>
          <w:p>
            <w:pPr>
              <w:ind w:firstLine="480"/>
              <w:rPr>
                <w:color w:val="auto"/>
                <w:highlight w:val="none"/>
              </w:rPr>
            </w:pPr>
            <w:r>
              <w:rPr>
                <w:color w:val="auto"/>
                <w:highlight w:val="none"/>
                <w:lang w:bidi="ar"/>
              </w:rPr>
              <w:t>合理进行设备选型，风机安装消声器，设备进行基础减振，必要时可在靠近环境敏感点一侧的围墙上设置声屏障，减少噪声对周围环境的影响。</w:t>
            </w:r>
          </w:p>
          <w:p>
            <w:pPr>
              <w:ind w:firstLine="480"/>
              <w:rPr>
                <w:color w:val="auto"/>
                <w:highlight w:val="none"/>
              </w:rPr>
            </w:pPr>
            <w:r>
              <w:rPr>
                <w:color w:val="auto"/>
                <w:highlight w:val="none"/>
                <w:lang w:bidi="ar"/>
              </w:rPr>
              <w:t>③加强管理</w:t>
            </w:r>
          </w:p>
          <w:p>
            <w:pPr>
              <w:ind w:firstLine="480"/>
              <w:rPr>
                <w:color w:val="auto"/>
                <w:highlight w:val="none"/>
              </w:rPr>
            </w:pPr>
            <w:r>
              <w:rPr>
                <w:color w:val="auto"/>
                <w:highlight w:val="none"/>
                <w:lang w:bidi="ar"/>
              </w:rPr>
              <w:t>建立设备定期维护、保养的管理制度，以防止设备故障形成的非正常噪声，同时确保环保措施发挥最有效的功能；加强职工环保意识教育，提倡文明生产，严禁抛掷器件，器件、工具等应轻拿轻放，防止人为噪声；汽车进出厂区严禁鸣号，进入厂区低速行驶。</w:t>
            </w:r>
          </w:p>
          <w:p>
            <w:pPr>
              <w:ind w:firstLine="480"/>
              <w:rPr>
                <w:color w:val="auto"/>
                <w:highlight w:val="none"/>
              </w:rPr>
            </w:pPr>
            <w:r>
              <w:rPr>
                <w:color w:val="auto"/>
                <w:highlight w:val="none"/>
                <w:lang w:bidi="ar"/>
              </w:rPr>
              <w:t>④生产时间安排</w:t>
            </w:r>
          </w:p>
          <w:p>
            <w:pPr>
              <w:pStyle w:val="13"/>
              <w:autoSpaceDE w:val="0"/>
              <w:ind w:left="0" w:firstLine="420" w:firstLineChars="200"/>
              <w:rPr>
                <w:rFonts w:ascii="宋体" w:hAnsi="宋体"/>
                <w:color w:val="auto"/>
                <w:kern w:val="0"/>
                <w:szCs w:val="21"/>
                <w:highlight w:val="none"/>
              </w:rPr>
            </w:pPr>
            <w:r>
              <w:rPr>
                <w:color w:val="auto"/>
                <w:highlight w:val="none"/>
                <w:lang w:bidi="ar"/>
              </w:rPr>
              <w:t>安排在昼间进行生产。</w:t>
            </w:r>
          </w:p>
          <w:p>
            <w:pPr>
              <w:ind w:firstLine="480"/>
              <w:rPr>
                <w:color w:val="auto"/>
                <w:highlight w:val="none"/>
              </w:rPr>
            </w:pPr>
            <w:r>
              <w:rPr>
                <w:color w:val="auto"/>
                <w:highlight w:val="none"/>
                <w:lang w:bidi="ar"/>
              </w:rPr>
              <w:t>(2)达标分析</w:t>
            </w:r>
          </w:p>
          <w:p>
            <w:pPr>
              <w:pStyle w:val="13"/>
              <w:autoSpaceDE w:val="0"/>
              <w:ind w:left="0" w:firstLine="420" w:firstLineChars="200"/>
              <w:rPr>
                <w:color w:val="auto"/>
                <w:kern w:val="0"/>
                <w:szCs w:val="21"/>
                <w:highlight w:val="none"/>
              </w:rPr>
            </w:pPr>
            <w:r>
              <w:rPr>
                <w:rFonts w:hint="eastAsia" w:ascii="宋体" w:hAnsi="宋体"/>
                <w:color w:val="auto"/>
                <w:kern w:val="0"/>
                <w:szCs w:val="21"/>
                <w:highlight w:val="none"/>
              </w:rPr>
              <w:t>项目噪声要来自各生产设备在运行期间产生的噪声，其噪声强约为</w:t>
            </w:r>
            <w:r>
              <w:rPr>
                <w:rFonts w:hint="eastAsia"/>
                <w:color w:val="auto"/>
                <w:kern w:val="0"/>
                <w:szCs w:val="21"/>
                <w:highlight w:val="none"/>
              </w:rPr>
              <w:t>80~85dB</w:t>
            </w:r>
            <w:r>
              <w:rPr>
                <w:rFonts w:hint="eastAsia" w:ascii="宋体" w:hAnsi="宋体"/>
                <w:color w:val="auto"/>
                <w:kern w:val="0"/>
                <w:szCs w:val="21"/>
                <w:highlight w:val="none"/>
              </w:rPr>
              <w:t>（</w:t>
            </w:r>
            <w:r>
              <w:rPr>
                <w:rFonts w:hint="eastAsia"/>
                <w:color w:val="auto"/>
                <w:kern w:val="0"/>
                <w:szCs w:val="21"/>
                <w:highlight w:val="none"/>
              </w:rPr>
              <w:t>A</w:t>
            </w:r>
            <w:r>
              <w:rPr>
                <w:rFonts w:hint="eastAsia" w:ascii="宋体" w:hAnsi="宋体"/>
                <w:color w:val="auto"/>
                <w:kern w:val="0"/>
                <w:szCs w:val="21"/>
                <w:highlight w:val="none"/>
              </w:rPr>
              <w:t>），项目生产设备及配套辅助设施主要位于生产厂房内，建筑物可对设备运行噪声起到很好的阻隔作用，另通过对设备采取合理布局及通过减震的措施后，噪声经厂房的屏蔽衰减作用后，有明显降低，正常情况下厂界噪声可以达到《工业企业厂界环境噪声排放标准》（</w:t>
            </w:r>
            <w:r>
              <w:rPr>
                <w:rFonts w:hint="eastAsia"/>
                <w:color w:val="auto"/>
                <w:kern w:val="0"/>
                <w:szCs w:val="21"/>
                <w:highlight w:val="none"/>
              </w:rPr>
              <w:t>GB12348-2008</w:t>
            </w:r>
            <w:r>
              <w:rPr>
                <w:rFonts w:hint="eastAsia" w:ascii="宋体" w:hAnsi="宋体"/>
                <w:color w:val="auto"/>
                <w:kern w:val="0"/>
                <w:szCs w:val="21"/>
                <w:highlight w:val="none"/>
              </w:rPr>
              <w:t>）中的</w:t>
            </w:r>
            <w:r>
              <w:rPr>
                <w:rFonts w:hint="eastAsia"/>
                <w:color w:val="auto"/>
                <w:kern w:val="0"/>
                <w:szCs w:val="21"/>
                <w:highlight w:val="none"/>
              </w:rPr>
              <w:t>2</w:t>
            </w:r>
            <w:r>
              <w:rPr>
                <w:rFonts w:hint="eastAsia" w:ascii="宋体" w:hAnsi="宋体"/>
                <w:color w:val="auto"/>
                <w:kern w:val="0"/>
                <w:szCs w:val="21"/>
                <w:highlight w:val="none"/>
              </w:rPr>
              <w:t>类标准，对周围环境影响不大。</w:t>
            </w:r>
          </w:p>
          <w:p>
            <w:pPr>
              <w:pStyle w:val="13"/>
              <w:numPr>
                <w:ilvl w:val="0"/>
                <w:numId w:val="10"/>
              </w:numPr>
              <w:ind w:firstLine="422" w:firstLineChars="200"/>
              <w:rPr>
                <w:b/>
                <w:color w:val="auto"/>
                <w:kern w:val="0"/>
                <w:szCs w:val="21"/>
                <w:highlight w:val="none"/>
              </w:rPr>
            </w:pPr>
            <w:r>
              <w:rPr>
                <w:rFonts w:ascii="宋体" w:hAnsi="宋体"/>
                <w:b/>
                <w:color w:val="auto"/>
                <w:kern w:val="0"/>
                <w:szCs w:val="21"/>
                <w:highlight w:val="none"/>
              </w:rPr>
              <w:t>监测要求</w:t>
            </w:r>
          </w:p>
          <w:p>
            <w:pPr>
              <w:pStyle w:val="14"/>
              <w:numPr>
                <w:ilvl w:val="0"/>
                <w:numId w:val="0"/>
              </w:numPr>
              <w:autoSpaceDE w:val="0"/>
              <w:spacing w:before="0" w:beforeAutospacing="0" w:after="0" w:afterAutospacing="0"/>
              <w:ind w:firstLine="420" w:firstLineChars="200"/>
              <w:rPr>
                <w:color w:val="auto"/>
                <w:kern w:val="0"/>
                <w:highlight w:val="none"/>
              </w:rPr>
            </w:pPr>
            <w:r>
              <w:rPr>
                <w:rFonts w:hint="eastAsia" w:ascii="宋体" w:hAnsi="宋体"/>
                <w:color w:val="auto"/>
                <w:kern w:val="0"/>
                <w:highlight w:val="none"/>
              </w:rPr>
              <w:t>根据</w:t>
            </w:r>
            <w:r>
              <w:rPr>
                <w:color w:val="auto"/>
                <w:kern w:val="0"/>
                <w:highlight w:val="none"/>
              </w:rPr>
              <w:t xml:space="preserve">《排污单位自行监测技术指南 </w:t>
            </w:r>
            <w:r>
              <w:rPr>
                <w:rFonts w:hint="eastAsia"/>
                <w:color w:val="auto"/>
                <w:kern w:val="0"/>
                <w:highlight w:val="none"/>
              </w:rPr>
              <w:t>水泥工业</w:t>
            </w:r>
            <w:r>
              <w:rPr>
                <w:color w:val="auto"/>
                <w:kern w:val="0"/>
                <w:highlight w:val="none"/>
              </w:rPr>
              <w:t>》</w:t>
            </w:r>
            <w:r>
              <w:rPr>
                <w:rFonts w:hint="eastAsia"/>
                <w:color w:val="auto"/>
                <w:kern w:val="0"/>
                <w:highlight w:val="none"/>
              </w:rPr>
              <w:t>（HJ848-2017）</w:t>
            </w:r>
            <w:r>
              <w:rPr>
                <w:rFonts w:hint="eastAsia" w:ascii="宋体" w:hAnsi="宋体"/>
                <w:color w:val="auto"/>
                <w:kern w:val="0"/>
                <w:highlight w:val="none"/>
              </w:rPr>
              <w:t>自行监测要求制定噪声自行监测计划，见下表。</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监测要求一览表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425"/>
              <w:gridCol w:w="976"/>
              <w:gridCol w:w="1132"/>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影响因素</w:t>
                  </w:r>
                </w:p>
              </w:tc>
              <w:tc>
                <w:tcPr>
                  <w:tcW w:w="858" w:type="pct"/>
                  <w:vAlign w:val="center"/>
                </w:tcPr>
                <w:p>
                  <w:pPr>
                    <w:spacing w:line="240" w:lineRule="auto"/>
                    <w:ind w:left="-105" w:leftChars="-50" w:right="-105" w:rightChars="-50"/>
                    <w:jc w:val="center"/>
                    <w:rPr>
                      <w:color w:val="auto"/>
                      <w:szCs w:val="21"/>
                      <w:highlight w:val="none"/>
                    </w:rPr>
                  </w:pPr>
                  <w:r>
                    <w:rPr>
                      <w:color w:val="auto"/>
                      <w:szCs w:val="21"/>
                      <w:highlight w:val="none"/>
                    </w:rPr>
                    <w:t>监测点位</w:t>
                  </w:r>
                </w:p>
              </w:tc>
              <w:tc>
                <w:tcPr>
                  <w:tcW w:w="588" w:type="pct"/>
                  <w:vAlign w:val="center"/>
                </w:tcPr>
                <w:p>
                  <w:pPr>
                    <w:spacing w:line="240" w:lineRule="auto"/>
                    <w:ind w:left="-105" w:leftChars="-50" w:right="-105" w:rightChars="-50"/>
                    <w:jc w:val="center"/>
                    <w:rPr>
                      <w:color w:val="auto"/>
                      <w:szCs w:val="21"/>
                      <w:highlight w:val="none"/>
                    </w:rPr>
                  </w:pPr>
                  <w:r>
                    <w:rPr>
                      <w:color w:val="auto"/>
                      <w:szCs w:val="21"/>
                      <w:highlight w:val="none"/>
                    </w:rPr>
                    <w:t>监测因子</w:t>
                  </w:r>
                </w:p>
              </w:tc>
              <w:tc>
                <w:tcPr>
                  <w:tcW w:w="682" w:type="pct"/>
                  <w:vAlign w:val="center"/>
                </w:tcPr>
                <w:p>
                  <w:pPr>
                    <w:spacing w:line="240" w:lineRule="auto"/>
                    <w:ind w:left="-105" w:leftChars="-50" w:right="-105" w:rightChars="-50"/>
                    <w:jc w:val="center"/>
                    <w:rPr>
                      <w:color w:val="auto"/>
                      <w:szCs w:val="21"/>
                      <w:highlight w:val="none"/>
                    </w:rPr>
                  </w:pPr>
                  <w:r>
                    <w:rPr>
                      <w:color w:val="auto"/>
                      <w:szCs w:val="21"/>
                      <w:highlight w:val="none"/>
                    </w:rPr>
                    <w:t>监测频次</w:t>
                  </w:r>
                </w:p>
              </w:tc>
              <w:tc>
                <w:tcPr>
                  <w:tcW w:w="2164" w:type="pct"/>
                  <w:vAlign w:val="center"/>
                </w:tcPr>
                <w:p>
                  <w:pPr>
                    <w:spacing w:line="240" w:lineRule="auto"/>
                    <w:ind w:left="-105" w:leftChars="-50" w:right="-105" w:rightChars="-50"/>
                    <w:jc w:val="center"/>
                    <w:rPr>
                      <w:color w:val="auto"/>
                      <w:szCs w:val="21"/>
                      <w:highlight w:val="none"/>
                    </w:rPr>
                  </w:pPr>
                  <w:r>
                    <w:rPr>
                      <w:color w:val="auto"/>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5" w:type="pct"/>
                  <w:vAlign w:val="center"/>
                </w:tcPr>
                <w:p>
                  <w:pPr>
                    <w:spacing w:line="240" w:lineRule="auto"/>
                    <w:jc w:val="center"/>
                    <w:rPr>
                      <w:color w:val="auto"/>
                      <w:szCs w:val="21"/>
                      <w:highlight w:val="none"/>
                    </w:rPr>
                  </w:pPr>
                  <w:r>
                    <w:rPr>
                      <w:rFonts w:hint="eastAsia"/>
                      <w:color w:val="auto"/>
                      <w:szCs w:val="21"/>
                      <w:highlight w:val="none"/>
                    </w:rPr>
                    <w:t>设备噪声</w:t>
                  </w:r>
                </w:p>
              </w:tc>
              <w:tc>
                <w:tcPr>
                  <w:tcW w:w="858" w:type="pct"/>
                  <w:vAlign w:val="center"/>
                </w:tcPr>
                <w:p>
                  <w:pPr>
                    <w:spacing w:line="240" w:lineRule="auto"/>
                    <w:jc w:val="center"/>
                    <w:rPr>
                      <w:color w:val="auto"/>
                      <w:szCs w:val="21"/>
                      <w:highlight w:val="none"/>
                    </w:rPr>
                  </w:pPr>
                  <w:r>
                    <w:rPr>
                      <w:color w:val="auto"/>
                      <w:szCs w:val="21"/>
                      <w:highlight w:val="none"/>
                    </w:rPr>
                    <w:t>厂界外1m处</w:t>
                  </w:r>
                </w:p>
              </w:tc>
              <w:tc>
                <w:tcPr>
                  <w:tcW w:w="588" w:type="pct"/>
                  <w:vAlign w:val="center"/>
                </w:tcPr>
                <w:p>
                  <w:pPr>
                    <w:spacing w:line="240" w:lineRule="auto"/>
                    <w:jc w:val="center"/>
                    <w:rPr>
                      <w:color w:val="auto"/>
                      <w:szCs w:val="21"/>
                      <w:highlight w:val="none"/>
                    </w:rPr>
                  </w:pPr>
                  <w:r>
                    <w:rPr>
                      <w:color w:val="auto"/>
                      <w:szCs w:val="21"/>
                      <w:highlight w:val="none"/>
                    </w:rPr>
                    <w:t>dB(A)</w:t>
                  </w:r>
                </w:p>
              </w:tc>
              <w:tc>
                <w:tcPr>
                  <w:tcW w:w="682" w:type="pct"/>
                  <w:vAlign w:val="center"/>
                </w:tcPr>
                <w:p>
                  <w:pPr>
                    <w:spacing w:line="240" w:lineRule="auto"/>
                    <w:jc w:val="center"/>
                    <w:rPr>
                      <w:color w:val="auto"/>
                      <w:szCs w:val="21"/>
                      <w:highlight w:val="none"/>
                    </w:rPr>
                  </w:pPr>
                  <w:r>
                    <w:rPr>
                      <w:color w:val="auto"/>
                      <w:szCs w:val="21"/>
                      <w:highlight w:val="none"/>
                    </w:rPr>
                    <w:t>1</w:t>
                  </w:r>
                  <w:r>
                    <w:rPr>
                      <w:rFonts w:ascii="宋体" w:hAnsi="宋体"/>
                      <w:color w:val="auto"/>
                      <w:szCs w:val="21"/>
                      <w:highlight w:val="none"/>
                    </w:rPr>
                    <w:t>次</w:t>
                  </w:r>
                  <w:r>
                    <w:rPr>
                      <w:color w:val="auto"/>
                      <w:szCs w:val="21"/>
                      <w:highlight w:val="none"/>
                    </w:rPr>
                    <w:t>/</w:t>
                  </w:r>
                  <w:r>
                    <w:rPr>
                      <w:rFonts w:ascii="宋体" w:hAnsi="宋体"/>
                      <w:color w:val="auto"/>
                      <w:szCs w:val="21"/>
                      <w:highlight w:val="none"/>
                    </w:rPr>
                    <w:t>季</w:t>
                  </w:r>
                </w:p>
              </w:tc>
              <w:tc>
                <w:tcPr>
                  <w:tcW w:w="2164" w:type="pct"/>
                  <w:vAlign w:val="center"/>
                </w:tcPr>
                <w:p>
                  <w:pPr>
                    <w:spacing w:line="240" w:lineRule="auto"/>
                    <w:jc w:val="center"/>
                    <w:rPr>
                      <w:color w:val="auto"/>
                      <w:szCs w:val="21"/>
                      <w:highlight w:val="none"/>
                    </w:rPr>
                  </w:pPr>
                  <w:r>
                    <w:rPr>
                      <w:rFonts w:hint="eastAsia"/>
                      <w:color w:val="auto"/>
                      <w:szCs w:val="21"/>
                      <w:highlight w:val="none"/>
                    </w:rPr>
                    <w:t>《工业企业厂界环境噪声排放标准》（GB12348-2008）2类标准</w:t>
                  </w:r>
                </w:p>
              </w:tc>
            </w:tr>
          </w:tbl>
          <w:p>
            <w:pPr>
              <w:pStyle w:val="13"/>
              <w:ind w:left="0" w:firstLine="422" w:firstLineChars="200"/>
              <w:rPr>
                <w:rFonts w:ascii="宋体" w:hAnsi="宋体"/>
                <w:b/>
                <w:bCs/>
                <w:color w:val="auto"/>
                <w:kern w:val="0"/>
                <w:szCs w:val="21"/>
                <w:highlight w:val="none"/>
              </w:rPr>
            </w:pPr>
            <w:r>
              <w:rPr>
                <w:rFonts w:ascii="宋体" w:hAnsi="宋体"/>
                <w:b/>
                <w:bCs/>
                <w:color w:val="auto"/>
                <w:kern w:val="0"/>
                <w:szCs w:val="21"/>
                <w:highlight w:val="none"/>
              </w:rPr>
              <w:t>四、固体废物</w:t>
            </w:r>
          </w:p>
          <w:p>
            <w:pPr>
              <w:pStyle w:val="13"/>
              <w:ind w:left="0" w:firstLine="420" w:firstLineChars="200"/>
              <w:rPr>
                <w:color w:val="auto"/>
                <w:kern w:val="0"/>
                <w:szCs w:val="21"/>
                <w:highlight w:val="none"/>
              </w:rPr>
            </w:pPr>
            <w:r>
              <w:rPr>
                <w:rFonts w:hint="eastAsia" w:ascii="宋体" w:hAnsi="宋体"/>
                <w:color w:val="auto"/>
                <w:kern w:val="0"/>
                <w:szCs w:val="21"/>
                <w:highlight w:val="none"/>
              </w:rPr>
              <w:t>本项目营运期产生的固体废物主要为生活垃圾、</w:t>
            </w:r>
            <w:r>
              <w:rPr>
                <w:rFonts w:hint="eastAsia"/>
                <w:color w:val="auto"/>
                <w:kern w:val="0"/>
                <w:szCs w:val="21"/>
                <w:highlight w:val="none"/>
              </w:rPr>
              <w:t>布袋除尘器粉尘、</w:t>
            </w:r>
            <w:r>
              <w:rPr>
                <w:color w:val="auto"/>
                <w:kern w:val="0"/>
                <w:szCs w:val="21"/>
                <w:highlight w:val="none"/>
              </w:rPr>
              <w:t>废机油</w:t>
            </w:r>
            <w:r>
              <w:rPr>
                <w:rFonts w:hint="eastAsia"/>
                <w:color w:val="auto"/>
                <w:kern w:val="0"/>
                <w:szCs w:val="21"/>
                <w:highlight w:val="none"/>
              </w:rPr>
              <w:t>、</w:t>
            </w:r>
            <w:r>
              <w:rPr>
                <w:color w:val="auto"/>
                <w:szCs w:val="21"/>
                <w:highlight w:val="none"/>
              </w:rPr>
              <w:t>含油废抹布手套</w:t>
            </w:r>
            <w:r>
              <w:rPr>
                <w:rFonts w:hint="eastAsia" w:ascii="宋体" w:hAnsi="宋体"/>
                <w:color w:val="auto"/>
                <w:kern w:val="0"/>
                <w:szCs w:val="21"/>
                <w:highlight w:val="none"/>
              </w:rPr>
              <w:t>。</w:t>
            </w:r>
          </w:p>
          <w:p>
            <w:pPr>
              <w:pStyle w:val="13"/>
              <w:ind w:left="420" w:leftChars="200" w:firstLine="0" w:firstLineChars="0"/>
              <w:rPr>
                <w:b/>
                <w:bCs/>
                <w:color w:val="auto"/>
                <w:kern w:val="0"/>
                <w:szCs w:val="21"/>
                <w:highlight w:val="none"/>
              </w:rPr>
            </w:pPr>
            <w:r>
              <w:rPr>
                <w:b/>
                <w:bCs/>
                <w:color w:val="auto"/>
                <w:kern w:val="0"/>
                <w:szCs w:val="21"/>
                <w:highlight w:val="none"/>
              </w:rPr>
              <w:t>1、一般固废</w:t>
            </w:r>
          </w:p>
          <w:p>
            <w:pPr>
              <w:pStyle w:val="13"/>
              <w:ind w:left="420" w:leftChars="200" w:firstLine="0" w:firstLineChars="0"/>
              <w:rPr>
                <w:rFonts w:ascii="宋体" w:hAnsi="宋体"/>
                <w:b/>
                <w:bCs/>
                <w:color w:val="auto"/>
                <w:kern w:val="0"/>
                <w:szCs w:val="21"/>
                <w:highlight w:val="none"/>
              </w:rPr>
            </w:pPr>
            <w:r>
              <w:rPr>
                <w:rFonts w:hint="eastAsia" w:ascii="宋体" w:hAnsi="宋体"/>
                <w:b/>
                <w:bCs/>
                <w:color w:val="auto"/>
                <w:kern w:val="0"/>
                <w:szCs w:val="21"/>
                <w:highlight w:val="none"/>
              </w:rPr>
              <w:t>（1）生活垃圾</w:t>
            </w:r>
          </w:p>
          <w:p>
            <w:pPr>
              <w:pStyle w:val="13"/>
              <w:ind w:left="0" w:firstLine="420" w:firstLineChars="200"/>
              <w:rPr>
                <w:color w:val="auto"/>
                <w:kern w:val="0"/>
                <w:szCs w:val="21"/>
                <w:highlight w:val="none"/>
              </w:rPr>
            </w:pPr>
            <w:r>
              <w:rPr>
                <w:rFonts w:hint="eastAsia"/>
                <w:color w:val="auto"/>
                <w:szCs w:val="21"/>
                <w:highlight w:val="none"/>
                <w:lang w:val="zh-CN"/>
              </w:rPr>
              <w:t>本项目营运期员工</w:t>
            </w:r>
            <w:r>
              <w:rPr>
                <w:rFonts w:hint="eastAsia"/>
                <w:color w:val="auto"/>
                <w:szCs w:val="21"/>
                <w:highlight w:val="none"/>
              </w:rPr>
              <w:t>10人，员工</w:t>
            </w:r>
            <w:r>
              <w:rPr>
                <w:rFonts w:hint="eastAsia"/>
                <w:color w:val="auto"/>
                <w:szCs w:val="21"/>
                <w:highlight w:val="none"/>
                <w:lang w:val="zh-CN"/>
              </w:rPr>
              <w:t>办公生活会产生生活垃圾，其</w:t>
            </w:r>
            <w:r>
              <w:rPr>
                <w:color w:val="auto"/>
                <w:szCs w:val="21"/>
                <w:highlight w:val="none"/>
                <w:lang w:val="zh-CN"/>
              </w:rPr>
              <w:t>成分主要是废纸张、瓜果皮核、饮料包装瓶、塑料包装纸等</w:t>
            </w:r>
            <w:r>
              <w:rPr>
                <w:rFonts w:hint="eastAsia"/>
                <w:color w:val="auto"/>
                <w:szCs w:val="21"/>
                <w:highlight w:val="none"/>
              </w:rPr>
              <w:t>。根据《</w:t>
            </w:r>
            <w:r>
              <w:rPr>
                <w:color w:val="auto"/>
                <w:szCs w:val="21"/>
                <w:highlight w:val="none"/>
              </w:rPr>
              <w:t>第一次全国污染源普查城镇生活源产排污系数手册</w:t>
            </w:r>
            <w:r>
              <w:rPr>
                <w:rFonts w:hint="eastAsia"/>
                <w:color w:val="auto"/>
                <w:szCs w:val="21"/>
                <w:highlight w:val="none"/>
              </w:rPr>
              <w:t>》（2008年），</w:t>
            </w:r>
            <w:r>
              <w:rPr>
                <w:color w:val="auto"/>
                <w:szCs w:val="21"/>
                <w:highlight w:val="none"/>
              </w:rPr>
              <w:t>员工产生的生活垃圾按0.5</w:t>
            </w:r>
            <w:r>
              <w:rPr>
                <w:rFonts w:hint="eastAsia"/>
                <w:color w:val="auto"/>
                <w:szCs w:val="21"/>
                <w:highlight w:val="none"/>
              </w:rPr>
              <w:t>1</w:t>
            </w:r>
            <w:r>
              <w:rPr>
                <w:color w:val="auto"/>
                <w:szCs w:val="21"/>
                <w:highlight w:val="none"/>
              </w:rPr>
              <w:t>kg/人</w:t>
            </w:r>
            <w:r>
              <w:rPr>
                <w:rFonts w:hint="eastAsia"/>
                <w:color w:val="auto"/>
                <w:szCs w:val="21"/>
                <w:highlight w:val="none"/>
              </w:rPr>
              <w:t>·</w:t>
            </w:r>
            <w:r>
              <w:rPr>
                <w:color w:val="auto"/>
                <w:szCs w:val="21"/>
                <w:highlight w:val="none"/>
              </w:rPr>
              <w:t>天计，</w:t>
            </w:r>
            <w:r>
              <w:rPr>
                <w:rFonts w:hint="eastAsia"/>
                <w:color w:val="auto"/>
                <w:szCs w:val="21"/>
                <w:highlight w:val="none"/>
              </w:rPr>
              <w:t>则本项目生活垃圾日产生量为5.1kg</w:t>
            </w:r>
            <w:r>
              <w:rPr>
                <w:color w:val="auto"/>
                <w:szCs w:val="21"/>
                <w:highlight w:val="none"/>
              </w:rPr>
              <w:t>，年工作日按300天算，即生活垃圾产生量为1.53t/a。</w:t>
            </w:r>
            <w:r>
              <w:rPr>
                <w:bCs/>
                <w:color w:val="auto"/>
                <w:szCs w:val="21"/>
                <w:highlight w:val="none"/>
              </w:rPr>
              <w:t>员工办公生活产生的生活垃圾按指定地点堆放，并进行垃圾分类处理，交由环卫部门清理运走进行无害处理。</w:t>
            </w:r>
          </w:p>
          <w:p>
            <w:pPr>
              <w:pStyle w:val="13"/>
              <w:ind w:left="420" w:leftChars="200" w:firstLine="0" w:firstLineChars="0"/>
              <w:rPr>
                <w:b/>
                <w:bCs/>
                <w:color w:val="auto"/>
                <w:kern w:val="0"/>
                <w:szCs w:val="21"/>
                <w:highlight w:val="none"/>
              </w:rPr>
            </w:pPr>
            <w:r>
              <w:rPr>
                <w:rFonts w:hint="eastAsia"/>
                <w:b/>
                <w:bCs/>
                <w:color w:val="auto"/>
                <w:kern w:val="0"/>
                <w:szCs w:val="21"/>
                <w:highlight w:val="none"/>
              </w:rPr>
              <w:t>（2）</w:t>
            </w:r>
            <w:r>
              <w:rPr>
                <w:b/>
                <w:bCs/>
                <w:color w:val="auto"/>
                <w:kern w:val="0"/>
                <w:szCs w:val="21"/>
                <w:highlight w:val="none"/>
              </w:rPr>
              <w:t>一般固体废物</w:t>
            </w:r>
          </w:p>
          <w:p>
            <w:pPr>
              <w:pStyle w:val="13"/>
              <w:ind w:left="420" w:leftChars="200" w:firstLine="0" w:firstLineChars="0"/>
              <w:rPr>
                <w:b/>
                <w:bCs/>
                <w:color w:val="auto"/>
                <w:kern w:val="0"/>
                <w:szCs w:val="21"/>
                <w:highlight w:val="none"/>
              </w:rPr>
            </w:pPr>
            <w:r>
              <w:rPr>
                <w:color w:val="auto"/>
                <w:kern w:val="0"/>
                <w:szCs w:val="21"/>
                <w:highlight w:val="none"/>
              </w:rPr>
              <w:t>①</w:t>
            </w:r>
            <w:r>
              <w:rPr>
                <w:rFonts w:hint="eastAsia"/>
                <w:color w:val="auto"/>
                <w:kern w:val="0"/>
                <w:szCs w:val="21"/>
                <w:highlight w:val="none"/>
              </w:rPr>
              <w:t>布袋除尘器粉尘</w:t>
            </w:r>
          </w:p>
          <w:p>
            <w:pPr>
              <w:ind w:firstLine="420" w:firstLineChars="200"/>
              <w:rPr>
                <w:color w:val="auto"/>
                <w:highlight w:val="none"/>
              </w:rPr>
            </w:pPr>
            <w:r>
              <w:rPr>
                <w:color w:val="auto"/>
                <w:highlight w:val="none"/>
              </w:rPr>
              <w:t>根据工程分析可知，粉尘收集量约</w:t>
            </w:r>
            <w:r>
              <w:rPr>
                <w:rFonts w:hint="eastAsia"/>
                <w:color w:val="auto"/>
                <w:highlight w:val="none"/>
                <w:lang w:val="en-US" w:eastAsia="zh-CN"/>
              </w:rPr>
              <w:t>47.094</w:t>
            </w:r>
            <w:r>
              <w:rPr>
                <w:color w:val="auto"/>
                <w:highlight w:val="none"/>
              </w:rPr>
              <w:t>t/a，</w:t>
            </w:r>
            <w:r>
              <w:rPr>
                <w:rFonts w:hint="eastAsia"/>
                <w:color w:val="auto"/>
                <w:highlight w:val="none"/>
              </w:rPr>
              <w:t>粉尘的主要成分是石灰石</w:t>
            </w:r>
            <w:r>
              <w:rPr>
                <w:rFonts w:hint="eastAsia"/>
                <w:color w:val="auto"/>
                <w:highlight w:val="none"/>
                <w:lang w:eastAsia="zh-CN"/>
              </w:rPr>
              <w:t>、</w:t>
            </w:r>
            <w:r>
              <w:rPr>
                <w:rFonts w:hint="eastAsia"/>
                <w:color w:val="auto"/>
                <w:highlight w:val="none"/>
                <w:lang w:val="en-US" w:eastAsia="zh-CN"/>
              </w:rPr>
              <w:t>氢氧化钙、氧化钙</w:t>
            </w:r>
            <w:r>
              <w:rPr>
                <w:rFonts w:hint="eastAsia"/>
                <w:color w:val="auto"/>
                <w:highlight w:val="none"/>
              </w:rPr>
              <w:t>，根据《一般固体废物分类与代码》（GB/T39198-2020)，布袋除尘器粉尘一般固废代码为301-001-66，</w:t>
            </w:r>
            <w:r>
              <w:rPr>
                <w:color w:val="auto"/>
                <w:highlight w:val="none"/>
              </w:rPr>
              <w:t>统一收集回用于生产</w:t>
            </w:r>
            <w:r>
              <w:rPr>
                <w:rFonts w:hint="eastAsia"/>
                <w:color w:val="auto"/>
                <w:highlight w:val="none"/>
              </w:rPr>
              <w:t>。</w:t>
            </w:r>
          </w:p>
          <w:p>
            <w:pPr>
              <w:pStyle w:val="13"/>
              <w:ind w:left="420" w:leftChars="200" w:firstLine="0" w:firstLineChars="0"/>
              <w:rPr>
                <w:b/>
                <w:bCs/>
                <w:color w:val="auto"/>
                <w:kern w:val="0"/>
                <w:szCs w:val="21"/>
                <w:highlight w:val="none"/>
              </w:rPr>
            </w:pPr>
            <w:r>
              <w:rPr>
                <w:b/>
                <w:bCs/>
                <w:color w:val="auto"/>
                <w:kern w:val="0"/>
                <w:szCs w:val="21"/>
                <w:highlight w:val="none"/>
              </w:rPr>
              <w:t>（3）危险废物</w:t>
            </w:r>
          </w:p>
          <w:p>
            <w:pPr>
              <w:pStyle w:val="14"/>
              <w:numPr>
                <w:ilvl w:val="0"/>
                <w:numId w:val="0"/>
              </w:numPr>
              <w:autoSpaceDE w:val="0"/>
              <w:spacing w:before="0" w:beforeAutospacing="0" w:after="0" w:afterAutospacing="0"/>
              <w:ind w:left="420"/>
              <w:rPr>
                <w:color w:val="auto"/>
                <w:kern w:val="0"/>
                <w:highlight w:val="none"/>
              </w:rPr>
            </w:pPr>
            <w:r>
              <w:rPr>
                <w:color w:val="auto"/>
                <w:kern w:val="0"/>
                <w:highlight w:val="none"/>
              </w:rPr>
              <w:t>①废机油</w:t>
            </w:r>
          </w:p>
          <w:p>
            <w:pPr>
              <w:pStyle w:val="13"/>
              <w:autoSpaceDE w:val="0"/>
              <w:ind w:left="0" w:firstLine="420" w:firstLineChars="200"/>
              <w:rPr>
                <w:color w:val="auto"/>
                <w:kern w:val="0"/>
                <w:szCs w:val="21"/>
                <w:highlight w:val="none"/>
              </w:rPr>
            </w:pPr>
            <w:r>
              <w:rPr>
                <w:color w:val="auto"/>
                <w:szCs w:val="21"/>
                <w:highlight w:val="none"/>
              </w:rPr>
              <w:t>项目设备维修和保养的过程中会产生废机油，产生量为</w:t>
            </w:r>
            <w:r>
              <w:rPr>
                <w:bCs/>
                <w:color w:val="auto"/>
                <w:szCs w:val="21"/>
                <w:highlight w:val="none"/>
              </w:rPr>
              <w:t>0.01t/a</w:t>
            </w:r>
            <w:r>
              <w:rPr>
                <w:color w:val="auto"/>
                <w:szCs w:val="21"/>
                <w:highlight w:val="none"/>
              </w:rPr>
              <w:t>，属于</w:t>
            </w:r>
            <w:r>
              <w:rPr>
                <w:bCs/>
                <w:color w:val="auto"/>
                <w:szCs w:val="21"/>
                <w:highlight w:val="none"/>
              </w:rPr>
              <w:t>《国家危险废物名录》（20</w:t>
            </w:r>
            <w:r>
              <w:rPr>
                <w:rFonts w:hint="eastAsia"/>
                <w:bCs/>
                <w:color w:val="auto"/>
                <w:szCs w:val="21"/>
                <w:highlight w:val="none"/>
              </w:rPr>
              <w:t>21年版</w:t>
            </w:r>
            <w:r>
              <w:rPr>
                <w:bCs/>
                <w:color w:val="auto"/>
                <w:szCs w:val="21"/>
                <w:highlight w:val="none"/>
              </w:rPr>
              <w:t>）中HW08废矿物油与含矿物油废物-非特定行业-900-249-08-其他生产、销售、使用过程中产生的废矿物油及含矿物油废物，须单独收集、暂存，</w:t>
            </w:r>
            <w:r>
              <w:rPr>
                <w:rFonts w:hint="eastAsia"/>
                <w:color w:val="auto"/>
                <w:kern w:val="0"/>
                <w:szCs w:val="21"/>
                <w:highlight w:val="none"/>
              </w:rPr>
              <w:t>暂存于危废仓，定期交资质单位处理。</w:t>
            </w:r>
          </w:p>
          <w:p>
            <w:pPr>
              <w:pStyle w:val="21"/>
              <w:ind w:left="420" w:firstLine="0"/>
              <w:rPr>
                <w:color w:val="auto"/>
                <w:kern w:val="0"/>
                <w:sz w:val="21"/>
                <w:szCs w:val="21"/>
                <w:highlight w:val="none"/>
              </w:rPr>
            </w:pPr>
            <w:r>
              <w:rPr>
                <w:color w:val="auto"/>
                <w:kern w:val="0"/>
                <w:sz w:val="21"/>
                <w:szCs w:val="21"/>
                <w:highlight w:val="none"/>
              </w:rPr>
              <w:t>②</w:t>
            </w:r>
            <w:r>
              <w:rPr>
                <w:color w:val="auto"/>
                <w:sz w:val="21"/>
                <w:szCs w:val="21"/>
                <w:highlight w:val="none"/>
              </w:rPr>
              <w:t>含油废抹布手套</w:t>
            </w:r>
          </w:p>
          <w:p>
            <w:pPr>
              <w:pStyle w:val="13"/>
              <w:ind w:left="0" w:firstLine="420" w:firstLineChars="200"/>
              <w:rPr>
                <w:color w:val="auto"/>
                <w:kern w:val="0"/>
                <w:szCs w:val="21"/>
                <w:highlight w:val="none"/>
              </w:rPr>
            </w:pPr>
            <w:r>
              <w:rPr>
                <w:color w:val="auto"/>
                <w:szCs w:val="21"/>
                <w:highlight w:val="none"/>
              </w:rPr>
              <w:t>项目设备维护保养过程中会产生含油废抹布手套，产生量约为0.01t/a，含油废抹布属于《国家危险废物名录》（</w:t>
            </w:r>
            <w:r>
              <w:rPr>
                <w:bCs/>
                <w:color w:val="auto"/>
                <w:szCs w:val="21"/>
                <w:highlight w:val="none"/>
              </w:rPr>
              <w:t>20</w:t>
            </w:r>
            <w:r>
              <w:rPr>
                <w:rFonts w:hint="eastAsia"/>
                <w:bCs/>
                <w:color w:val="auto"/>
                <w:szCs w:val="21"/>
                <w:highlight w:val="none"/>
              </w:rPr>
              <w:t>21年版</w:t>
            </w:r>
            <w:r>
              <w:rPr>
                <w:color w:val="auto"/>
                <w:szCs w:val="21"/>
                <w:highlight w:val="none"/>
              </w:rPr>
              <w:t>）中危险废物，废物类别为“HW49其他废物-非特定行业-900-041-49-含有或沾染毒性、感染性危险废物的废弃包装物、容器、过滤吸附介质”</w:t>
            </w:r>
            <w:r>
              <w:rPr>
                <w:color w:val="auto"/>
                <w:kern w:val="0"/>
                <w:szCs w:val="21"/>
                <w:highlight w:val="none"/>
              </w:rPr>
              <w:t>。</w:t>
            </w:r>
            <w:r>
              <w:rPr>
                <w:rFonts w:hint="eastAsia"/>
                <w:color w:val="auto"/>
                <w:kern w:val="0"/>
                <w:szCs w:val="21"/>
                <w:highlight w:val="none"/>
              </w:rPr>
              <w:t>暂存于危废仓，定期交资质单位处理。</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固体废物产排情况一览表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594"/>
              <w:gridCol w:w="936"/>
              <w:gridCol w:w="687"/>
              <w:gridCol w:w="632"/>
              <w:gridCol w:w="586"/>
              <w:gridCol w:w="668"/>
              <w:gridCol w:w="891"/>
              <w:gridCol w:w="639"/>
              <w:gridCol w:w="102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序号</w:t>
                  </w:r>
                </w:p>
              </w:tc>
              <w:tc>
                <w:tcPr>
                  <w:tcW w:w="357" w:type="pct"/>
                  <w:vAlign w:val="center"/>
                </w:tcPr>
                <w:p>
                  <w:pPr>
                    <w:spacing w:line="240" w:lineRule="auto"/>
                    <w:ind w:left="-105" w:leftChars="-50" w:right="-105" w:rightChars="-50"/>
                    <w:jc w:val="center"/>
                    <w:rPr>
                      <w:color w:val="auto"/>
                      <w:szCs w:val="21"/>
                      <w:highlight w:val="none"/>
                    </w:rPr>
                  </w:pPr>
                  <w:r>
                    <w:rPr>
                      <w:color w:val="auto"/>
                      <w:szCs w:val="21"/>
                      <w:highlight w:val="none"/>
                    </w:rPr>
                    <w:t>产生环节</w:t>
                  </w:r>
                </w:p>
              </w:tc>
              <w:tc>
                <w:tcPr>
                  <w:tcW w:w="563" w:type="pct"/>
                  <w:vAlign w:val="center"/>
                </w:tcPr>
                <w:p>
                  <w:pPr>
                    <w:spacing w:line="240" w:lineRule="auto"/>
                    <w:ind w:left="-105" w:leftChars="-50" w:right="-105" w:rightChars="-50"/>
                    <w:jc w:val="center"/>
                    <w:rPr>
                      <w:color w:val="auto"/>
                      <w:szCs w:val="21"/>
                      <w:highlight w:val="none"/>
                    </w:rPr>
                  </w:pPr>
                  <w:r>
                    <w:rPr>
                      <w:color w:val="auto"/>
                      <w:szCs w:val="21"/>
                      <w:highlight w:val="none"/>
                    </w:rPr>
                    <w:t>名称</w:t>
                  </w:r>
                </w:p>
              </w:tc>
              <w:tc>
                <w:tcPr>
                  <w:tcW w:w="41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代码</w:t>
                  </w:r>
                </w:p>
              </w:tc>
              <w:tc>
                <w:tcPr>
                  <w:tcW w:w="380" w:type="pct"/>
                  <w:vAlign w:val="center"/>
                </w:tcPr>
                <w:p>
                  <w:pPr>
                    <w:spacing w:line="240" w:lineRule="auto"/>
                    <w:ind w:left="-105" w:leftChars="-50" w:right="-105" w:rightChars="-50"/>
                    <w:jc w:val="center"/>
                    <w:rPr>
                      <w:color w:val="auto"/>
                      <w:szCs w:val="21"/>
                      <w:highlight w:val="none"/>
                    </w:rPr>
                  </w:pPr>
                  <w:r>
                    <w:rPr>
                      <w:color w:val="auto"/>
                      <w:szCs w:val="21"/>
                      <w:highlight w:val="none"/>
                    </w:rPr>
                    <w:t>主要有毒有害物质名称</w:t>
                  </w:r>
                </w:p>
              </w:tc>
              <w:tc>
                <w:tcPr>
                  <w:tcW w:w="353" w:type="pct"/>
                  <w:vAlign w:val="center"/>
                </w:tcPr>
                <w:p>
                  <w:pPr>
                    <w:spacing w:line="240" w:lineRule="auto"/>
                    <w:ind w:left="-105" w:leftChars="-50" w:right="-105" w:rightChars="-50"/>
                    <w:jc w:val="center"/>
                    <w:rPr>
                      <w:color w:val="auto"/>
                      <w:szCs w:val="21"/>
                      <w:highlight w:val="none"/>
                    </w:rPr>
                  </w:pPr>
                  <w:r>
                    <w:rPr>
                      <w:color w:val="auto"/>
                      <w:szCs w:val="21"/>
                      <w:highlight w:val="none"/>
                    </w:rPr>
                    <w:t>物理性状</w:t>
                  </w:r>
                </w:p>
              </w:tc>
              <w:tc>
                <w:tcPr>
                  <w:tcW w:w="402" w:type="pct"/>
                  <w:vAlign w:val="center"/>
                </w:tcPr>
                <w:p>
                  <w:pPr>
                    <w:spacing w:line="240" w:lineRule="auto"/>
                    <w:ind w:left="-105" w:leftChars="-50" w:right="-105" w:rightChars="-50"/>
                    <w:jc w:val="center"/>
                    <w:rPr>
                      <w:color w:val="auto"/>
                      <w:szCs w:val="21"/>
                      <w:highlight w:val="none"/>
                    </w:rPr>
                  </w:pPr>
                  <w:r>
                    <w:rPr>
                      <w:color w:val="auto"/>
                      <w:szCs w:val="21"/>
                      <w:highlight w:val="none"/>
                    </w:rPr>
                    <w:t>环境危险特性</w:t>
                  </w:r>
                </w:p>
              </w:tc>
              <w:tc>
                <w:tcPr>
                  <w:tcW w:w="536" w:type="pct"/>
                  <w:vAlign w:val="center"/>
                </w:tcPr>
                <w:p>
                  <w:pPr>
                    <w:spacing w:line="240" w:lineRule="auto"/>
                    <w:ind w:left="-105" w:leftChars="-50" w:right="-105" w:rightChars="-50"/>
                    <w:jc w:val="center"/>
                    <w:rPr>
                      <w:color w:val="auto"/>
                      <w:szCs w:val="21"/>
                      <w:highlight w:val="none"/>
                    </w:rPr>
                  </w:pPr>
                  <w:r>
                    <w:rPr>
                      <w:color w:val="auto"/>
                      <w:szCs w:val="21"/>
                      <w:highlight w:val="none"/>
                    </w:rPr>
                    <w:t>年产量</w:t>
                  </w:r>
                </w:p>
              </w:tc>
              <w:tc>
                <w:tcPr>
                  <w:tcW w:w="384" w:type="pct"/>
                  <w:vAlign w:val="center"/>
                </w:tcPr>
                <w:p>
                  <w:pPr>
                    <w:spacing w:line="240" w:lineRule="auto"/>
                    <w:ind w:left="-105" w:leftChars="-50" w:right="-105" w:rightChars="-50"/>
                    <w:jc w:val="center"/>
                    <w:rPr>
                      <w:color w:val="auto"/>
                      <w:szCs w:val="21"/>
                      <w:highlight w:val="none"/>
                    </w:rPr>
                  </w:pPr>
                  <w:r>
                    <w:rPr>
                      <w:color w:val="auto"/>
                      <w:szCs w:val="21"/>
                      <w:highlight w:val="none"/>
                    </w:rPr>
                    <w:t>贮存方式</w:t>
                  </w:r>
                </w:p>
              </w:tc>
              <w:tc>
                <w:tcPr>
                  <w:tcW w:w="619" w:type="pct"/>
                  <w:vAlign w:val="center"/>
                </w:tcPr>
                <w:p>
                  <w:pPr>
                    <w:spacing w:line="240" w:lineRule="auto"/>
                    <w:ind w:left="-105" w:leftChars="-50" w:right="-105" w:rightChars="-50"/>
                    <w:jc w:val="center"/>
                    <w:rPr>
                      <w:color w:val="auto"/>
                      <w:szCs w:val="21"/>
                      <w:highlight w:val="none"/>
                    </w:rPr>
                  </w:pPr>
                  <w:r>
                    <w:rPr>
                      <w:color w:val="auto"/>
                      <w:szCs w:val="21"/>
                      <w:highlight w:val="none"/>
                    </w:rPr>
                    <w:t>利用处置方式和去向</w:t>
                  </w:r>
                </w:p>
              </w:tc>
              <w:tc>
                <w:tcPr>
                  <w:tcW w:w="734" w:type="pct"/>
                  <w:vAlign w:val="center"/>
                </w:tcPr>
                <w:p>
                  <w:pPr>
                    <w:spacing w:line="240" w:lineRule="auto"/>
                    <w:jc w:val="center"/>
                    <w:rPr>
                      <w:color w:val="auto"/>
                      <w:szCs w:val="21"/>
                      <w:highlight w:val="none"/>
                    </w:rPr>
                  </w:pPr>
                  <w:r>
                    <w:rPr>
                      <w:color w:val="auto"/>
                      <w:szCs w:val="21"/>
                      <w:highlight w:val="none"/>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1</w:t>
                  </w:r>
                </w:p>
              </w:tc>
              <w:tc>
                <w:tcPr>
                  <w:tcW w:w="357"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员工生活</w:t>
                  </w:r>
                </w:p>
              </w:tc>
              <w:tc>
                <w:tcPr>
                  <w:tcW w:w="563" w:type="pct"/>
                  <w:vAlign w:val="center"/>
                </w:tcPr>
                <w:p>
                  <w:pPr>
                    <w:spacing w:line="240" w:lineRule="auto"/>
                    <w:ind w:left="-105" w:leftChars="-50" w:right="-105" w:rightChars="-50"/>
                    <w:jc w:val="center"/>
                    <w:rPr>
                      <w:color w:val="auto"/>
                      <w:szCs w:val="21"/>
                      <w:highlight w:val="none"/>
                    </w:rPr>
                  </w:pPr>
                  <w:r>
                    <w:rPr>
                      <w:color w:val="auto"/>
                      <w:highlight w:val="none"/>
                    </w:rPr>
                    <w:t>生活垃圾</w:t>
                  </w:r>
                </w:p>
              </w:tc>
              <w:tc>
                <w:tcPr>
                  <w:tcW w:w="41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8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5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402"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53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 xml:space="preserve">1.53t/a </w:t>
                  </w:r>
                </w:p>
              </w:tc>
              <w:tc>
                <w:tcPr>
                  <w:tcW w:w="384" w:type="pct"/>
                  <w:vAlign w:val="center"/>
                </w:tcPr>
                <w:p>
                  <w:pPr>
                    <w:spacing w:line="240" w:lineRule="auto"/>
                    <w:ind w:left="-105" w:leftChars="-50" w:right="-105" w:rightChars="-50"/>
                    <w:jc w:val="center"/>
                    <w:rPr>
                      <w:color w:val="auto"/>
                      <w:szCs w:val="21"/>
                      <w:highlight w:val="none"/>
                    </w:rPr>
                  </w:pPr>
                  <w:r>
                    <w:rPr>
                      <w:color w:val="auto"/>
                      <w:highlight w:val="none"/>
                    </w:rPr>
                    <w:t>垃圾桶</w:t>
                  </w:r>
                </w:p>
              </w:tc>
              <w:tc>
                <w:tcPr>
                  <w:tcW w:w="619" w:type="pct"/>
                  <w:vAlign w:val="center"/>
                </w:tcPr>
                <w:p>
                  <w:pPr>
                    <w:spacing w:line="240" w:lineRule="auto"/>
                    <w:ind w:left="-105" w:leftChars="-50" w:right="-105" w:rightChars="-50"/>
                    <w:jc w:val="center"/>
                    <w:rPr>
                      <w:color w:val="auto"/>
                      <w:szCs w:val="21"/>
                      <w:highlight w:val="none"/>
                    </w:rPr>
                  </w:pPr>
                  <w:r>
                    <w:rPr>
                      <w:color w:val="auto"/>
                      <w:highlight w:val="none"/>
                    </w:rPr>
                    <w:t>交由环卫部门处理</w:t>
                  </w:r>
                </w:p>
              </w:tc>
              <w:tc>
                <w:tcPr>
                  <w:tcW w:w="734" w:type="pct"/>
                  <w:vMerge w:val="restart"/>
                  <w:vAlign w:val="center"/>
                </w:tcPr>
                <w:p>
                  <w:pPr>
                    <w:spacing w:line="240" w:lineRule="auto"/>
                    <w:ind w:left="-105" w:leftChars="-50" w:right="-105" w:rightChars="-50"/>
                    <w:jc w:val="center"/>
                    <w:rPr>
                      <w:color w:val="auto"/>
                      <w:szCs w:val="21"/>
                      <w:highlight w:val="none"/>
                    </w:rPr>
                  </w:pPr>
                  <w:r>
                    <w:rPr>
                      <w:rFonts w:hint="eastAsia" w:ascii="宋体" w:hAnsi="宋体"/>
                      <w:color w:val="auto"/>
                      <w:szCs w:val="21"/>
                      <w:highlight w:val="none"/>
                    </w:rPr>
                    <w:t>①</w:t>
                  </w:r>
                  <w:r>
                    <w:rPr>
                      <w:rFonts w:hint="eastAsia"/>
                      <w:color w:val="auto"/>
                      <w:szCs w:val="21"/>
                      <w:highlight w:val="none"/>
                    </w:rPr>
                    <w:t>产生的固废及时运送至对应贮存区域进行储存</w:t>
                  </w:r>
                  <w:r>
                    <w:rPr>
                      <w:color w:val="auto"/>
                      <w:szCs w:val="21"/>
                      <w:highlight w:val="none"/>
                    </w:rPr>
                    <w:t>；</w:t>
                  </w:r>
                </w:p>
                <w:p>
                  <w:pPr>
                    <w:spacing w:line="240" w:lineRule="auto"/>
                    <w:ind w:left="-105" w:leftChars="-50" w:right="-105" w:rightChars="-50"/>
                    <w:jc w:val="center"/>
                    <w:rPr>
                      <w:color w:val="auto"/>
                      <w:szCs w:val="21"/>
                      <w:highlight w:val="none"/>
                    </w:rPr>
                  </w:pPr>
                  <w:r>
                    <w:rPr>
                      <w:rFonts w:hint="eastAsia" w:ascii="宋体" w:hAnsi="宋体"/>
                      <w:color w:val="auto"/>
                      <w:szCs w:val="21"/>
                      <w:highlight w:val="none"/>
                    </w:rPr>
                    <w:t>②</w:t>
                  </w:r>
                  <w:r>
                    <w:rPr>
                      <w:color w:val="auto"/>
                      <w:szCs w:val="21"/>
                      <w:highlight w:val="none"/>
                    </w:rPr>
                    <w:t>严禁固废随意堆放；</w:t>
                  </w:r>
                </w:p>
                <w:p>
                  <w:pPr>
                    <w:spacing w:line="240" w:lineRule="auto"/>
                    <w:ind w:left="-105" w:leftChars="-50" w:right="-105" w:rightChars="-50"/>
                    <w:jc w:val="center"/>
                    <w:rPr>
                      <w:color w:val="auto"/>
                      <w:szCs w:val="21"/>
                      <w:highlight w:val="none"/>
                    </w:rPr>
                  </w:pPr>
                  <w:r>
                    <w:rPr>
                      <w:rFonts w:hint="eastAsia" w:ascii="宋体" w:hAnsi="宋体"/>
                      <w:color w:val="auto"/>
                      <w:szCs w:val="21"/>
                      <w:highlight w:val="none"/>
                    </w:rPr>
                    <w:t>③</w:t>
                  </w:r>
                  <w:r>
                    <w:rPr>
                      <w:color w:val="auto"/>
                      <w:szCs w:val="21"/>
                      <w:highlight w:val="none"/>
                    </w:rPr>
                    <w:t>各固废暂存设施应防雨防渗。</w:t>
                  </w:r>
                </w:p>
                <w:p>
                  <w:pPr>
                    <w:spacing w:line="240" w:lineRule="auto"/>
                    <w:ind w:left="-105" w:leftChars="-50" w:right="-105" w:rightChars="-50"/>
                    <w:jc w:val="center"/>
                    <w:rPr>
                      <w:color w:val="auto"/>
                      <w:szCs w:val="21"/>
                      <w:highlight w:val="none"/>
                    </w:rPr>
                  </w:pPr>
                  <w:r>
                    <w:rPr>
                      <w:rFonts w:hint="eastAsia"/>
                      <w:color w:val="auto"/>
                      <w:szCs w:val="21"/>
                      <w:highlight w:val="none"/>
                    </w:rPr>
                    <w:t>④危险废物应分类存放于危废间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2</w:t>
                  </w:r>
                </w:p>
              </w:tc>
              <w:tc>
                <w:tcPr>
                  <w:tcW w:w="357"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废气处理</w:t>
                  </w:r>
                </w:p>
              </w:tc>
              <w:tc>
                <w:tcPr>
                  <w:tcW w:w="563" w:type="pct"/>
                  <w:vAlign w:val="center"/>
                </w:tcPr>
                <w:p>
                  <w:pPr>
                    <w:autoSpaceDE w:val="0"/>
                    <w:autoSpaceDN w:val="0"/>
                    <w:spacing w:line="240" w:lineRule="auto"/>
                    <w:ind w:left="-105" w:leftChars="-50" w:right="-105" w:rightChars="-50"/>
                    <w:jc w:val="center"/>
                    <w:rPr>
                      <w:color w:val="auto"/>
                      <w:szCs w:val="21"/>
                      <w:highlight w:val="none"/>
                    </w:rPr>
                  </w:pPr>
                  <w:r>
                    <w:rPr>
                      <w:bCs/>
                      <w:color w:val="auto"/>
                      <w:szCs w:val="21"/>
                      <w:highlight w:val="none"/>
                    </w:rPr>
                    <w:t>布袋除尘器粉尘</w:t>
                  </w:r>
                </w:p>
              </w:tc>
              <w:tc>
                <w:tcPr>
                  <w:tcW w:w="41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301-001-66</w:t>
                  </w:r>
                </w:p>
              </w:tc>
              <w:tc>
                <w:tcPr>
                  <w:tcW w:w="38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353" w:type="pct"/>
                  <w:vAlign w:val="center"/>
                </w:tcPr>
                <w:p>
                  <w:pPr>
                    <w:spacing w:line="240" w:lineRule="auto"/>
                    <w:ind w:left="-105" w:leftChars="-50" w:right="-105" w:rightChars="-50"/>
                    <w:jc w:val="center"/>
                    <w:rPr>
                      <w:color w:val="auto"/>
                      <w:szCs w:val="21"/>
                      <w:highlight w:val="none"/>
                    </w:rPr>
                  </w:pPr>
                  <w:r>
                    <w:rPr>
                      <w:color w:val="auto"/>
                      <w:szCs w:val="21"/>
                      <w:highlight w:val="none"/>
                    </w:rPr>
                    <w:t>固体</w:t>
                  </w:r>
                </w:p>
              </w:tc>
              <w:tc>
                <w:tcPr>
                  <w:tcW w:w="402"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w:t>
                  </w:r>
                </w:p>
              </w:tc>
              <w:tc>
                <w:tcPr>
                  <w:tcW w:w="53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lang w:val="en-US" w:eastAsia="zh-CN"/>
                    </w:rPr>
                    <w:t>47.094</w:t>
                  </w:r>
                  <w:r>
                    <w:rPr>
                      <w:rFonts w:hint="eastAsia"/>
                      <w:color w:val="auto"/>
                      <w:szCs w:val="21"/>
                      <w:highlight w:val="none"/>
                    </w:rPr>
                    <w:t>t/a</w:t>
                  </w:r>
                </w:p>
              </w:tc>
              <w:tc>
                <w:tcPr>
                  <w:tcW w:w="384" w:type="pct"/>
                  <w:vAlign w:val="center"/>
                </w:tcPr>
                <w:p>
                  <w:pPr>
                    <w:spacing w:line="240" w:lineRule="auto"/>
                    <w:ind w:left="-105" w:leftChars="-50" w:right="-105" w:rightChars="-50"/>
                    <w:jc w:val="center"/>
                    <w:rPr>
                      <w:rFonts w:hint="eastAsia" w:eastAsia="宋体"/>
                      <w:color w:val="auto"/>
                      <w:szCs w:val="21"/>
                      <w:highlight w:val="none"/>
                      <w:lang w:eastAsia="zh-CN"/>
                    </w:rPr>
                  </w:pPr>
                  <w:r>
                    <w:rPr>
                      <w:rFonts w:hint="eastAsia"/>
                      <w:color w:val="auto"/>
                      <w:szCs w:val="21"/>
                      <w:highlight w:val="none"/>
                      <w:lang w:val="en-US" w:eastAsia="zh-CN"/>
                    </w:rPr>
                    <w:t>/</w:t>
                  </w:r>
                </w:p>
              </w:tc>
              <w:tc>
                <w:tcPr>
                  <w:tcW w:w="61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lang w:val="en-US" w:eastAsia="zh-CN"/>
                    </w:rPr>
                    <w:t>直接</w:t>
                  </w:r>
                  <w:r>
                    <w:rPr>
                      <w:rFonts w:hint="eastAsia"/>
                      <w:color w:val="auto"/>
                      <w:szCs w:val="21"/>
                      <w:highlight w:val="none"/>
                    </w:rPr>
                    <w:t>回用</w:t>
                  </w:r>
                </w:p>
              </w:tc>
              <w:tc>
                <w:tcPr>
                  <w:tcW w:w="734" w:type="pct"/>
                  <w:vMerge w:val="continue"/>
                  <w:vAlign w:val="center"/>
                </w:tcPr>
                <w:p>
                  <w:pPr>
                    <w:spacing w:line="240" w:lineRule="auto"/>
                    <w:ind w:left="-105" w:leftChars="-50" w:right="-105" w:rightChars="-5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3</w:t>
                  </w:r>
                </w:p>
              </w:tc>
              <w:tc>
                <w:tcPr>
                  <w:tcW w:w="357" w:type="pct"/>
                  <w:vMerge w:val="restar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废气处理</w:t>
                  </w:r>
                </w:p>
              </w:tc>
              <w:tc>
                <w:tcPr>
                  <w:tcW w:w="563" w:type="pct"/>
                  <w:vAlign w:val="center"/>
                </w:tcPr>
                <w:p>
                  <w:pPr>
                    <w:autoSpaceDE w:val="0"/>
                    <w:autoSpaceDN w:val="0"/>
                    <w:spacing w:line="240" w:lineRule="auto"/>
                    <w:ind w:left="-105" w:leftChars="-50" w:right="-105" w:rightChars="-50"/>
                    <w:jc w:val="center"/>
                    <w:rPr>
                      <w:color w:val="auto"/>
                      <w:szCs w:val="21"/>
                      <w:highlight w:val="none"/>
                    </w:rPr>
                  </w:pPr>
                  <w:r>
                    <w:rPr>
                      <w:color w:val="auto"/>
                      <w:kern w:val="0"/>
                      <w:szCs w:val="21"/>
                      <w:highlight w:val="none"/>
                    </w:rPr>
                    <w:t>废机油</w:t>
                  </w:r>
                </w:p>
              </w:tc>
              <w:tc>
                <w:tcPr>
                  <w:tcW w:w="413" w:type="pct"/>
                  <w:vAlign w:val="center"/>
                </w:tcPr>
                <w:p>
                  <w:pPr>
                    <w:spacing w:line="240" w:lineRule="auto"/>
                    <w:ind w:left="-105" w:leftChars="-50" w:right="-105" w:rightChars="-50"/>
                    <w:jc w:val="center"/>
                    <w:rPr>
                      <w:color w:val="auto"/>
                      <w:szCs w:val="21"/>
                      <w:highlight w:val="none"/>
                    </w:rPr>
                  </w:pPr>
                  <w:r>
                    <w:rPr>
                      <w:bCs/>
                      <w:color w:val="auto"/>
                      <w:szCs w:val="21"/>
                      <w:highlight w:val="none"/>
                    </w:rPr>
                    <w:t>900-249-08</w:t>
                  </w:r>
                </w:p>
              </w:tc>
              <w:tc>
                <w:tcPr>
                  <w:tcW w:w="38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机油</w:t>
                  </w:r>
                </w:p>
              </w:tc>
              <w:tc>
                <w:tcPr>
                  <w:tcW w:w="35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液体</w:t>
                  </w:r>
                </w:p>
              </w:tc>
              <w:tc>
                <w:tcPr>
                  <w:tcW w:w="402"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毒性、易燃性</w:t>
                  </w:r>
                </w:p>
              </w:tc>
              <w:tc>
                <w:tcPr>
                  <w:tcW w:w="53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0.01t/a</w:t>
                  </w:r>
                </w:p>
              </w:tc>
              <w:tc>
                <w:tcPr>
                  <w:tcW w:w="38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危废仓</w:t>
                  </w:r>
                </w:p>
              </w:tc>
              <w:tc>
                <w:tcPr>
                  <w:tcW w:w="619"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由有资质单位回收处置</w:t>
                  </w:r>
                </w:p>
              </w:tc>
              <w:tc>
                <w:tcPr>
                  <w:tcW w:w="734" w:type="pct"/>
                  <w:vMerge w:val="continue"/>
                  <w:vAlign w:val="center"/>
                </w:tcPr>
                <w:p>
                  <w:pPr>
                    <w:spacing w:line="24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 w:type="pct"/>
                  <w:vMerge w:val="continue"/>
                  <w:vAlign w:val="center"/>
                </w:tcPr>
                <w:p>
                  <w:pPr>
                    <w:spacing w:line="240" w:lineRule="auto"/>
                    <w:ind w:left="-105" w:leftChars="-50" w:right="-105" w:rightChars="-50"/>
                    <w:jc w:val="center"/>
                    <w:rPr>
                      <w:color w:val="auto"/>
                      <w:szCs w:val="21"/>
                      <w:highlight w:val="none"/>
                    </w:rPr>
                  </w:pPr>
                </w:p>
              </w:tc>
              <w:tc>
                <w:tcPr>
                  <w:tcW w:w="357" w:type="pct"/>
                  <w:vMerge w:val="continue"/>
                  <w:vAlign w:val="center"/>
                </w:tcPr>
                <w:p>
                  <w:pPr>
                    <w:spacing w:line="240" w:lineRule="auto"/>
                    <w:ind w:left="-105" w:leftChars="-50" w:right="-105" w:rightChars="-50"/>
                    <w:jc w:val="center"/>
                    <w:rPr>
                      <w:color w:val="auto"/>
                      <w:szCs w:val="21"/>
                      <w:highlight w:val="none"/>
                    </w:rPr>
                  </w:pPr>
                </w:p>
              </w:tc>
              <w:tc>
                <w:tcPr>
                  <w:tcW w:w="563" w:type="pct"/>
                  <w:vAlign w:val="center"/>
                </w:tcPr>
                <w:p>
                  <w:pPr>
                    <w:autoSpaceDE w:val="0"/>
                    <w:autoSpaceDN w:val="0"/>
                    <w:spacing w:line="240" w:lineRule="auto"/>
                    <w:ind w:left="-105" w:leftChars="-50" w:right="-105" w:rightChars="-50"/>
                    <w:jc w:val="center"/>
                    <w:rPr>
                      <w:color w:val="auto"/>
                      <w:szCs w:val="21"/>
                      <w:highlight w:val="none"/>
                    </w:rPr>
                  </w:pPr>
                  <w:r>
                    <w:rPr>
                      <w:color w:val="auto"/>
                      <w:szCs w:val="21"/>
                      <w:highlight w:val="none"/>
                    </w:rPr>
                    <w:t>含油废抹布手套</w:t>
                  </w:r>
                </w:p>
              </w:tc>
              <w:tc>
                <w:tcPr>
                  <w:tcW w:w="413" w:type="pct"/>
                  <w:vAlign w:val="center"/>
                </w:tcPr>
                <w:p>
                  <w:pPr>
                    <w:spacing w:line="240" w:lineRule="auto"/>
                    <w:ind w:left="-105" w:leftChars="-50" w:right="-105" w:rightChars="-50"/>
                    <w:jc w:val="center"/>
                    <w:rPr>
                      <w:color w:val="auto"/>
                      <w:szCs w:val="21"/>
                      <w:highlight w:val="none"/>
                    </w:rPr>
                  </w:pPr>
                  <w:r>
                    <w:rPr>
                      <w:color w:val="auto"/>
                      <w:szCs w:val="21"/>
                      <w:highlight w:val="none"/>
                    </w:rPr>
                    <w:t>900-041-49</w:t>
                  </w:r>
                </w:p>
              </w:tc>
              <w:tc>
                <w:tcPr>
                  <w:tcW w:w="380"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机油</w:t>
                  </w:r>
                </w:p>
              </w:tc>
              <w:tc>
                <w:tcPr>
                  <w:tcW w:w="353"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固体</w:t>
                  </w:r>
                </w:p>
              </w:tc>
              <w:tc>
                <w:tcPr>
                  <w:tcW w:w="402"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毒性、易燃性</w:t>
                  </w:r>
                </w:p>
              </w:tc>
              <w:tc>
                <w:tcPr>
                  <w:tcW w:w="536"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0.01t/a</w:t>
                  </w:r>
                </w:p>
              </w:tc>
              <w:tc>
                <w:tcPr>
                  <w:tcW w:w="384" w:type="pct"/>
                  <w:vAlign w:val="center"/>
                </w:tcPr>
                <w:p>
                  <w:pPr>
                    <w:spacing w:line="240" w:lineRule="auto"/>
                    <w:ind w:left="-105" w:leftChars="-50" w:right="-105" w:rightChars="-50"/>
                    <w:jc w:val="center"/>
                    <w:rPr>
                      <w:color w:val="auto"/>
                      <w:szCs w:val="21"/>
                      <w:highlight w:val="none"/>
                    </w:rPr>
                  </w:pPr>
                  <w:r>
                    <w:rPr>
                      <w:rFonts w:hint="eastAsia"/>
                      <w:color w:val="auto"/>
                      <w:szCs w:val="21"/>
                      <w:highlight w:val="none"/>
                    </w:rPr>
                    <w:t>危废仓</w:t>
                  </w:r>
                </w:p>
              </w:tc>
              <w:tc>
                <w:tcPr>
                  <w:tcW w:w="619" w:type="pct"/>
                  <w:vAlign w:val="center"/>
                </w:tcPr>
                <w:p>
                  <w:pPr>
                    <w:spacing w:line="240" w:lineRule="auto"/>
                    <w:ind w:left="-105" w:leftChars="-50" w:right="-105" w:rightChars="-50"/>
                    <w:jc w:val="center"/>
                    <w:rPr>
                      <w:bCs/>
                      <w:color w:val="auto"/>
                      <w:spacing w:val="-10"/>
                      <w:szCs w:val="21"/>
                      <w:highlight w:val="none"/>
                    </w:rPr>
                  </w:pPr>
                  <w:r>
                    <w:rPr>
                      <w:rFonts w:hint="eastAsia"/>
                      <w:color w:val="auto"/>
                      <w:szCs w:val="21"/>
                      <w:highlight w:val="none"/>
                    </w:rPr>
                    <w:t>由有资质单位回收处置</w:t>
                  </w:r>
                </w:p>
              </w:tc>
              <w:tc>
                <w:tcPr>
                  <w:tcW w:w="734" w:type="pct"/>
                  <w:vMerge w:val="continue"/>
                  <w:vAlign w:val="center"/>
                </w:tcPr>
                <w:p>
                  <w:pPr>
                    <w:spacing w:line="240" w:lineRule="auto"/>
                    <w:jc w:val="center"/>
                    <w:rPr>
                      <w:color w:val="auto"/>
                      <w:szCs w:val="21"/>
                      <w:highlight w:val="none"/>
                    </w:rPr>
                  </w:pPr>
                </w:p>
              </w:tc>
            </w:tr>
          </w:tbl>
          <w:p>
            <w:pPr>
              <w:pStyle w:val="13"/>
              <w:ind w:left="0" w:firstLine="422" w:firstLineChars="200"/>
              <w:rPr>
                <w:b/>
                <w:color w:val="auto"/>
                <w:kern w:val="0"/>
                <w:szCs w:val="21"/>
                <w:highlight w:val="none"/>
              </w:rPr>
            </w:pPr>
            <w:r>
              <w:rPr>
                <w:b/>
                <w:color w:val="auto"/>
                <w:kern w:val="0"/>
                <w:szCs w:val="21"/>
                <w:highlight w:val="none"/>
              </w:rPr>
              <w:t>3、</w:t>
            </w:r>
            <w:r>
              <w:rPr>
                <w:b/>
                <w:color w:val="auto"/>
                <w:highlight w:val="none"/>
              </w:rPr>
              <w:t>环境管理要求</w:t>
            </w:r>
          </w:p>
          <w:p>
            <w:pPr>
              <w:pStyle w:val="53"/>
              <w:ind w:firstLine="482"/>
              <w:rPr>
                <w:color w:val="auto"/>
                <w:highlight w:val="none"/>
              </w:rPr>
            </w:pPr>
            <w:r>
              <w:rPr>
                <w:color w:val="auto"/>
                <w:highlight w:val="none"/>
              </w:rPr>
              <w:t>(1)一般工业固体废物</w:t>
            </w:r>
          </w:p>
          <w:p>
            <w:pPr>
              <w:ind w:firstLine="480"/>
              <w:rPr>
                <w:color w:val="auto"/>
                <w:highlight w:val="none"/>
              </w:rPr>
            </w:pPr>
            <w:r>
              <w:rPr>
                <w:color w:val="auto"/>
                <w:highlight w:val="none"/>
              </w:rPr>
              <w:t>项目一般工业固体废物的贮存注意事项如下：</w:t>
            </w:r>
          </w:p>
          <w:p>
            <w:pPr>
              <w:ind w:firstLine="480"/>
              <w:rPr>
                <w:color w:val="auto"/>
                <w:highlight w:val="none"/>
              </w:rPr>
            </w:pPr>
            <w:r>
              <w:rPr>
                <w:color w:val="auto"/>
                <w:highlight w:val="none"/>
              </w:rPr>
              <w:t>项目</w:t>
            </w:r>
            <w:r>
              <w:rPr>
                <w:rFonts w:hint="eastAsia"/>
                <w:color w:val="auto"/>
                <w:kern w:val="0"/>
                <w:szCs w:val="21"/>
                <w:highlight w:val="none"/>
              </w:rPr>
              <w:t>布袋除尘器粉尘</w:t>
            </w:r>
            <w:r>
              <w:rPr>
                <w:color w:val="auto"/>
                <w:highlight w:val="none"/>
              </w:rPr>
              <w:t>不属于危险废物，且存放过程中不产生渗滤液，项目</w:t>
            </w:r>
            <w:r>
              <w:rPr>
                <w:rFonts w:hint="eastAsia"/>
                <w:color w:val="auto"/>
                <w:kern w:val="0"/>
                <w:szCs w:val="21"/>
                <w:highlight w:val="none"/>
              </w:rPr>
              <w:t>布袋除尘器粉尘</w:t>
            </w:r>
            <w:r>
              <w:rPr>
                <w:color w:val="auto"/>
                <w:highlight w:val="none"/>
              </w:rPr>
              <w:t>回用于生产。</w:t>
            </w:r>
          </w:p>
          <w:p>
            <w:pPr>
              <w:ind w:firstLine="480"/>
              <w:rPr>
                <w:color w:val="auto"/>
                <w:highlight w:val="none"/>
              </w:rPr>
            </w:pPr>
            <w:r>
              <w:rPr>
                <w:color w:val="auto"/>
                <w:highlight w:val="none"/>
              </w:rPr>
              <w:t>企业需自觉履行固体废物申报登记制度。一般工业固体申报管理应认真落实《中华人民共和国固体废物污染环境防治法》第三十二条规定；国家实行工业固体废物申报登记制度。产生工业固体废物的单位必须按照国务院保护行政主管部门的规定，向所在地县级以上人民政府环境保护行政主管部门提供工业固体废物的种类、产生量、流向、贮存、处置等有关资料。</w:t>
            </w:r>
          </w:p>
          <w:p>
            <w:pPr>
              <w:ind w:firstLine="480"/>
              <w:rPr>
                <w:color w:val="auto"/>
                <w:highlight w:val="none"/>
              </w:rPr>
            </w:pPr>
            <w:r>
              <w:rPr>
                <w:color w:val="auto"/>
                <w:highlight w:val="none"/>
              </w:rPr>
              <w:t>一般工业固体废物产生单位必须如实申报正常作业条件下工业固体废物的种类、产生量、流向、贮存、利用、处置状况等有关资料，以及执行有关法律、法规的真实情况，不得隐瞒不报或者虚报、谎报。一般工业固体废物产生单位应于网上申报登记上一年度的信息，通过省固体废物管理信息平台依法申报固体废物的种类、产生量、流向、交接、贮存、利用、处置情况；申报企业要签署承诺书，依法向县级环保部门申报登记信息，确保申报数据的真实性、准确性和完整性。</w:t>
            </w:r>
          </w:p>
          <w:p>
            <w:pPr>
              <w:ind w:firstLine="480"/>
              <w:rPr>
                <w:color w:val="auto"/>
                <w:highlight w:val="none"/>
              </w:rPr>
            </w:pPr>
            <w:r>
              <w:rPr>
                <w:color w:val="auto"/>
                <w:highlight w:val="none"/>
              </w:rPr>
              <w:t>一般工业固体废物的贮存设施、场所必须采取防扬散、防流失、防渗漏或者其他防止污染环境的措施，必须符合国家环境保护标准，并对未处理的固体废物做出妥善处理，安全存放。对暂时不利用或者不能回收利用的一般工业固体废物，必须配套建设防雨淋、防渗漏、易识别等符合环境保护标准和管理要求的贮存设施或场所，以及足够的流转空间，按国家环境保护的技术和管理要求，有专人看管，建立便于核查的进、出物料的台账记录和固体废物明细表。</w:t>
            </w:r>
          </w:p>
          <w:p>
            <w:pPr>
              <w:pStyle w:val="53"/>
              <w:ind w:firstLine="482"/>
              <w:rPr>
                <w:color w:val="auto"/>
                <w:highlight w:val="none"/>
              </w:rPr>
            </w:pPr>
            <w:r>
              <w:rPr>
                <w:color w:val="auto"/>
                <w:highlight w:val="none"/>
              </w:rPr>
              <w:t>(2)危险废物</w:t>
            </w:r>
          </w:p>
          <w:p>
            <w:pPr>
              <w:ind w:firstLine="480"/>
              <w:rPr>
                <w:color w:val="auto"/>
                <w:highlight w:val="none"/>
              </w:rPr>
            </w:pPr>
            <w:r>
              <w:rPr>
                <w:color w:val="auto"/>
                <w:highlight w:val="none"/>
              </w:rPr>
              <w:t>项目危险废物的贮存注意事项如下：</w:t>
            </w:r>
          </w:p>
          <w:p>
            <w:pPr>
              <w:ind w:firstLine="480"/>
              <w:rPr>
                <w:color w:val="auto"/>
                <w:highlight w:val="none"/>
              </w:rPr>
            </w:pPr>
            <w:r>
              <w:rPr>
                <w:color w:val="auto"/>
                <w:highlight w:val="none"/>
              </w:rPr>
              <w:t>危险仓库按照《危险废物贮存污染控制指标》(GB18597-2001)及其2013年修改单的有关规范进行建设与维护，可保证各危险废物能得到妥善的贮存和处理，因此对周边环境的影响较小。贮存设施必须符合以下要求：</w:t>
            </w:r>
          </w:p>
          <w:p>
            <w:pPr>
              <w:ind w:firstLine="480"/>
              <w:rPr>
                <w:color w:val="auto"/>
                <w:highlight w:val="none"/>
              </w:rPr>
            </w:pPr>
            <w:r>
              <w:rPr>
                <w:color w:val="auto"/>
                <w:highlight w:val="none"/>
              </w:rPr>
              <w:t>1)性质类似的废物收集到同一容器中，性质不相容的危险废物分别存放；</w:t>
            </w:r>
          </w:p>
          <w:p>
            <w:pPr>
              <w:ind w:firstLine="480"/>
              <w:rPr>
                <w:color w:val="auto"/>
                <w:highlight w:val="none"/>
              </w:rPr>
            </w:pPr>
            <w:r>
              <w:rPr>
                <w:color w:val="auto"/>
                <w:highlight w:val="none"/>
              </w:rPr>
              <w:t>2)危险废物采用密闭桶包装/散装堆放贮存在危险废物仓库内，危险废物仓库位于室内，防风、防雨、防晒；</w:t>
            </w:r>
          </w:p>
          <w:p>
            <w:pPr>
              <w:ind w:firstLine="480"/>
              <w:rPr>
                <w:color w:val="auto"/>
                <w:highlight w:val="none"/>
              </w:rPr>
            </w:pPr>
            <w:r>
              <w:rPr>
                <w:color w:val="auto"/>
                <w:highlight w:val="none"/>
              </w:rPr>
              <w:t>3)按《环境保护图形标志(固体废物贮存场)》的规定设置警示标志；</w:t>
            </w:r>
          </w:p>
          <w:p>
            <w:pPr>
              <w:ind w:firstLine="480"/>
              <w:rPr>
                <w:color w:val="auto"/>
                <w:highlight w:val="none"/>
              </w:rPr>
            </w:pPr>
            <w:r>
              <w:rPr>
                <w:color w:val="auto"/>
                <w:highlight w:val="none"/>
              </w:rPr>
              <w:t>4)定期对所贮存的危险废物包装容器及贮存设施进行检查，如发现破损，及时采取措施进行清理更换；</w:t>
            </w:r>
          </w:p>
          <w:p>
            <w:pPr>
              <w:ind w:firstLine="480"/>
              <w:rPr>
                <w:color w:val="auto"/>
                <w:highlight w:val="none"/>
              </w:rPr>
            </w:pPr>
            <w:r>
              <w:rPr>
                <w:color w:val="auto"/>
                <w:highlight w:val="none"/>
              </w:rPr>
              <w:t>5)根据生产需要合理设置贮存量，减少厂内的物料贮存量，产生的危险废物实行分类收集后置于贮存设施内，贮存时限一般不超过一年，并设专人管理；</w:t>
            </w:r>
          </w:p>
          <w:p>
            <w:pPr>
              <w:ind w:firstLine="480"/>
              <w:rPr>
                <w:color w:val="auto"/>
                <w:highlight w:val="none"/>
              </w:rPr>
            </w:pPr>
            <w:r>
              <w:rPr>
                <w:color w:val="auto"/>
                <w:highlight w:val="none"/>
              </w:rPr>
              <w:t>6)室内上墙固废管理制度和固废产生工艺流程图及固废台账，台帐如实记载产生危险废物的种类、数量、利用、贮存、处置、流向等信息，以此作为向当地环保部门申报危险废物管理计划的编制依据。</w:t>
            </w:r>
          </w:p>
          <w:p>
            <w:pPr>
              <w:ind w:firstLine="480"/>
              <w:rPr>
                <w:color w:val="auto"/>
                <w:highlight w:val="none"/>
              </w:rPr>
            </w:pPr>
            <w:r>
              <w:rPr>
                <w:color w:val="auto"/>
                <w:highlight w:val="none"/>
              </w:rPr>
              <w:t>综上所述，项目危险废物仓库与《危险废物贮存污染控制标准》(GB18597-2001)及(2013年修改单)是相符的。</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建目危险废物仓库基本情况表</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49"/>
              <w:gridCol w:w="1317"/>
              <w:gridCol w:w="1365"/>
              <w:gridCol w:w="1159"/>
              <w:gridCol w:w="768"/>
              <w:gridCol w:w="76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0" w:type="pct"/>
                  <w:vAlign w:val="center"/>
                </w:tcPr>
                <w:p>
                  <w:pPr>
                    <w:pStyle w:val="54"/>
                    <w:rPr>
                      <w:color w:val="auto"/>
                      <w:highlight w:val="none"/>
                    </w:rPr>
                  </w:pPr>
                  <w:r>
                    <w:rPr>
                      <w:color w:val="auto"/>
                      <w:highlight w:val="none"/>
                    </w:rPr>
                    <w:t>贮存场所名称</w:t>
                  </w:r>
                </w:p>
              </w:tc>
              <w:tc>
                <w:tcPr>
                  <w:tcW w:w="692" w:type="pct"/>
                  <w:vAlign w:val="center"/>
                </w:tcPr>
                <w:p>
                  <w:pPr>
                    <w:pStyle w:val="54"/>
                    <w:rPr>
                      <w:color w:val="auto"/>
                      <w:highlight w:val="none"/>
                    </w:rPr>
                  </w:pPr>
                  <w:r>
                    <w:rPr>
                      <w:color w:val="auto"/>
                      <w:highlight w:val="none"/>
                    </w:rPr>
                    <w:t>危险废物名称</w:t>
                  </w:r>
                </w:p>
              </w:tc>
              <w:tc>
                <w:tcPr>
                  <w:tcW w:w="793" w:type="pct"/>
                  <w:vAlign w:val="center"/>
                </w:tcPr>
                <w:p>
                  <w:pPr>
                    <w:pStyle w:val="54"/>
                    <w:rPr>
                      <w:color w:val="auto"/>
                      <w:highlight w:val="none"/>
                    </w:rPr>
                  </w:pPr>
                  <w:r>
                    <w:rPr>
                      <w:color w:val="auto"/>
                      <w:highlight w:val="none"/>
                    </w:rPr>
                    <w:t>废物类别</w:t>
                  </w:r>
                </w:p>
              </w:tc>
              <w:tc>
                <w:tcPr>
                  <w:tcW w:w="822" w:type="pct"/>
                  <w:vAlign w:val="center"/>
                </w:tcPr>
                <w:p>
                  <w:pPr>
                    <w:pStyle w:val="54"/>
                    <w:rPr>
                      <w:color w:val="auto"/>
                      <w:highlight w:val="none"/>
                    </w:rPr>
                  </w:pPr>
                  <w:r>
                    <w:rPr>
                      <w:color w:val="auto"/>
                      <w:highlight w:val="none"/>
                    </w:rPr>
                    <w:t>废物代码</w:t>
                  </w:r>
                </w:p>
              </w:tc>
              <w:tc>
                <w:tcPr>
                  <w:tcW w:w="698" w:type="pct"/>
                  <w:vAlign w:val="center"/>
                </w:tcPr>
                <w:p>
                  <w:pPr>
                    <w:pStyle w:val="54"/>
                    <w:rPr>
                      <w:color w:val="auto"/>
                      <w:highlight w:val="none"/>
                    </w:rPr>
                  </w:pPr>
                  <w:r>
                    <w:rPr>
                      <w:color w:val="auto"/>
                      <w:highlight w:val="none"/>
                    </w:rPr>
                    <w:t>包装方式</w:t>
                  </w:r>
                </w:p>
              </w:tc>
              <w:tc>
                <w:tcPr>
                  <w:tcW w:w="463" w:type="pct"/>
                  <w:vAlign w:val="center"/>
                </w:tcPr>
                <w:p>
                  <w:pPr>
                    <w:pStyle w:val="54"/>
                    <w:rPr>
                      <w:color w:val="auto"/>
                      <w:highlight w:val="none"/>
                    </w:rPr>
                  </w:pPr>
                  <w:r>
                    <w:rPr>
                      <w:color w:val="auto"/>
                      <w:highlight w:val="none"/>
                    </w:rPr>
                    <w:t>占地面积</w:t>
                  </w:r>
                </w:p>
              </w:tc>
              <w:tc>
                <w:tcPr>
                  <w:tcW w:w="463" w:type="pct"/>
                  <w:vAlign w:val="center"/>
                </w:tcPr>
                <w:p>
                  <w:pPr>
                    <w:pStyle w:val="54"/>
                    <w:rPr>
                      <w:color w:val="auto"/>
                      <w:highlight w:val="none"/>
                    </w:rPr>
                  </w:pPr>
                  <w:r>
                    <w:rPr>
                      <w:color w:val="auto"/>
                      <w:highlight w:val="none"/>
                    </w:rPr>
                    <w:t>贮存能力</w:t>
                  </w:r>
                </w:p>
              </w:tc>
              <w:tc>
                <w:tcPr>
                  <w:tcW w:w="464" w:type="pct"/>
                  <w:vAlign w:val="center"/>
                </w:tcPr>
                <w:p>
                  <w:pPr>
                    <w:pStyle w:val="54"/>
                    <w:rPr>
                      <w:color w:val="auto"/>
                      <w:highlight w:val="none"/>
                    </w:rPr>
                  </w:pPr>
                  <w:r>
                    <w:rPr>
                      <w:color w:val="auto"/>
                      <w:highlight w:val="non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0" w:type="pct"/>
                  <w:vMerge w:val="restart"/>
                  <w:vAlign w:val="center"/>
                </w:tcPr>
                <w:p>
                  <w:pPr>
                    <w:pStyle w:val="55"/>
                    <w:ind w:left="0" w:leftChars="0" w:right="0" w:rightChars="0"/>
                    <w:rPr>
                      <w:color w:val="auto"/>
                      <w:highlight w:val="none"/>
                    </w:rPr>
                  </w:pPr>
                  <w:r>
                    <w:rPr>
                      <w:color w:val="auto"/>
                      <w:highlight w:val="none"/>
                    </w:rPr>
                    <w:t>危险废物仓库</w:t>
                  </w:r>
                </w:p>
              </w:tc>
              <w:tc>
                <w:tcPr>
                  <w:tcW w:w="692" w:type="pct"/>
                  <w:vAlign w:val="center"/>
                </w:tcPr>
                <w:p>
                  <w:pPr>
                    <w:pStyle w:val="55"/>
                    <w:ind w:left="0" w:leftChars="0" w:right="0" w:rightChars="0"/>
                    <w:rPr>
                      <w:color w:val="auto"/>
                      <w:highlight w:val="none"/>
                    </w:rPr>
                  </w:pPr>
                  <w:r>
                    <w:rPr>
                      <w:color w:val="auto"/>
                      <w:highlight w:val="none"/>
                    </w:rPr>
                    <w:t>废</w:t>
                  </w:r>
                  <w:r>
                    <w:rPr>
                      <w:rFonts w:hint="eastAsia"/>
                      <w:color w:val="auto"/>
                      <w:highlight w:val="none"/>
                    </w:rPr>
                    <w:t>机油</w:t>
                  </w:r>
                </w:p>
              </w:tc>
              <w:tc>
                <w:tcPr>
                  <w:tcW w:w="793" w:type="pct"/>
                  <w:vAlign w:val="center"/>
                </w:tcPr>
                <w:p>
                  <w:pPr>
                    <w:pStyle w:val="55"/>
                    <w:ind w:left="0" w:leftChars="0" w:right="0" w:rightChars="0"/>
                    <w:rPr>
                      <w:color w:val="auto"/>
                      <w:highlight w:val="none"/>
                    </w:rPr>
                  </w:pPr>
                  <w:r>
                    <w:rPr>
                      <w:color w:val="auto"/>
                      <w:highlight w:val="none"/>
                    </w:rPr>
                    <w:t>HW49</w:t>
                  </w:r>
                </w:p>
              </w:tc>
              <w:tc>
                <w:tcPr>
                  <w:tcW w:w="822" w:type="pct"/>
                  <w:vAlign w:val="center"/>
                </w:tcPr>
                <w:p>
                  <w:pPr>
                    <w:pStyle w:val="55"/>
                    <w:ind w:left="0" w:leftChars="0" w:right="0" w:rightChars="0"/>
                    <w:rPr>
                      <w:color w:val="auto"/>
                      <w:highlight w:val="none"/>
                    </w:rPr>
                  </w:pPr>
                  <w:r>
                    <w:rPr>
                      <w:bCs/>
                      <w:color w:val="auto"/>
                      <w:highlight w:val="none"/>
                    </w:rPr>
                    <w:t>900-249-08</w:t>
                  </w:r>
                </w:p>
              </w:tc>
              <w:tc>
                <w:tcPr>
                  <w:tcW w:w="698" w:type="pct"/>
                  <w:vAlign w:val="center"/>
                </w:tcPr>
                <w:p>
                  <w:pPr>
                    <w:pStyle w:val="55"/>
                    <w:ind w:left="0" w:leftChars="0" w:right="0" w:rightChars="0"/>
                    <w:rPr>
                      <w:color w:val="auto"/>
                      <w:highlight w:val="none"/>
                    </w:rPr>
                  </w:pPr>
                  <w:r>
                    <w:rPr>
                      <w:color w:val="auto"/>
                      <w:highlight w:val="none"/>
                    </w:rPr>
                    <w:t>密闭桶</w:t>
                  </w:r>
                </w:p>
              </w:tc>
              <w:tc>
                <w:tcPr>
                  <w:tcW w:w="463" w:type="pct"/>
                  <w:vMerge w:val="restart"/>
                  <w:vAlign w:val="center"/>
                </w:tcPr>
                <w:p>
                  <w:pPr>
                    <w:pStyle w:val="55"/>
                    <w:ind w:left="0" w:leftChars="0" w:right="0" w:rightChars="0"/>
                    <w:rPr>
                      <w:color w:val="auto"/>
                      <w:highlight w:val="none"/>
                    </w:rPr>
                  </w:pPr>
                  <w:r>
                    <w:rPr>
                      <w:rFonts w:hint="eastAsia"/>
                      <w:color w:val="auto"/>
                      <w:highlight w:val="none"/>
                    </w:rPr>
                    <w:t>10</w:t>
                  </w:r>
                  <w:r>
                    <w:rPr>
                      <w:color w:val="auto"/>
                      <w:highlight w:val="none"/>
                    </w:rPr>
                    <w:t>m</w:t>
                  </w:r>
                  <w:r>
                    <w:rPr>
                      <w:color w:val="auto"/>
                      <w:highlight w:val="none"/>
                      <w:vertAlign w:val="superscript"/>
                    </w:rPr>
                    <w:t>2</w:t>
                  </w:r>
                </w:p>
              </w:tc>
              <w:tc>
                <w:tcPr>
                  <w:tcW w:w="463" w:type="pct"/>
                  <w:vMerge w:val="restart"/>
                  <w:vAlign w:val="center"/>
                </w:tcPr>
                <w:p>
                  <w:pPr>
                    <w:pStyle w:val="55"/>
                    <w:ind w:left="0" w:leftChars="0" w:right="0" w:rightChars="0"/>
                    <w:rPr>
                      <w:color w:val="auto"/>
                      <w:highlight w:val="none"/>
                    </w:rPr>
                  </w:pPr>
                  <w:r>
                    <w:rPr>
                      <w:rFonts w:hint="eastAsia"/>
                      <w:color w:val="auto"/>
                      <w:highlight w:val="none"/>
                    </w:rPr>
                    <w:t>20</w:t>
                  </w:r>
                  <w:r>
                    <w:rPr>
                      <w:color w:val="auto"/>
                      <w:highlight w:val="none"/>
                    </w:rPr>
                    <w:t>t</w:t>
                  </w:r>
                </w:p>
              </w:tc>
              <w:tc>
                <w:tcPr>
                  <w:tcW w:w="464" w:type="pct"/>
                  <w:vMerge w:val="restart"/>
                  <w:vAlign w:val="center"/>
                </w:tcPr>
                <w:p>
                  <w:pPr>
                    <w:pStyle w:val="55"/>
                    <w:ind w:left="0" w:leftChars="0" w:right="0" w:rightChars="0"/>
                    <w:rPr>
                      <w:color w:val="auto"/>
                      <w:highlight w:val="none"/>
                    </w:rPr>
                  </w:pPr>
                  <w:r>
                    <w:rPr>
                      <w:color w:val="auto"/>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0" w:type="pct"/>
                  <w:vMerge w:val="continue"/>
                  <w:vAlign w:val="center"/>
                </w:tcPr>
                <w:p>
                  <w:pPr>
                    <w:pStyle w:val="55"/>
                    <w:ind w:left="0" w:leftChars="0" w:right="0" w:rightChars="0"/>
                    <w:rPr>
                      <w:color w:val="auto"/>
                      <w:highlight w:val="none"/>
                    </w:rPr>
                  </w:pPr>
                </w:p>
              </w:tc>
              <w:tc>
                <w:tcPr>
                  <w:tcW w:w="692" w:type="pct"/>
                  <w:vAlign w:val="center"/>
                </w:tcPr>
                <w:p>
                  <w:pPr>
                    <w:pStyle w:val="55"/>
                    <w:ind w:left="0" w:leftChars="0" w:right="0" w:rightChars="0"/>
                    <w:rPr>
                      <w:color w:val="auto"/>
                      <w:highlight w:val="none"/>
                    </w:rPr>
                  </w:pPr>
                  <w:r>
                    <w:rPr>
                      <w:color w:val="auto"/>
                      <w:highlight w:val="none"/>
                    </w:rPr>
                    <w:t>含油废抹布手套</w:t>
                  </w:r>
                </w:p>
              </w:tc>
              <w:tc>
                <w:tcPr>
                  <w:tcW w:w="793" w:type="pct"/>
                  <w:vAlign w:val="center"/>
                </w:tcPr>
                <w:p>
                  <w:pPr>
                    <w:pStyle w:val="55"/>
                    <w:ind w:left="0" w:leftChars="0" w:right="0" w:rightChars="0"/>
                    <w:rPr>
                      <w:color w:val="auto"/>
                      <w:highlight w:val="none"/>
                    </w:rPr>
                  </w:pPr>
                  <w:r>
                    <w:rPr>
                      <w:color w:val="auto"/>
                      <w:highlight w:val="none"/>
                    </w:rPr>
                    <w:t>HW49</w:t>
                  </w:r>
                </w:p>
              </w:tc>
              <w:tc>
                <w:tcPr>
                  <w:tcW w:w="822" w:type="pct"/>
                  <w:vAlign w:val="center"/>
                </w:tcPr>
                <w:p>
                  <w:pPr>
                    <w:pStyle w:val="55"/>
                    <w:ind w:left="0" w:leftChars="0" w:right="0" w:rightChars="0"/>
                    <w:rPr>
                      <w:color w:val="auto"/>
                      <w:highlight w:val="none"/>
                    </w:rPr>
                  </w:pPr>
                  <w:r>
                    <w:rPr>
                      <w:color w:val="auto"/>
                      <w:highlight w:val="none"/>
                    </w:rPr>
                    <w:t>900-041-49</w:t>
                  </w:r>
                </w:p>
              </w:tc>
              <w:tc>
                <w:tcPr>
                  <w:tcW w:w="698" w:type="pct"/>
                  <w:vAlign w:val="center"/>
                </w:tcPr>
                <w:p>
                  <w:pPr>
                    <w:pStyle w:val="55"/>
                    <w:ind w:left="0" w:leftChars="0" w:right="0" w:rightChars="0"/>
                    <w:rPr>
                      <w:color w:val="auto"/>
                      <w:highlight w:val="none"/>
                    </w:rPr>
                  </w:pPr>
                  <w:r>
                    <w:rPr>
                      <w:color w:val="auto"/>
                      <w:highlight w:val="none"/>
                    </w:rPr>
                    <w:t>袋装</w:t>
                  </w:r>
                </w:p>
              </w:tc>
              <w:tc>
                <w:tcPr>
                  <w:tcW w:w="463" w:type="pct"/>
                  <w:vMerge w:val="continue"/>
                  <w:vAlign w:val="center"/>
                </w:tcPr>
                <w:p>
                  <w:pPr>
                    <w:pStyle w:val="55"/>
                    <w:ind w:left="0" w:leftChars="0" w:right="0" w:rightChars="0"/>
                    <w:rPr>
                      <w:color w:val="auto"/>
                      <w:highlight w:val="none"/>
                    </w:rPr>
                  </w:pPr>
                </w:p>
              </w:tc>
              <w:tc>
                <w:tcPr>
                  <w:tcW w:w="463" w:type="pct"/>
                  <w:vMerge w:val="continue"/>
                  <w:vAlign w:val="center"/>
                </w:tcPr>
                <w:p>
                  <w:pPr>
                    <w:pStyle w:val="55"/>
                    <w:ind w:left="0" w:leftChars="0" w:right="0" w:rightChars="0"/>
                    <w:rPr>
                      <w:color w:val="auto"/>
                      <w:highlight w:val="none"/>
                    </w:rPr>
                  </w:pPr>
                </w:p>
              </w:tc>
              <w:tc>
                <w:tcPr>
                  <w:tcW w:w="464" w:type="pct"/>
                  <w:vMerge w:val="continue"/>
                  <w:vAlign w:val="center"/>
                </w:tcPr>
                <w:p>
                  <w:pPr>
                    <w:pStyle w:val="55"/>
                    <w:ind w:left="0" w:leftChars="0" w:right="0" w:rightChars="0"/>
                    <w:rPr>
                      <w:color w:val="auto"/>
                      <w:highlight w:val="none"/>
                    </w:rPr>
                  </w:pPr>
                </w:p>
              </w:tc>
            </w:tr>
          </w:tbl>
          <w:p>
            <w:pPr>
              <w:ind w:firstLine="480"/>
              <w:rPr>
                <w:color w:val="auto"/>
                <w:highlight w:val="none"/>
              </w:rPr>
            </w:pPr>
            <w:r>
              <w:rPr>
                <w:color w:val="auto"/>
                <w:highlight w:val="none"/>
              </w:rPr>
              <w:t>项目危险废物转移影响分析：</w:t>
            </w:r>
          </w:p>
          <w:p>
            <w:pPr>
              <w:ind w:firstLine="480"/>
              <w:rPr>
                <w:color w:val="auto"/>
                <w:highlight w:val="none"/>
              </w:rPr>
            </w:pPr>
            <w:r>
              <w:rPr>
                <w:color w:val="auto"/>
                <w:highlight w:val="none"/>
              </w:rPr>
              <w:t>危险废物经过收集包装后，需要运送到处置场进行处置。建设单位委托有资质的运输单位进行运输，运输者需认真核对运输清单、标记、选择合适的装载方式和适宜的运输工具，确定合理的运输路线及对泄漏或临时事故的应急措施。</w:t>
            </w:r>
          </w:p>
          <w:p>
            <w:pPr>
              <w:ind w:firstLine="480"/>
              <w:rPr>
                <w:color w:val="auto"/>
                <w:highlight w:val="none"/>
              </w:rPr>
            </w:pPr>
            <w:r>
              <w:rPr>
                <w:color w:val="auto"/>
                <w:highlight w:val="none"/>
              </w:rPr>
              <w:t>采用车辆运输方式收运危险废物时，应考虑对收运人员的培训、许可证的审核以及收运过程中的安全防护等。最经常采用的运输方式是公路运输，为保证安全，危险废物不能在车辆上进行压缩。为防止运输过程中危险废物泄漏对环境造成污染，运输车辆必须具有必要的安全的、密闭的装卸条件，对司机也应进行专业培训，执行系列的特殊规定。危险废物运载车辆应标有醒目的危险符号，危险废物承运者必须掌握所运危险废物的必要数据，并制定在出现危险废物泄漏事故时的应急措施等。</w:t>
            </w:r>
          </w:p>
          <w:p>
            <w:pPr>
              <w:pStyle w:val="13"/>
              <w:ind w:left="0" w:firstLine="422" w:firstLineChars="200"/>
              <w:rPr>
                <w:b/>
                <w:color w:val="auto"/>
                <w:kern w:val="0"/>
                <w:szCs w:val="21"/>
                <w:highlight w:val="none"/>
              </w:rPr>
            </w:pPr>
            <w:r>
              <w:rPr>
                <w:rFonts w:ascii="宋体" w:hAnsi="宋体"/>
                <w:b/>
                <w:color w:val="auto"/>
                <w:kern w:val="0"/>
                <w:szCs w:val="21"/>
                <w:highlight w:val="none"/>
              </w:rPr>
              <w:t>五、地下水、土壤</w:t>
            </w:r>
          </w:p>
          <w:p>
            <w:pPr>
              <w:pStyle w:val="13"/>
              <w:ind w:left="0" w:firstLine="422" w:firstLineChars="200"/>
              <w:rPr>
                <w:rFonts w:ascii="宋体" w:hAnsi="宋体"/>
                <w:b/>
                <w:color w:val="auto"/>
                <w:kern w:val="0"/>
                <w:szCs w:val="21"/>
                <w:highlight w:val="none"/>
              </w:rPr>
            </w:pPr>
            <w:r>
              <w:rPr>
                <w:rFonts w:hint="eastAsia" w:ascii="宋体" w:hAnsi="宋体"/>
                <w:b/>
                <w:color w:val="auto"/>
                <w:kern w:val="0"/>
                <w:szCs w:val="21"/>
                <w:highlight w:val="none"/>
              </w:rPr>
              <w:t>1、污染识别</w:t>
            </w:r>
          </w:p>
          <w:p>
            <w:pPr>
              <w:pStyle w:val="13"/>
              <w:ind w:left="0" w:firstLine="420" w:firstLineChars="200"/>
              <w:rPr>
                <w:rFonts w:ascii="宋体" w:hAnsi="宋体"/>
                <w:bCs/>
                <w:color w:val="auto"/>
                <w:kern w:val="0"/>
                <w:szCs w:val="21"/>
                <w:highlight w:val="none"/>
              </w:rPr>
            </w:pPr>
            <w:r>
              <w:rPr>
                <w:rFonts w:hint="eastAsia"/>
                <w:color w:val="auto"/>
                <w:highlight w:val="none"/>
              </w:rPr>
              <w:t>本项目主要工艺为投料、破碎、提升、风选研磨等，主要污染物为颗粒物，项目场地均已进行硬底化，无土壤、地下水污染途径</w:t>
            </w:r>
            <w:r>
              <w:rPr>
                <w:rFonts w:hint="eastAsia" w:ascii="宋体" w:hAnsi="宋体"/>
                <w:bCs/>
                <w:color w:val="auto"/>
                <w:kern w:val="0"/>
                <w:szCs w:val="21"/>
                <w:highlight w:val="none"/>
              </w:rPr>
              <w:t>。</w:t>
            </w:r>
          </w:p>
          <w:p>
            <w:pPr>
              <w:pStyle w:val="25"/>
              <w:spacing w:before="0" w:beforeAutospacing="0" w:after="0" w:afterAutospacing="0"/>
              <w:ind w:firstLine="422" w:firstLineChars="200"/>
              <w:jc w:val="both"/>
              <w:rPr>
                <w:rFonts w:ascii="Times New Roman" w:hAnsi="Times New Roman"/>
                <w:b/>
                <w:color w:val="auto"/>
                <w:sz w:val="21"/>
                <w:szCs w:val="21"/>
                <w:highlight w:val="none"/>
              </w:rPr>
            </w:pPr>
            <w:r>
              <w:rPr>
                <w:rFonts w:ascii="Times New Roman" w:hAnsi="Times New Roman"/>
                <w:b/>
                <w:color w:val="auto"/>
                <w:sz w:val="21"/>
                <w:szCs w:val="21"/>
                <w:highlight w:val="none"/>
                <w:lang w:bidi="ar"/>
              </w:rPr>
              <w:t>2、防护措施</w:t>
            </w:r>
          </w:p>
          <w:p>
            <w:pPr>
              <w:ind w:firstLine="420" w:firstLineChars="200"/>
              <w:rPr>
                <w:color w:val="auto"/>
                <w:szCs w:val="21"/>
                <w:highlight w:val="none"/>
              </w:rPr>
            </w:pPr>
            <w:r>
              <w:rPr>
                <w:color w:val="auto"/>
                <w:szCs w:val="21"/>
                <w:highlight w:val="none"/>
                <w:lang w:bidi="ar"/>
              </w:rPr>
              <w:t>项目拟采用的分区保护措施如下表：</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地下水、土壤分区防护措施一览表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06"/>
              <w:gridCol w:w="1470"/>
              <w:gridCol w:w="5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区域</w:t>
                  </w:r>
                </w:p>
              </w:tc>
              <w:tc>
                <w:tcPr>
                  <w:tcW w:w="1470"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潜在污染源</w:t>
                  </w:r>
                </w:p>
              </w:tc>
              <w:tc>
                <w:tcPr>
                  <w:tcW w:w="5084"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tcBorders>
                    <w:top w:val="nil"/>
                    <w:left w:val="single" w:color="auto" w:sz="4" w:space="0"/>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重点防渗区</w:t>
                  </w:r>
                </w:p>
              </w:tc>
              <w:tc>
                <w:tcPr>
                  <w:tcW w:w="906" w:type="dxa"/>
                  <w:tcBorders>
                    <w:top w:val="nil"/>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危险废物仓库</w:t>
                  </w:r>
                </w:p>
              </w:tc>
              <w:tc>
                <w:tcPr>
                  <w:tcW w:w="1470"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废</w:t>
                  </w:r>
                  <w:r>
                    <w:rPr>
                      <w:rFonts w:hint="eastAsia"/>
                      <w:color w:val="auto"/>
                      <w:sz w:val="21"/>
                      <w:szCs w:val="21"/>
                      <w:highlight w:val="none"/>
                      <w:lang w:bidi="ar"/>
                    </w:rPr>
                    <w:t>机油、废含油抹布手套</w:t>
                  </w:r>
                </w:p>
              </w:tc>
              <w:tc>
                <w:tcPr>
                  <w:tcW w:w="5084"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rFonts w:ascii="Times New Roman" w:hAnsi="Times New Roman"/>
                      <w:color w:val="auto"/>
                      <w:sz w:val="21"/>
                      <w:szCs w:val="21"/>
                      <w:highlight w:val="none"/>
                      <w:lang w:bidi="ar"/>
                    </w:rPr>
                    <w:t>做好防风挡雨措施；地面做好防腐、防渗措施；仓库门口设置漫坡。符合《危险废物贮存污染控制标准》(GB18597-2001)及2013年修订单的要求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vMerge w:val="restart"/>
                  <w:tcBorders>
                    <w:top w:val="nil"/>
                    <w:left w:val="single" w:color="auto" w:sz="4" w:space="0"/>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一般防渗区</w:t>
                  </w:r>
                </w:p>
              </w:tc>
              <w:tc>
                <w:tcPr>
                  <w:tcW w:w="906" w:type="dxa"/>
                  <w:vMerge w:val="restart"/>
                  <w:tcBorders>
                    <w:top w:val="nil"/>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生活区</w:t>
                  </w:r>
                </w:p>
              </w:tc>
              <w:tc>
                <w:tcPr>
                  <w:tcW w:w="1470"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生活污水</w:t>
                  </w:r>
                </w:p>
              </w:tc>
              <w:tc>
                <w:tcPr>
                  <w:tcW w:w="5084"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定期检查污水收集管道，确保无裂缝、无渗漏，每年对化粪池清淤一次，避免堵塞漫流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spacing w:line="240" w:lineRule="auto"/>
                    <w:jc w:val="center"/>
                    <w:rPr>
                      <w:color w:val="auto"/>
                      <w:sz w:val="20"/>
                      <w:szCs w:val="20"/>
                      <w:highlight w:val="none"/>
                    </w:rPr>
                  </w:pPr>
                </w:p>
              </w:tc>
              <w:tc>
                <w:tcPr>
                  <w:tcW w:w="906" w:type="dxa"/>
                  <w:vMerge w:val="continue"/>
                  <w:tcBorders>
                    <w:top w:val="nil"/>
                    <w:left w:val="nil"/>
                    <w:bottom w:val="single" w:color="auto" w:sz="4" w:space="0"/>
                    <w:right w:val="single" w:color="auto" w:sz="4" w:space="0"/>
                  </w:tcBorders>
                  <w:vAlign w:val="center"/>
                </w:tcPr>
                <w:p>
                  <w:pPr>
                    <w:spacing w:line="240" w:lineRule="auto"/>
                    <w:jc w:val="center"/>
                    <w:rPr>
                      <w:color w:val="auto"/>
                      <w:sz w:val="20"/>
                      <w:szCs w:val="20"/>
                      <w:highlight w:val="none"/>
                    </w:rPr>
                  </w:pPr>
                </w:p>
              </w:tc>
              <w:tc>
                <w:tcPr>
                  <w:tcW w:w="1470"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生活垃圾</w:t>
                  </w:r>
                </w:p>
              </w:tc>
              <w:tc>
                <w:tcPr>
                  <w:tcW w:w="5084" w:type="dxa"/>
                  <w:tcBorders>
                    <w:top w:val="single" w:color="auto" w:sz="4" w:space="0"/>
                    <w:left w:val="nil"/>
                    <w:bottom w:val="single" w:color="auto" w:sz="4" w:space="0"/>
                    <w:right w:val="single" w:color="auto" w:sz="4" w:space="0"/>
                  </w:tcBorders>
                  <w:vAlign w:val="center"/>
                </w:tcPr>
                <w:p>
                  <w:pPr>
                    <w:pStyle w:val="25"/>
                    <w:spacing w:before="0" w:beforeAutospacing="0" w:after="0" w:afterAutospacing="0" w:line="240" w:lineRule="auto"/>
                    <w:jc w:val="center"/>
                    <w:rPr>
                      <w:color w:val="auto"/>
                      <w:sz w:val="21"/>
                      <w:szCs w:val="21"/>
                      <w:highlight w:val="none"/>
                    </w:rPr>
                  </w:pPr>
                  <w:r>
                    <w:rPr>
                      <w:color w:val="auto"/>
                      <w:sz w:val="21"/>
                      <w:szCs w:val="21"/>
                      <w:highlight w:val="none"/>
                      <w:lang w:bidi="ar"/>
                    </w:rPr>
                    <w:t>设置在厂区内，做好收集工作，做好地面防渗措施</w:t>
                  </w:r>
                </w:p>
              </w:tc>
            </w:tr>
          </w:tbl>
          <w:p>
            <w:pPr>
              <w:pStyle w:val="13"/>
              <w:ind w:left="0" w:firstLine="422" w:firstLineChars="200"/>
              <w:rPr>
                <w:rFonts w:ascii="宋体" w:hAnsi="宋体"/>
                <w:b/>
                <w:color w:val="auto"/>
                <w:kern w:val="0"/>
                <w:szCs w:val="21"/>
                <w:highlight w:val="none"/>
              </w:rPr>
            </w:pPr>
            <w:r>
              <w:rPr>
                <w:rFonts w:hint="eastAsia" w:ascii="宋体" w:hAnsi="宋体"/>
                <w:b/>
                <w:color w:val="auto"/>
                <w:kern w:val="0"/>
                <w:szCs w:val="21"/>
                <w:highlight w:val="none"/>
              </w:rPr>
              <w:t>六、生态</w:t>
            </w:r>
          </w:p>
          <w:p>
            <w:pPr>
              <w:pStyle w:val="13"/>
              <w:ind w:left="0" w:firstLine="420" w:firstLineChars="200"/>
              <w:rPr>
                <w:rFonts w:ascii="宋体" w:hAnsi="宋体"/>
                <w:bCs/>
                <w:color w:val="auto"/>
                <w:kern w:val="0"/>
                <w:szCs w:val="21"/>
                <w:highlight w:val="none"/>
              </w:rPr>
            </w:pPr>
            <w:r>
              <w:rPr>
                <w:rFonts w:hint="eastAsia" w:ascii="宋体" w:hAnsi="宋体"/>
                <w:bCs/>
                <w:color w:val="auto"/>
                <w:kern w:val="0"/>
                <w:szCs w:val="21"/>
                <w:highlight w:val="none"/>
              </w:rPr>
              <w:t>项目使用原有已建成工业厂房，无新增用地，不符合用地范围内有生态敏感目标的条件。</w:t>
            </w:r>
          </w:p>
          <w:p>
            <w:pPr>
              <w:pStyle w:val="13"/>
              <w:ind w:left="0" w:firstLine="422" w:firstLineChars="200"/>
              <w:rPr>
                <w:b/>
                <w:color w:val="auto"/>
                <w:kern w:val="0"/>
                <w:szCs w:val="21"/>
                <w:highlight w:val="none"/>
              </w:rPr>
            </w:pPr>
            <w:r>
              <w:rPr>
                <w:rFonts w:hint="eastAsia" w:ascii="宋体" w:hAnsi="宋体"/>
                <w:b/>
                <w:color w:val="auto"/>
                <w:kern w:val="0"/>
                <w:szCs w:val="21"/>
                <w:highlight w:val="none"/>
              </w:rPr>
              <w:t>七、</w:t>
            </w:r>
            <w:r>
              <w:rPr>
                <w:rFonts w:ascii="宋体" w:hAnsi="宋体"/>
                <w:b/>
                <w:color w:val="auto"/>
                <w:kern w:val="0"/>
                <w:szCs w:val="21"/>
                <w:highlight w:val="none"/>
              </w:rPr>
              <w:t>环境风险</w:t>
            </w:r>
          </w:p>
          <w:p>
            <w:pPr>
              <w:ind w:firstLine="420" w:firstLineChars="200"/>
              <w:rPr>
                <w:color w:val="auto"/>
                <w:kern w:val="0"/>
                <w:szCs w:val="21"/>
                <w:highlight w:val="none"/>
              </w:rPr>
            </w:pPr>
            <w:r>
              <w:rPr>
                <w:rFonts w:hint="eastAsia"/>
                <w:color w:val="auto"/>
                <w:kern w:val="0"/>
                <w:szCs w:val="21"/>
                <w:highlight w:val="none"/>
              </w:rPr>
              <w:t>1、Q值计算</w:t>
            </w:r>
          </w:p>
          <w:p>
            <w:pPr>
              <w:ind w:firstLine="420" w:firstLineChars="200"/>
              <w:rPr>
                <w:color w:val="auto"/>
                <w:kern w:val="0"/>
                <w:szCs w:val="21"/>
                <w:highlight w:val="none"/>
              </w:rPr>
            </w:pPr>
            <w:r>
              <w:rPr>
                <w:color w:val="auto"/>
                <w:szCs w:val="21"/>
                <w:highlight w:val="none"/>
              </w:rPr>
              <w:t>本项目的废机油属于</w:t>
            </w:r>
            <w:r>
              <w:rPr>
                <w:color w:val="auto"/>
                <w:kern w:val="0"/>
                <w:szCs w:val="21"/>
                <w:highlight w:val="none"/>
              </w:rPr>
              <w:t>《建设项目环境风险评价技术导则》（HJ169-2018）中“附录B”所列风险物质</w:t>
            </w:r>
            <w:r>
              <w:rPr>
                <w:rFonts w:hint="eastAsia"/>
                <w:color w:val="auto"/>
                <w:kern w:val="0"/>
                <w:szCs w:val="21"/>
                <w:highlight w:val="none"/>
              </w:rPr>
              <w:t>，因此本项目涉及的风险物质为废机油。</w:t>
            </w:r>
          </w:p>
          <w:p>
            <w:pPr>
              <w:pStyle w:val="46"/>
              <w:numPr>
                <w:ilvl w:val="8"/>
                <w:numId w:val="8"/>
              </w:numPr>
              <w:autoSpaceDE w:val="0"/>
              <w:autoSpaceDN w:val="0"/>
              <w:adjustRightInd w:val="0"/>
              <w:snapToGrid w:val="0"/>
              <w:spacing w:line="240" w:lineRule="auto"/>
              <w:ind w:firstLineChars="0"/>
              <w:jc w:val="center"/>
              <w:rPr>
                <w:b/>
                <w:color w:val="auto"/>
                <w:kern w:val="0"/>
                <w:szCs w:val="21"/>
                <w:highlight w:val="none"/>
              </w:rPr>
            </w:pPr>
            <w:r>
              <w:rPr>
                <w:rFonts w:hint="eastAsia"/>
                <w:b/>
                <w:color w:val="auto"/>
                <w:kern w:val="0"/>
                <w:szCs w:val="21"/>
                <w:highlight w:val="none"/>
              </w:rPr>
              <w:t>项目环境风险Q值核算表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037"/>
              <w:gridCol w:w="1687"/>
              <w:gridCol w:w="2171"/>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1" w:type="pct"/>
                  <w:vAlign w:val="center"/>
                </w:tcPr>
                <w:p>
                  <w:pPr>
                    <w:spacing w:line="240" w:lineRule="auto"/>
                    <w:jc w:val="center"/>
                    <w:rPr>
                      <w:color w:val="auto"/>
                      <w:szCs w:val="21"/>
                      <w:highlight w:val="none"/>
                    </w:rPr>
                  </w:pPr>
                  <w:r>
                    <w:rPr>
                      <w:color w:val="auto"/>
                      <w:szCs w:val="21"/>
                      <w:highlight w:val="none"/>
                    </w:rPr>
                    <w:t>序号</w:t>
                  </w:r>
                </w:p>
              </w:tc>
              <w:tc>
                <w:tcPr>
                  <w:tcW w:w="1227" w:type="pct"/>
                  <w:vAlign w:val="center"/>
                </w:tcPr>
                <w:p>
                  <w:pPr>
                    <w:spacing w:line="240" w:lineRule="auto"/>
                    <w:jc w:val="center"/>
                    <w:rPr>
                      <w:color w:val="auto"/>
                      <w:szCs w:val="21"/>
                      <w:highlight w:val="none"/>
                    </w:rPr>
                  </w:pPr>
                  <w:r>
                    <w:rPr>
                      <w:rFonts w:hint="eastAsia"/>
                      <w:color w:val="auto"/>
                      <w:szCs w:val="21"/>
                      <w:highlight w:val="none"/>
                    </w:rPr>
                    <w:t>危险</w:t>
                  </w:r>
                  <w:r>
                    <w:rPr>
                      <w:color w:val="auto"/>
                      <w:szCs w:val="21"/>
                      <w:highlight w:val="none"/>
                    </w:rPr>
                    <w:t>物质名称</w:t>
                  </w:r>
                </w:p>
              </w:tc>
              <w:tc>
                <w:tcPr>
                  <w:tcW w:w="1016" w:type="pct"/>
                  <w:vAlign w:val="center"/>
                </w:tcPr>
                <w:p>
                  <w:pPr>
                    <w:spacing w:line="240" w:lineRule="auto"/>
                    <w:jc w:val="center"/>
                    <w:rPr>
                      <w:color w:val="auto"/>
                      <w:szCs w:val="21"/>
                      <w:highlight w:val="none"/>
                    </w:rPr>
                  </w:pPr>
                  <w:r>
                    <w:rPr>
                      <w:color w:val="auto"/>
                      <w:szCs w:val="21"/>
                      <w:highlight w:val="none"/>
                    </w:rPr>
                    <w:t>临界量（t）</w:t>
                  </w:r>
                </w:p>
              </w:tc>
              <w:tc>
                <w:tcPr>
                  <w:tcW w:w="1307" w:type="pct"/>
                  <w:vAlign w:val="center"/>
                </w:tcPr>
                <w:p>
                  <w:pPr>
                    <w:spacing w:line="240" w:lineRule="auto"/>
                    <w:jc w:val="center"/>
                    <w:rPr>
                      <w:color w:val="auto"/>
                      <w:szCs w:val="21"/>
                      <w:highlight w:val="none"/>
                    </w:rPr>
                  </w:pPr>
                  <w:r>
                    <w:rPr>
                      <w:color w:val="auto"/>
                      <w:szCs w:val="21"/>
                      <w:highlight w:val="none"/>
                    </w:rPr>
                    <w:t>本项目最大存储量（t）</w:t>
                  </w:r>
                </w:p>
              </w:tc>
              <w:tc>
                <w:tcPr>
                  <w:tcW w:w="827" w:type="pct"/>
                  <w:vAlign w:val="center"/>
                </w:tcPr>
                <w:p>
                  <w:pPr>
                    <w:spacing w:line="240" w:lineRule="auto"/>
                    <w:jc w:val="center"/>
                    <w:rPr>
                      <w:color w:val="auto"/>
                      <w:szCs w:val="21"/>
                      <w:highlight w:val="none"/>
                    </w:rPr>
                  </w:pPr>
                  <w:r>
                    <w:rPr>
                      <w:color w:val="auto"/>
                      <w:szCs w:val="21"/>
                      <w:highlight w:val="none"/>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1" w:type="pct"/>
                  <w:vAlign w:val="center"/>
                </w:tcPr>
                <w:p>
                  <w:pPr>
                    <w:spacing w:line="240" w:lineRule="auto"/>
                    <w:jc w:val="center"/>
                    <w:rPr>
                      <w:color w:val="auto"/>
                      <w:szCs w:val="21"/>
                      <w:highlight w:val="none"/>
                    </w:rPr>
                  </w:pPr>
                  <w:r>
                    <w:rPr>
                      <w:color w:val="auto"/>
                      <w:szCs w:val="21"/>
                      <w:highlight w:val="none"/>
                    </w:rPr>
                    <w:t>1</w:t>
                  </w:r>
                </w:p>
              </w:tc>
              <w:tc>
                <w:tcPr>
                  <w:tcW w:w="1227" w:type="pct"/>
                  <w:vAlign w:val="center"/>
                </w:tcPr>
                <w:p>
                  <w:pPr>
                    <w:spacing w:line="240" w:lineRule="auto"/>
                    <w:jc w:val="center"/>
                    <w:rPr>
                      <w:color w:val="auto"/>
                      <w:szCs w:val="21"/>
                      <w:highlight w:val="none"/>
                    </w:rPr>
                  </w:pPr>
                  <w:r>
                    <w:rPr>
                      <w:rFonts w:hint="eastAsia"/>
                      <w:color w:val="auto"/>
                      <w:szCs w:val="21"/>
                      <w:highlight w:val="none"/>
                    </w:rPr>
                    <w:t>废机油</w:t>
                  </w:r>
                </w:p>
              </w:tc>
              <w:tc>
                <w:tcPr>
                  <w:tcW w:w="1016" w:type="pct"/>
                  <w:vAlign w:val="center"/>
                </w:tcPr>
                <w:p>
                  <w:pPr>
                    <w:spacing w:line="240" w:lineRule="auto"/>
                    <w:jc w:val="center"/>
                    <w:rPr>
                      <w:color w:val="auto"/>
                      <w:szCs w:val="21"/>
                      <w:highlight w:val="none"/>
                    </w:rPr>
                  </w:pPr>
                  <w:r>
                    <w:rPr>
                      <w:rFonts w:hint="eastAsia"/>
                      <w:color w:val="auto"/>
                      <w:szCs w:val="21"/>
                      <w:highlight w:val="none"/>
                    </w:rPr>
                    <w:t>2500</w:t>
                  </w:r>
                </w:p>
              </w:tc>
              <w:tc>
                <w:tcPr>
                  <w:tcW w:w="1307" w:type="pct"/>
                  <w:vAlign w:val="center"/>
                </w:tcPr>
                <w:p>
                  <w:pPr>
                    <w:spacing w:line="240" w:lineRule="auto"/>
                    <w:jc w:val="center"/>
                    <w:rPr>
                      <w:color w:val="auto"/>
                      <w:szCs w:val="21"/>
                      <w:highlight w:val="none"/>
                    </w:rPr>
                  </w:pPr>
                  <w:r>
                    <w:rPr>
                      <w:rFonts w:hint="eastAsia"/>
                      <w:color w:val="auto"/>
                      <w:szCs w:val="21"/>
                      <w:highlight w:val="none"/>
                    </w:rPr>
                    <w:t>0.01</w:t>
                  </w:r>
                </w:p>
              </w:tc>
              <w:tc>
                <w:tcPr>
                  <w:tcW w:w="827" w:type="pct"/>
                  <w:vAlign w:val="center"/>
                </w:tcPr>
                <w:p>
                  <w:pPr>
                    <w:spacing w:line="240" w:lineRule="auto"/>
                    <w:jc w:val="center"/>
                    <w:rPr>
                      <w:color w:val="auto"/>
                      <w:szCs w:val="21"/>
                      <w:highlight w:val="none"/>
                    </w:rPr>
                  </w:pPr>
                  <w:r>
                    <w:rPr>
                      <w:rFonts w:hint="eastAsia"/>
                      <w:color w:val="auto"/>
                      <w:szCs w:val="21"/>
                      <w:highlight w:val="none"/>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72" w:type="pct"/>
                  <w:gridSpan w:val="4"/>
                  <w:vAlign w:val="center"/>
                </w:tcPr>
                <w:p>
                  <w:pPr>
                    <w:spacing w:line="240" w:lineRule="auto"/>
                    <w:jc w:val="center"/>
                    <w:rPr>
                      <w:color w:val="auto"/>
                      <w:szCs w:val="21"/>
                      <w:highlight w:val="none"/>
                    </w:rPr>
                  </w:pPr>
                  <w:r>
                    <w:rPr>
                      <w:color w:val="auto"/>
                      <w:szCs w:val="21"/>
                      <w:highlight w:val="none"/>
                    </w:rPr>
                    <w:t>合计</w:t>
                  </w:r>
                </w:p>
              </w:tc>
              <w:tc>
                <w:tcPr>
                  <w:tcW w:w="827" w:type="pct"/>
                  <w:vAlign w:val="center"/>
                </w:tcPr>
                <w:p>
                  <w:pPr>
                    <w:spacing w:line="240" w:lineRule="auto"/>
                    <w:jc w:val="center"/>
                    <w:rPr>
                      <w:color w:val="auto"/>
                      <w:szCs w:val="21"/>
                      <w:highlight w:val="none"/>
                    </w:rPr>
                  </w:pPr>
                  <w:r>
                    <w:rPr>
                      <w:rFonts w:hint="eastAsia"/>
                      <w:color w:val="auto"/>
                      <w:szCs w:val="21"/>
                      <w:highlight w:val="none"/>
                    </w:rPr>
                    <w:t>0000004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vAlign w:val="center"/>
                </w:tcPr>
                <w:p>
                  <w:pPr>
                    <w:spacing w:line="240" w:lineRule="auto"/>
                    <w:jc w:val="both"/>
                    <w:rPr>
                      <w:color w:val="auto"/>
                      <w:szCs w:val="21"/>
                      <w:highlight w:val="none"/>
                    </w:rPr>
                  </w:pPr>
                  <w:r>
                    <w:rPr>
                      <w:rFonts w:hint="eastAsia"/>
                      <w:color w:val="auto"/>
                      <w:szCs w:val="21"/>
                      <w:highlight w:val="none"/>
                    </w:rPr>
                    <w:t>注：临界量参考</w:t>
                  </w:r>
                  <w:r>
                    <w:rPr>
                      <w:color w:val="auto"/>
                      <w:kern w:val="0"/>
                      <w:szCs w:val="21"/>
                      <w:highlight w:val="none"/>
                    </w:rPr>
                    <w:t>《建设项目环境风险评价技术导则》（HJ169-2018）</w:t>
                  </w:r>
                  <w:r>
                    <w:rPr>
                      <w:rFonts w:hint="eastAsia"/>
                      <w:color w:val="auto"/>
                      <w:szCs w:val="21"/>
                      <w:highlight w:val="none"/>
                    </w:rPr>
                    <w:t>。</w:t>
                  </w:r>
                </w:p>
              </w:tc>
            </w:tr>
          </w:tbl>
          <w:p>
            <w:pPr>
              <w:ind w:firstLine="420" w:firstLineChars="200"/>
              <w:rPr>
                <w:color w:val="auto"/>
                <w:kern w:val="0"/>
                <w:szCs w:val="21"/>
                <w:highlight w:val="none"/>
              </w:rPr>
            </w:pPr>
            <w:r>
              <w:rPr>
                <w:rFonts w:hint="eastAsia"/>
                <w:color w:val="auto"/>
                <w:kern w:val="0"/>
                <w:szCs w:val="21"/>
                <w:highlight w:val="none"/>
              </w:rPr>
              <w:t>根据《建设项目环境影响报告表编制技术指南(污染影响类)(试行)》，项目有毒有害和易燃易爆危险物质存储量未超过临界量，故无需进行环境风险评价专项分析。</w:t>
            </w:r>
          </w:p>
          <w:p>
            <w:pPr>
              <w:pStyle w:val="2"/>
              <w:ind w:firstLine="422" w:firstLineChars="200"/>
              <w:rPr>
                <w:b/>
                <w:bCs/>
                <w:color w:val="auto"/>
                <w:highlight w:val="none"/>
              </w:rPr>
            </w:pPr>
            <w:r>
              <w:rPr>
                <w:rFonts w:hint="eastAsia"/>
                <w:b/>
                <w:bCs/>
                <w:color w:val="auto"/>
                <w:kern w:val="0"/>
                <w:szCs w:val="21"/>
                <w:highlight w:val="none"/>
              </w:rPr>
              <w:t>2、风险识别</w:t>
            </w:r>
          </w:p>
          <w:p>
            <w:pPr>
              <w:pStyle w:val="46"/>
              <w:numPr>
                <w:ilvl w:val="8"/>
                <w:numId w:val="8"/>
              </w:numPr>
              <w:autoSpaceDE w:val="0"/>
              <w:autoSpaceDN w:val="0"/>
              <w:adjustRightInd w:val="0"/>
              <w:snapToGrid w:val="0"/>
              <w:spacing w:line="240" w:lineRule="auto"/>
              <w:ind w:firstLineChars="0"/>
              <w:jc w:val="center"/>
              <w:rPr>
                <w:b/>
                <w:bCs/>
                <w:color w:val="auto"/>
                <w:highlight w:val="none"/>
              </w:rPr>
            </w:pPr>
            <w:r>
              <w:rPr>
                <w:b/>
                <w:bCs/>
                <w:color w:val="auto"/>
                <w:highlight w:val="none"/>
              </w:rPr>
              <w:t>项目环境风险识别表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39"/>
              <w:gridCol w:w="810"/>
              <w:gridCol w:w="1417"/>
              <w:gridCol w:w="1380"/>
              <w:gridCol w:w="190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dxa"/>
                  <w:vAlign w:val="center"/>
                </w:tcPr>
                <w:p>
                  <w:pPr>
                    <w:pStyle w:val="55"/>
                    <w:ind w:left="-84" w:right="-84"/>
                    <w:rPr>
                      <w:color w:val="auto"/>
                      <w:highlight w:val="none"/>
                    </w:rPr>
                  </w:pPr>
                  <w:r>
                    <w:rPr>
                      <w:color w:val="auto"/>
                      <w:highlight w:val="none"/>
                    </w:rPr>
                    <w:t>序号</w:t>
                  </w:r>
                </w:p>
              </w:tc>
              <w:tc>
                <w:tcPr>
                  <w:tcW w:w="615" w:type="dxa"/>
                  <w:vAlign w:val="center"/>
                </w:tcPr>
                <w:p>
                  <w:pPr>
                    <w:pStyle w:val="55"/>
                    <w:ind w:left="-84" w:right="-84"/>
                    <w:rPr>
                      <w:color w:val="auto"/>
                      <w:highlight w:val="none"/>
                    </w:rPr>
                  </w:pPr>
                  <w:r>
                    <w:rPr>
                      <w:color w:val="auto"/>
                      <w:highlight w:val="none"/>
                    </w:rPr>
                    <w:t>危险单元</w:t>
                  </w:r>
                </w:p>
              </w:tc>
              <w:tc>
                <w:tcPr>
                  <w:tcW w:w="780" w:type="dxa"/>
                  <w:vAlign w:val="center"/>
                </w:tcPr>
                <w:p>
                  <w:pPr>
                    <w:pStyle w:val="55"/>
                    <w:ind w:left="-84" w:right="-84"/>
                    <w:rPr>
                      <w:color w:val="auto"/>
                      <w:highlight w:val="none"/>
                    </w:rPr>
                  </w:pPr>
                  <w:r>
                    <w:rPr>
                      <w:color w:val="auto"/>
                      <w:highlight w:val="none"/>
                    </w:rPr>
                    <w:t>风险源</w:t>
                  </w:r>
                </w:p>
              </w:tc>
              <w:tc>
                <w:tcPr>
                  <w:tcW w:w="1365" w:type="dxa"/>
                  <w:vAlign w:val="center"/>
                </w:tcPr>
                <w:p>
                  <w:pPr>
                    <w:pStyle w:val="55"/>
                    <w:ind w:left="-84" w:right="-84"/>
                    <w:rPr>
                      <w:color w:val="auto"/>
                      <w:highlight w:val="none"/>
                    </w:rPr>
                  </w:pPr>
                  <w:r>
                    <w:rPr>
                      <w:color w:val="auto"/>
                      <w:highlight w:val="none"/>
                    </w:rPr>
                    <w:t>主要危险物质</w:t>
                  </w:r>
                </w:p>
              </w:tc>
              <w:tc>
                <w:tcPr>
                  <w:tcW w:w="1329" w:type="dxa"/>
                  <w:vAlign w:val="center"/>
                </w:tcPr>
                <w:p>
                  <w:pPr>
                    <w:pStyle w:val="55"/>
                    <w:ind w:left="-84" w:right="-84"/>
                    <w:rPr>
                      <w:color w:val="auto"/>
                      <w:highlight w:val="none"/>
                    </w:rPr>
                  </w:pPr>
                  <w:r>
                    <w:rPr>
                      <w:color w:val="auto"/>
                      <w:highlight w:val="none"/>
                    </w:rPr>
                    <w:t>环境风险类型</w:t>
                  </w:r>
                </w:p>
              </w:tc>
              <w:tc>
                <w:tcPr>
                  <w:tcW w:w="1830" w:type="dxa"/>
                  <w:vAlign w:val="center"/>
                </w:tcPr>
                <w:p>
                  <w:pPr>
                    <w:pStyle w:val="55"/>
                    <w:ind w:left="-84" w:right="-84"/>
                    <w:rPr>
                      <w:color w:val="auto"/>
                      <w:highlight w:val="none"/>
                    </w:rPr>
                  </w:pPr>
                  <w:r>
                    <w:rPr>
                      <w:color w:val="auto"/>
                      <w:highlight w:val="none"/>
                    </w:rPr>
                    <w:t>环境影响途径</w:t>
                  </w:r>
                </w:p>
              </w:tc>
              <w:tc>
                <w:tcPr>
                  <w:tcW w:w="1516" w:type="dxa"/>
                  <w:vAlign w:val="center"/>
                </w:tcPr>
                <w:p>
                  <w:pPr>
                    <w:pStyle w:val="55"/>
                    <w:ind w:left="-84" w:right="-84"/>
                    <w:rPr>
                      <w:color w:val="auto"/>
                      <w:highlight w:val="none"/>
                    </w:rPr>
                  </w:pPr>
                  <w:r>
                    <w:rPr>
                      <w:color w:val="auto"/>
                      <w:highlight w:val="none"/>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dxa"/>
                  <w:vAlign w:val="center"/>
                </w:tcPr>
                <w:p>
                  <w:pPr>
                    <w:pStyle w:val="55"/>
                    <w:ind w:left="-84" w:right="-84"/>
                    <w:rPr>
                      <w:color w:val="auto"/>
                      <w:highlight w:val="none"/>
                    </w:rPr>
                  </w:pPr>
                  <w:r>
                    <w:rPr>
                      <w:rFonts w:hint="eastAsia"/>
                      <w:color w:val="auto"/>
                      <w:highlight w:val="none"/>
                    </w:rPr>
                    <w:t>1</w:t>
                  </w:r>
                </w:p>
              </w:tc>
              <w:tc>
                <w:tcPr>
                  <w:tcW w:w="1395" w:type="dxa"/>
                  <w:gridSpan w:val="2"/>
                  <w:vAlign w:val="center"/>
                </w:tcPr>
                <w:p>
                  <w:pPr>
                    <w:pStyle w:val="55"/>
                    <w:ind w:left="-84" w:right="-84"/>
                    <w:rPr>
                      <w:color w:val="auto"/>
                      <w:highlight w:val="none"/>
                    </w:rPr>
                  </w:pPr>
                  <w:r>
                    <w:rPr>
                      <w:color w:val="auto"/>
                      <w:highlight w:val="none"/>
                    </w:rPr>
                    <w:t>生产车间</w:t>
                  </w:r>
                </w:p>
              </w:tc>
              <w:tc>
                <w:tcPr>
                  <w:tcW w:w="1365" w:type="dxa"/>
                  <w:vAlign w:val="center"/>
                </w:tcPr>
                <w:p>
                  <w:pPr>
                    <w:pStyle w:val="55"/>
                    <w:ind w:left="-84" w:right="-84"/>
                    <w:rPr>
                      <w:rFonts w:hint="default" w:eastAsia="宋体"/>
                      <w:color w:val="auto"/>
                      <w:highlight w:val="none"/>
                      <w:lang w:val="en-US" w:eastAsia="zh-CN"/>
                    </w:rPr>
                  </w:pPr>
                  <w:r>
                    <w:rPr>
                      <w:color w:val="auto"/>
                      <w:highlight w:val="none"/>
                    </w:rPr>
                    <w:t>火灾产生的次生伴生污染物</w:t>
                  </w:r>
                </w:p>
              </w:tc>
              <w:tc>
                <w:tcPr>
                  <w:tcW w:w="1329" w:type="dxa"/>
                  <w:vAlign w:val="center"/>
                </w:tcPr>
                <w:p>
                  <w:pPr>
                    <w:pStyle w:val="55"/>
                    <w:ind w:left="-84" w:right="-84"/>
                    <w:rPr>
                      <w:rFonts w:hint="eastAsia" w:eastAsia="宋体"/>
                      <w:color w:val="auto"/>
                      <w:highlight w:val="none"/>
                      <w:lang w:val="en-US" w:eastAsia="zh-CN"/>
                    </w:rPr>
                  </w:pPr>
                  <w:r>
                    <w:rPr>
                      <w:color w:val="auto"/>
                      <w:highlight w:val="none"/>
                    </w:rPr>
                    <w:t>泄漏、火灾产生的次生伴生污染物排放</w:t>
                  </w:r>
                  <w:r>
                    <w:rPr>
                      <w:rFonts w:hint="eastAsia"/>
                      <w:color w:val="auto"/>
                      <w:highlight w:val="none"/>
                      <w:lang w:eastAsia="zh-CN"/>
                    </w:rPr>
                    <w:t>、</w:t>
                  </w:r>
                  <w:r>
                    <w:rPr>
                      <w:color w:val="auto"/>
                      <w:highlight w:val="none"/>
                    </w:rPr>
                    <w:t>粉尘爆炸产生的次生环境风</w:t>
                  </w:r>
                  <w:r>
                    <w:rPr>
                      <w:rFonts w:hint="eastAsia"/>
                      <w:color w:val="auto"/>
                      <w:highlight w:val="none"/>
                      <w:lang w:val="en-US" w:eastAsia="zh-CN"/>
                    </w:rPr>
                    <w:t>险</w:t>
                  </w:r>
                </w:p>
              </w:tc>
              <w:tc>
                <w:tcPr>
                  <w:tcW w:w="1830" w:type="dxa"/>
                  <w:vAlign w:val="center"/>
                </w:tcPr>
                <w:p>
                  <w:pPr>
                    <w:pStyle w:val="55"/>
                    <w:ind w:left="-84" w:right="-84"/>
                    <w:rPr>
                      <w:color w:val="auto"/>
                      <w:highlight w:val="none"/>
                    </w:rPr>
                  </w:pPr>
                  <w:r>
                    <w:rPr>
                      <w:color w:val="auto"/>
                      <w:highlight w:val="none"/>
                    </w:rPr>
                    <w:t>大气扩散</w:t>
                  </w:r>
                </w:p>
              </w:tc>
              <w:tc>
                <w:tcPr>
                  <w:tcW w:w="1516" w:type="dxa"/>
                  <w:vAlign w:val="center"/>
                </w:tcPr>
                <w:p>
                  <w:pPr>
                    <w:pStyle w:val="55"/>
                    <w:ind w:left="-84" w:right="-84"/>
                    <w:rPr>
                      <w:color w:val="auto"/>
                      <w:highlight w:val="none"/>
                    </w:rPr>
                  </w:pPr>
                  <w:r>
                    <w:rPr>
                      <w:color w:val="auto"/>
                      <w:highlight w:val="none"/>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dxa"/>
                  <w:vAlign w:val="center"/>
                </w:tcPr>
                <w:p>
                  <w:pPr>
                    <w:pStyle w:val="55"/>
                    <w:ind w:left="-84" w:right="-84"/>
                    <w:rPr>
                      <w:color w:val="auto"/>
                      <w:highlight w:val="none"/>
                    </w:rPr>
                  </w:pPr>
                  <w:r>
                    <w:rPr>
                      <w:rFonts w:hint="eastAsia"/>
                      <w:color w:val="auto"/>
                      <w:highlight w:val="none"/>
                    </w:rPr>
                    <w:t>2</w:t>
                  </w:r>
                </w:p>
              </w:tc>
              <w:tc>
                <w:tcPr>
                  <w:tcW w:w="1395" w:type="dxa"/>
                  <w:gridSpan w:val="2"/>
                  <w:vAlign w:val="center"/>
                </w:tcPr>
                <w:p>
                  <w:pPr>
                    <w:pStyle w:val="55"/>
                    <w:ind w:left="-84" w:right="-84"/>
                    <w:rPr>
                      <w:color w:val="auto"/>
                      <w:highlight w:val="none"/>
                    </w:rPr>
                  </w:pPr>
                  <w:r>
                    <w:rPr>
                      <w:color w:val="auto"/>
                      <w:highlight w:val="none"/>
                    </w:rPr>
                    <w:t>仓库</w:t>
                  </w:r>
                </w:p>
              </w:tc>
              <w:tc>
                <w:tcPr>
                  <w:tcW w:w="1365" w:type="dxa"/>
                  <w:vAlign w:val="center"/>
                </w:tcPr>
                <w:p>
                  <w:pPr>
                    <w:pStyle w:val="55"/>
                    <w:ind w:left="-84" w:right="-84"/>
                    <w:rPr>
                      <w:color w:val="auto"/>
                      <w:highlight w:val="none"/>
                    </w:rPr>
                  </w:pPr>
                  <w:r>
                    <w:rPr>
                      <w:color w:val="auto"/>
                      <w:highlight w:val="none"/>
                    </w:rPr>
                    <w:t>火灾产生的次生伴生污染物</w:t>
                  </w:r>
                </w:p>
              </w:tc>
              <w:tc>
                <w:tcPr>
                  <w:tcW w:w="1329" w:type="dxa"/>
                  <w:vAlign w:val="center"/>
                </w:tcPr>
                <w:p>
                  <w:pPr>
                    <w:pStyle w:val="55"/>
                    <w:ind w:left="-84" w:right="-84"/>
                    <w:rPr>
                      <w:color w:val="auto"/>
                      <w:highlight w:val="none"/>
                    </w:rPr>
                  </w:pPr>
                  <w:r>
                    <w:rPr>
                      <w:color w:val="auto"/>
                      <w:highlight w:val="none"/>
                    </w:rPr>
                    <w:t>泄漏、火灾产生的次生伴生污染物排放</w:t>
                  </w:r>
                </w:p>
              </w:tc>
              <w:tc>
                <w:tcPr>
                  <w:tcW w:w="1830" w:type="dxa"/>
                  <w:vAlign w:val="center"/>
                </w:tcPr>
                <w:p>
                  <w:pPr>
                    <w:pStyle w:val="55"/>
                    <w:ind w:left="-84" w:right="-84"/>
                    <w:rPr>
                      <w:color w:val="auto"/>
                      <w:highlight w:val="none"/>
                    </w:rPr>
                  </w:pPr>
                  <w:r>
                    <w:rPr>
                      <w:color w:val="auto"/>
                      <w:highlight w:val="none"/>
                    </w:rPr>
                    <w:t>大气扩散、垂直入渗</w:t>
                  </w:r>
                </w:p>
              </w:tc>
              <w:tc>
                <w:tcPr>
                  <w:tcW w:w="1516" w:type="dxa"/>
                  <w:vAlign w:val="center"/>
                </w:tcPr>
                <w:p>
                  <w:pPr>
                    <w:pStyle w:val="55"/>
                    <w:ind w:left="-84" w:right="-84"/>
                    <w:rPr>
                      <w:color w:val="auto"/>
                      <w:highlight w:val="none"/>
                    </w:rPr>
                  </w:pPr>
                  <w:r>
                    <w:rPr>
                      <w:color w:val="auto"/>
                      <w:highlight w:val="none"/>
                    </w:rPr>
                    <w:t>大气、地表水、地下水、土壤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8" w:type="dxa"/>
                  <w:vAlign w:val="center"/>
                </w:tcPr>
                <w:p>
                  <w:pPr>
                    <w:pStyle w:val="55"/>
                    <w:ind w:left="-84" w:right="-84"/>
                    <w:rPr>
                      <w:color w:val="auto"/>
                      <w:highlight w:val="none"/>
                    </w:rPr>
                  </w:pPr>
                  <w:r>
                    <w:rPr>
                      <w:rFonts w:hint="eastAsia"/>
                      <w:color w:val="auto"/>
                      <w:highlight w:val="none"/>
                    </w:rPr>
                    <w:t>3</w:t>
                  </w:r>
                </w:p>
              </w:tc>
              <w:tc>
                <w:tcPr>
                  <w:tcW w:w="1395" w:type="dxa"/>
                  <w:gridSpan w:val="2"/>
                  <w:vAlign w:val="center"/>
                </w:tcPr>
                <w:p>
                  <w:pPr>
                    <w:pStyle w:val="55"/>
                    <w:ind w:left="-84" w:right="-84"/>
                    <w:rPr>
                      <w:color w:val="auto"/>
                      <w:highlight w:val="none"/>
                    </w:rPr>
                  </w:pPr>
                  <w:r>
                    <w:rPr>
                      <w:color w:val="auto"/>
                      <w:highlight w:val="none"/>
                    </w:rPr>
                    <w:t>危险废物仓库</w:t>
                  </w:r>
                </w:p>
              </w:tc>
              <w:tc>
                <w:tcPr>
                  <w:tcW w:w="1365" w:type="dxa"/>
                  <w:vAlign w:val="center"/>
                </w:tcPr>
                <w:p>
                  <w:pPr>
                    <w:pStyle w:val="55"/>
                    <w:ind w:left="-84" w:right="-84"/>
                    <w:rPr>
                      <w:color w:val="auto"/>
                      <w:highlight w:val="none"/>
                    </w:rPr>
                  </w:pPr>
                  <w:r>
                    <w:rPr>
                      <w:color w:val="auto"/>
                      <w:highlight w:val="none"/>
                    </w:rPr>
                    <w:t>危险废物</w:t>
                  </w:r>
                </w:p>
              </w:tc>
              <w:tc>
                <w:tcPr>
                  <w:tcW w:w="1329" w:type="dxa"/>
                  <w:vAlign w:val="center"/>
                </w:tcPr>
                <w:p>
                  <w:pPr>
                    <w:pStyle w:val="55"/>
                    <w:ind w:left="-84" w:right="-84"/>
                    <w:rPr>
                      <w:color w:val="auto"/>
                      <w:highlight w:val="none"/>
                    </w:rPr>
                  </w:pPr>
                  <w:r>
                    <w:rPr>
                      <w:color w:val="auto"/>
                      <w:highlight w:val="none"/>
                    </w:rPr>
                    <w:t>泄漏</w:t>
                  </w:r>
                </w:p>
              </w:tc>
              <w:tc>
                <w:tcPr>
                  <w:tcW w:w="1830" w:type="dxa"/>
                  <w:vAlign w:val="center"/>
                </w:tcPr>
                <w:p>
                  <w:pPr>
                    <w:pStyle w:val="55"/>
                    <w:ind w:left="-84" w:right="-84"/>
                    <w:rPr>
                      <w:color w:val="auto"/>
                      <w:highlight w:val="none"/>
                    </w:rPr>
                  </w:pPr>
                  <w:r>
                    <w:rPr>
                      <w:color w:val="auto"/>
                      <w:highlight w:val="none"/>
                    </w:rPr>
                    <w:t>垂直入渗</w:t>
                  </w:r>
                </w:p>
              </w:tc>
              <w:tc>
                <w:tcPr>
                  <w:tcW w:w="1516" w:type="dxa"/>
                  <w:vAlign w:val="center"/>
                </w:tcPr>
                <w:p>
                  <w:pPr>
                    <w:pStyle w:val="55"/>
                    <w:ind w:left="-84" w:right="-84"/>
                    <w:rPr>
                      <w:color w:val="auto"/>
                      <w:highlight w:val="none"/>
                    </w:rPr>
                  </w:pPr>
                  <w:r>
                    <w:rPr>
                      <w:color w:val="auto"/>
                      <w:highlight w:val="none"/>
                    </w:rPr>
                    <w:t>地表水、地下水、土壤</w:t>
                  </w:r>
                </w:p>
              </w:tc>
            </w:tr>
          </w:tbl>
          <w:p>
            <w:pPr>
              <w:ind w:firstLine="422" w:firstLineChars="200"/>
              <w:rPr>
                <w:b/>
                <w:bCs/>
                <w:color w:val="auto"/>
                <w:kern w:val="0"/>
                <w:szCs w:val="21"/>
                <w:highlight w:val="none"/>
              </w:rPr>
            </w:pPr>
            <w:r>
              <w:rPr>
                <w:rFonts w:hint="eastAsia"/>
                <w:b/>
                <w:bCs/>
                <w:color w:val="auto"/>
                <w:kern w:val="0"/>
                <w:szCs w:val="21"/>
                <w:highlight w:val="none"/>
              </w:rPr>
              <w:t>3、防范措施</w:t>
            </w:r>
          </w:p>
          <w:p>
            <w:pPr>
              <w:ind w:firstLine="420" w:firstLineChars="200"/>
              <w:rPr>
                <w:color w:val="auto"/>
                <w:kern w:val="0"/>
                <w:szCs w:val="21"/>
                <w:highlight w:val="none"/>
              </w:rPr>
            </w:pPr>
            <w:r>
              <w:rPr>
                <w:rFonts w:hint="eastAsia"/>
                <w:color w:val="auto"/>
                <w:kern w:val="0"/>
                <w:szCs w:val="21"/>
                <w:highlight w:val="none"/>
              </w:rPr>
              <w:t>为了避免废气治理设施故障、危险废物泄漏、仓库火灾、生产车间火灾等引起的环境风险，除必须加强管理、严格操作规范外，本评价建议企业采取以下防范措施：</w:t>
            </w:r>
          </w:p>
          <w:p>
            <w:pPr>
              <w:ind w:firstLine="420" w:firstLineChars="200"/>
              <w:rPr>
                <w:color w:val="auto"/>
                <w:kern w:val="0"/>
                <w:szCs w:val="21"/>
                <w:highlight w:val="none"/>
              </w:rPr>
            </w:pPr>
            <w:r>
              <w:rPr>
                <w:rFonts w:hint="eastAsia"/>
                <w:color w:val="auto"/>
                <w:kern w:val="0"/>
                <w:szCs w:val="21"/>
                <w:highlight w:val="none"/>
              </w:rPr>
              <w:t>①</w:t>
            </w:r>
            <w:r>
              <w:rPr>
                <w:rFonts w:hint="eastAsia"/>
                <w:color w:val="auto"/>
                <w:highlight w:val="none"/>
              </w:rPr>
              <w:t>及时清除粉尘</w:t>
            </w:r>
            <w:r>
              <w:rPr>
                <w:rFonts w:hint="eastAsia"/>
                <w:color w:val="auto"/>
                <w:highlight w:val="none"/>
                <w:lang w:eastAsia="zh-CN"/>
              </w:rPr>
              <w:t>，</w:t>
            </w:r>
            <w:r>
              <w:rPr>
                <w:rFonts w:hint="eastAsia"/>
                <w:color w:val="auto"/>
                <w:kern w:val="0"/>
                <w:szCs w:val="21"/>
                <w:highlight w:val="none"/>
              </w:rPr>
              <w:t>危险废物仓库、废气治理设施处使用水泥等其他防渗防腐材料进行硬化，达到防渗的作用。</w:t>
            </w:r>
          </w:p>
          <w:p>
            <w:pPr>
              <w:ind w:firstLine="420" w:firstLineChars="200"/>
              <w:rPr>
                <w:color w:val="auto"/>
                <w:kern w:val="0"/>
                <w:szCs w:val="21"/>
                <w:highlight w:val="none"/>
              </w:rPr>
            </w:pPr>
            <w:r>
              <w:rPr>
                <w:rFonts w:hint="eastAsia"/>
                <w:color w:val="auto"/>
                <w:kern w:val="0"/>
                <w:szCs w:val="21"/>
                <w:highlight w:val="none"/>
              </w:rPr>
              <w:t>②加强员工操作规范培训，提供员工风险意识。</w:t>
            </w:r>
          </w:p>
          <w:p>
            <w:pPr>
              <w:ind w:firstLine="420" w:firstLineChars="200"/>
              <w:rPr>
                <w:color w:val="auto"/>
                <w:kern w:val="0"/>
                <w:szCs w:val="21"/>
                <w:highlight w:val="none"/>
              </w:rPr>
            </w:pPr>
            <w:r>
              <w:rPr>
                <w:rFonts w:hint="eastAsia"/>
                <w:color w:val="auto"/>
                <w:kern w:val="0"/>
                <w:szCs w:val="21"/>
                <w:highlight w:val="none"/>
              </w:rPr>
              <w:t>③设置灭火器和一定量的消防沙以作为备用；泄漏物料及相应的消防沙、吸附棉全部委外处理。</w:t>
            </w:r>
          </w:p>
          <w:p>
            <w:pPr>
              <w:ind w:firstLine="420" w:firstLineChars="200"/>
              <w:rPr>
                <w:color w:val="auto"/>
                <w:kern w:val="0"/>
                <w:szCs w:val="21"/>
                <w:highlight w:val="none"/>
              </w:rPr>
            </w:pPr>
            <w:r>
              <w:rPr>
                <w:rFonts w:hint="eastAsia"/>
                <w:color w:val="auto"/>
                <w:kern w:val="0"/>
                <w:szCs w:val="21"/>
                <w:highlight w:val="none"/>
              </w:rPr>
              <w:t>④定期检修废气治理设施，尽量避免设施发生故障。</w:t>
            </w:r>
          </w:p>
          <w:p>
            <w:pPr>
              <w:ind w:firstLine="420" w:firstLineChars="200"/>
              <w:rPr>
                <w:color w:val="auto"/>
                <w:kern w:val="0"/>
                <w:szCs w:val="21"/>
                <w:highlight w:val="none"/>
              </w:rPr>
            </w:pPr>
          </w:p>
          <w:p>
            <w:pPr>
              <w:ind w:firstLine="420" w:firstLineChars="200"/>
              <w:rPr>
                <w:color w:val="auto"/>
                <w:kern w:val="0"/>
                <w:szCs w:val="21"/>
                <w:highlight w:val="none"/>
              </w:rPr>
            </w:pPr>
          </w:p>
          <w:p>
            <w:pPr>
              <w:ind w:firstLine="420" w:firstLineChars="200"/>
              <w:rPr>
                <w:color w:val="auto"/>
                <w:kern w:val="0"/>
                <w:szCs w:val="21"/>
                <w:highlight w:val="none"/>
              </w:rPr>
            </w:pPr>
          </w:p>
          <w:p>
            <w:pPr>
              <w:pStyle w:val="2"/>
              <w:rPr>
                <w:color w:val="auto"/>
                <w:kern w:val="0"/>
                <w:szCs w:val="21"/>
                <w:highlight w:val="none"/>
              </w:rPr>
            </w:pPr>
          </w:p>
        </w:tc>
      </w:tr>
    </w:tbl>
    <w:p>
      <w:pPr>
        <w:pStyle w:val="25"/>
        <w:jc w:val="center"/>
        <w:outlineLvl w:val="0"/>
        <w:rPr>
          <w:color w:val="auto"/>
          <w:sz w:val="30"/>
          <w:szCs w:val="30"/>
          <w:highlight w:val="none"/>
        </w:rPr>
        <w:sectPr>
          <w:pgSz w:w="11906" w:h="16838"/>
          <w:pgMar w:top="1701" w:right="1531" w:bottom="1701" w:left="1531" w:header="851" w:footer="851" w:gutter="0"/>
          <w:cols w:space="720" w:num="1"/>
          <w:docGrid w:type="lines" w:linePitch="312" w:charSpace="0"/>
        </w:sectPr>
      </w:pPr>
    </w:p>
    <w:p>
      <w:pPr>
        <w:pStyle w:val="25"/>
        <w:jc w:val="center"/>
        <w:outlineLvl w:val="0"/>
        <w:rPr>
          <w:rFonts w:ascii="Times New Roman" w:hAnsi="Times New Roman"/>
          <w:color w:val="auto"/>
          <w:sz w:val="30"/>
          <w:szCs w:val="30"/>
          <w:highlight w:val="none"/>
        </w:rPr>
      </w:pPr>
      <w:r>
        <w:rPr>
          <w:color w:val="auto"/>
          <w:sz w:val="30"/>
          <w:szCs w:val="30"/>
          <w:highlight w:val="none"/>
        </w:rPr>
        <w:t>五、</w:t>
      </w:r>
      <w:bookmarkStart w:id="4" w:name="_Hlk54167917"/>
      <w:r>
        <w:rPr>
          <w:color w:val="auto"/>
          <w:sz w:val="30"/>
          <w:szCs w:val="30"/>
          <w:highlight w:val="none"/>
        </w:rPr>
        <w:t>环境保护措施监督检查清单</w:t>
      </w:r>
      <w:bookmarkEnd w:id="4"/>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843"/>
        <w:gridCol w:w="855"/>
        <w:gridCol w:w="1170"/>
        <w:gridCol w:w="1900"/>
        <w:gridCol w:w="22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op w:val="single" w:color="auto" w:sz="8" w:space="0"/>
              <w:left w:val="single" w:color="auto" w:sz="8" w:space="0"/>
              <w:bottom w:val="single" w:color="auto" w:sz="4" w:space="0"/>
              <w:right w:val="single" w:color="auto" w:sz="4" w:space="0"/>
              <w:tl2br w:val="single" w:color="auto" w:sz="4" w:space="0"/>
            </w:tcBorders>
            <w:vAlign w:val="center"/>
          </w:tcPr>
          <w:p>
            <w:pPr>
              <w:spacing w:line="240" w:lineRule="auto"/>
              <w:ind w:firstLine="1050" w:firstLineChars="500"/>
              <w:jc w:val="center"/>
              <w:rPr>
                <w:color w:val="auto"/>
                <w:szCs w:val="21"/>
                <w:highlight w:val="none"/>
              </w:rPr>
            </w:pPr>
            <w:r>
              <w:rPr>
                <w:color w:val="auto"/>
                <w:szCs w:val="21"/>
                <w:highlight w:val="none"/>
              </w:rPr>
              <w:t>内容</w:t>
            </w:r>
          </w:p>
          <w:p>
            <w:pPr>
              <w:spacing w:line="240" w:lineRule="auto"/>
              <w:jc w:val="center"/>
              <w:rPr>
                <w:color w:val="auto"/>
                <w:szCs w:val="21"/>
                <w:highlight w:val="none"/>
              </w:rPr>
            </w:pPr>
            <w:r>
              <w:rPr>
                <w:color w:val="auto"/>
                <w:szCs w:val="21"/>
                <w:highlight w:val="none"/>
              </w:rPr>
              <w:t>要素</w:t>
            </w:r>
          </w:p>
        </w:tc>
        <w:tc>
          <w:tcPr>
            <w:tcW w:w="1698" w:type="dxa"/>
            <w:gridSpan w:val="2"/>
            <w:tcBorders>
              <w:top w:val="single" w:color="auto" w:sz="8" w:space="0"/>
              <w:left w:val="single" w:color="auto" w:sz="4"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排放口编号</w:t>
            </w:r>
          </w:p>
        </w:tc>
        <w:tc>
          <w:tcPr>
            <w:tcW w:w="1170"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污染物项目</w:t>
            </w:r>
          </w:p>
        </w:tc>
        <w:tc>
          <w:tcPr>
            <w:tcW w:w="1900" w:type="dxa"/>
            <w:tcBorders>
              <w:top w:val="single" w:color="auto" w:sz="8" w:space="0"/>
              <w:left w:val="single" w:color="auto" w:sz="4"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环境保护措施</w:t>
            </w:r>
          </w:p>
        </w:tc>
        <w:tc>
          <w:tcPr>
            <w:tcW w:w="2254" w:type="dxa"/>
            <w:tcBorders>
              <w:top w:val="single" w:color="auto" w:sz="8" w:space="0"/>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r>
              <w:rPr>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restart"/>
            <w:tcBorders>
              <w:top w:val="single" w:color="auto" w:sz="4" w:space="0"/>
              <w:left w:val="single" w:color="auto" w:sz="8"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大气环境</w:t>
            </w:r>
          </w:p>
        </w:tc>
        <w:tc>
          <w:tcPr>
            <w:tcW w:w="843" w:type="dxa"/>
            <w:tcBorders>
              <w:top w:val="single" w:color="auto" w:sz="4" w:space="0"/>
              <w:left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rFonts w:hint="eastAsia"/>
                <w:bCs/>
                <w:color w:val="auto"/>
                <w:szCs w:val="21"/>
                <w:highlight w:val="none"/>
              </w:rPr>
              <w:t>投料</w:t>
            </w:r>
            <w:r>
              <w:rPr>
                <w:bCs/>
                <w:color w:val="auto"/>
                <w:szCs w:val="21"/>
                <w:highlight w:val="none"/>
              </w:rPr>
              <w:t>过程产生的粉尘</w:t>
            </w:r>
            <w:r>
              <w:rPr>
                <w:color w:val="auto"/>
                <w:szCs w:val="21"/>
                <w:highlight w:val="none"/>
              </w:rPr>
              <w:t xml:space="preserve"> </w:t>
            </w:r>
          </w:p>
        </w:tc>
        <w:tc>
          <w:tcPr>
            <w:tcW w:w="855"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无组织</w:t>
            </w:r>
          </w:p>
        </w:tc>
        <w:tc>
          <w:tcPr>
            <w:tcW w:w="117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颗粒物</w:t>
            </w:r>
          </w:p>
        </w:tc>
        <w:tc>
          <w:tcPr>
            <w:tcW w:w="19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lang w:val="en-US" w:eastAsia="zh-CN"/>
              </w:rPr>
              <w:t>集气罩+</w:t>
            </w:r>
            <w:r>
              <w:rPr>
                <w:rFonts w:hint="eastAsia" w:ascii="Times New Roman" w:hAnsi="Times New Roman" w:cs="Times New Roman"/>
                <w:color w:val="auto"/>
                <w:kern w:val="2"/>
                <w:highlight w:val="none"/>
              </w:rPr>
              <w:t>脉冲布袋除尘器处理后无组织排放</w:t>
            </w:r>
          </w:p>
        </w:tc>
        <w:tc>
          <w:tcPr>
            <w:tcW w:w="2254" w:type="dxa"/>
            <w:tcBorders>
              <w:top w:val="single" w:color="auto" w:sz="4" w:space="0"/>
              <w:left w:val="single" w:color="auto" w:sz="4" w:space="0"/>
              <w:bottom w:val="single" w:color="auto" w:sz="4" w:space="0"/>
              <w:right w:val="single" w:color="auto" w:sz="8"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highlight w:val="none"/>
              </w:rPr>
              <w:t>广东省地方标准《大气污染物排放限值》（DB44/27-2001）第二时段无组织排放监控浓度限值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tcBorders>
              <w:left w:val="single" w:color="auto" w:sz="8"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843" w:type="dxa"/>
            <w:vMerge w:val="restart"/>
            <w:tcBorders>
              <w:top w:val="single" w:color="auto" w:sz="4" w:space="0"/>
              <w:left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消化过程产生</w:t>
            </w:r>
          </w:p>
          <w:p>
            <w:pPr>
              <w:spacing w:line="240" w:lineRule="auto"/>
              <w:ind w:left="-105" w:leftChars="-50" w:right="-105" w:rightChars="-50"/>
              <w:jc w:val="center"/>
              <w:rPr>
                <w:color w:val="auto"/>
                <w:szCs w:val="21"/>
                <w:highlight w:val="none"/>
              </w:rPr>
            </w:pPr>
            <w:r>
              <w:rPr>
                <w:color w:val="auto"/>
                <w:szCs w:val="21"/>
                <w:highlight w:val="none"/>
              </w:rPr>
              <w:t>的粉尘</w:t>
            </w:r>
          </w:p>
        </w:tc>
        <w:tc>
          <w:tcPr>
            <w:tcW w:w="855"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DA001</w:t>
            </w:r>
          </w:p>
        </w:tc>
        <w:tc>
          <w:tcPr>
            <w:tcW w:w="117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颗粒物</w:t>
            </w:r>
          </w:p>
        </w:tc>
        <w:tc>
          <w:tcPr>
            <w:tcW w:w="19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color w:val="auto"/>
                <w:highlight w:val="none"/>
              </w:rPr>
              <w:t>脉冲布袋除尘器+</w:t>
            </w:r>
            <w:r>
              <w:rPr>
                <w:rFonts w:hint="eastAsia" w:ascii="Times New Roman" w:hAnsi="Times New Roman" w:cs="Times New Roman"/>
                <w:color w:val="auto"/>
                <w:kern w:val="2"/>
                <w:highlight w:val="none"/>
              </w:rPr>
              <w:t>15m高DA001排气筒</w:t>
            </w:r>
          </w:p>
        </w:tc>
        <w:tc>
          <w:tcPr>
            <w:tcW w:w="2254" w:type="dxa"/>
            <w:tcBorders>
              <w:top w:val="single" w:color="auto" w:sz="4" w:space="0"/>
              <w:left w:val="single" w:color="auto" w:sz="4" w:space="0"/>
              <w:bottom w:val="single" w:color="auto" w:sz="4" w:space="0"/>
              <w:right w:val="single" w:color="auto" w:sz="8"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highlight w:val="none"/>
              </w:rPr>
              <w:t>广东省地方标准《大气污染物排放限值》（DB44/27-2001）第二时段二级标准排放限值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tcBorders>
              <w:left w:val="single" w:color="auto" w:sz="8"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843" w:type="dxa"/>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ind w:left="-105" w:leftChars="-50" w:right="-105" w:rightChars="-50"/>
              <w:rPr>
                <w:rFonts w:ascii="Times New Roman" w:hAnsi="Times New Roman" w:cs="Times New Roman"/>
                <w:color w:val="auto"/>
                <w:kern w:val="2"/>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无组织</w:t>
            </w:r>
          </w:p>
        </w:tc>
        <w:tc>
          <w:tcPr>
            <w:tcW w:w="117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颗粒物</w:t>
            </w:r>
          </w:p>
        </w:tc>
        <w:tc>
          <w:tcPr>
            <w:tcW w:w="19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加强车间通风</w:t>
            </w:r>
          </w:p>
        </w:tc>
        <w:tc>
          <w:tcPr>
            <w:tcW w:w="2254" w:type="dxa"/>
            <w:tcBorders>
              <w:top w:val="single" w:color="auto" w:sz="4" w:space="0"/>
              <w:left w:val="single" w:color="auto" w:sz="4" w:space="0"/>
              <w:bottom w:val="single" w:color="auto" w:sz="4" w:space="0"/>
              <w:right w:val="single" w:color="auto" w:sz="8"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highlight w:val="none"/>
              </w:rPr>
              <w:t>广东省地方标准《大气污染物排放限值》（DB44/27-2001）第二时段颗粒物的无组织排放监控浓度限值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tcBorders>
              <w:left w:val="single" w:color="auto" w:sz="8"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843" w:type="dxa"/>
            <w:tcBorders>
              <w:left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color w:val="auto"/>
                <w:szCs w:val="21"/>
                <w:highlight w:val="none"/>
              </w:rPr>
              <w:t>卸料、</w:t>
            </w:r>
          </w:p>
          <w:p>
            <w:pPr>
              <w:spacing w:line="240" w:lineRule="auto"/>
              <w:ind w:left="-105" w:leftChars="-50" w:right="-105" w:rightChars="-50"/>
              <w:jc w:val="center"/>
              <w:rPr>
                <w:color w:val="auto"/>
                <w:szCs w:val="21"/>
                <w:highlight w:val="none"/>
              </w:rPr>
            </w:pPr>
            <w:r>
              <w:rPr>
                <w:color w:val="auto"/>
                <w:szCs w:val="21"/>
                <w:highlight w:val="none"/>
              </w:rPr>
              <w:t>堆存</w:t>
            </w:r>
          </w:p>
        </w:tc>
        <w:tc>
          <w:tcPr>
            <w:tcW w:w="855"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无组织</w:t>
            </w:r>
          </w:p>
        </w:tc>
        <w:tc>
          <w:tcPr>
            <w:tcW w:w="117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颗粒物</w:t>
            </w:r>
          </w:p>
        </w:tc>
        <w:tc>
          <w:tcPr>
            <w:tcW w:w="19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w:t>
            </w:r>
          </w:p>
        </w:tc>
        <w:tc>
          <w:tcPr>
            <w:tcW w:w="2254" w:type="dxa"/>
            <w:tcBorders>
              <w:top w:val="single" w:color="auto" w:sz="4" w:space="0"/>
              <w:left w:val="single" w:color="auto" w:sz="4" w:space="0"/>
              <w:bottom w:val="single" w:color="auto" w:sz="4" w:space="0"/>
              <w:right w:val="single" w:color="auto" w:sz="8"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highlight w:val="none"/>
              </w:rPr>
              <w:t>广东省地方标准《大气污染物排放限值》（DB44/27-2001）第二时段无组织排放监控浓度限值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tcBorders>
              <w:left w:val="single" w:color="auto" w:sz="8"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843" w:type="dxa"/>
            <w:tcBorders>
              <w:left w:val="single" w:color="auto" w:sz="4" w:space="0"/>
              <w:right w:val="single" w:color="auto" w:sz="4" w:space="0"/>
            </w:tcBorders>
            <w:vAlign w:val="center"/>
          </w:tcPr>
          <w:p>
            <w:pPr>
              <w:spacing w:line="240" w:lineRule="auto"/>
              <w:ind w:left="-105" w:leftChars="-50" w:right="-105" w:rightChars="-50"/>
              <w:jc w:val="center"/>
              <w:rPr>
                <w:color w:val="auto"/>
                <w:szCs w:val="21"/>
                <w:highlight w:val="none"/>
              </w:rPr>
            </w:pPr>
            <w:r>
              <w:rPr>
                <w:rFonts w:hint="eastAsia"/>
                <w:bCs/>
                <w:color w:val="auto"/>
                <w:szCs w:val="21"/>
                <w:highlight w:val="none"/>
                <w:lang w:val="en-US" w:eastAsia="zh-CN"/>
              </w:rPr>
              <w:t>成品罐呼吸废气及研磨粉尘</w:t>
            </w:r>
          </w:p>
        </w:tc>
        <w:tc>
          <w:tcPr>
            <w:tcW w:w="855"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hint="eastAsia" w:ascii="Times New Roman" w:hAnsi="Times New Roman" w:eastAsia="宋体" w:cs="Times New Roman"/>
                <w:color w:val="auto"/>
                <w:kern w:val="2"/>
                <w:highlight w:val="none"/>
                <w:lang w:val="en-US" w:eastAsia="zh-CN"/>
              </w:rPr>
            </w:pPr>
            <w:r>
              <w:rPr>
                <w:rFonts w:hint="eastAsia" w:ascii="Times New Roman" w:hAnsi="Times New Roman" w:cs="Times New Roman"/>
                <w:color w:val="auto"/>
                <w:kern w:val="2"/>
                <w:highlight w:val="none"/>
                <w:lang w:val="en-US" w:eastAsia="zh-CN"/>
              </w:rPr>
              <w:t>/</w:t>
            </w:r>
          </w:p>
        </w:tc>
        <w:tc>
          <w:tcPr>
            <w:tcW w:w="117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hint="eastAsia" w:ascii="Times New Roman" w:hAnsi="Times New Roman" w:cs="Times New Roman"/>
                <w:color w:val="auto"/>
                <w:kern w:val="2"/>
                <w:highlight w:val="none"/>
              </w:rPr>
            </w:pPr>
            <w:r>
              <w:rPr>
                <w:rFonts w:hint="eastAsia" w:ascii="Times New Roman" w:hAnsi="Times New Roman" w:cs="Times New Roman"/>
                <w:color w:val="auto"/>
                <w:kern w:val="2"/>
                <w:highlight w:val="none"/>
              </w:rPr>
              <w:t>颗粒物</w:t>
            </w:r>
          </w:p>
        </w:tc>
        <w:tc>
          <w:tcPr>
            <w:tcW w:w="19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hint="default" w:ascii="Times New Roman" w:hAnsi="Times New Roman" w:eastAsia="宋体" w:cs="Times New Roman"/>
                <w:color w:val="auto"/>
                <w:kern w:val="2"/>
                <w:highlight w:val="none"/>
                <w:lang w:val="en-US" w:eastAsia="zh-CN"/>
              </w:rPr>
            </w:pPr>
            <w:r>
              <w:rPr>
                <w:rFonts w:hint="eastAsia"/>
                <w:color w:val="auto"/>
                <w:sz w:val="21"/>
                <w:szCs w:val="21"/>
                <w:highlight w:val="none"/>
                <w:lang w:val="en-US" w:eastAsia="zh-CN"/>
              </w:rPr>
              <w:t>经</w:t>
            </w:r>
            <w:r>
              <w:rPr>
                <w:rFonts w:hint="eastAsia"/>
                <w:color w:val="auto"/>
                <w:sz w:val="21"/>
                <w:szCs w:val="21"/>
                <w:highlight w:val="none"/>
              </w:rPr>
              <w:t>设备自带脉冲布袋除尘器</w:t>
            </w:r>
            <w:r>
              <w:rPr>
                <w:rFonts w:hint="eastAsia"/>
                <w:color w:val="auto"/>
                <w:sz w:val="21"/>
                <w:szCs w:val="21"/>
                <w:highlight w:val="none"/>
                <w:lang w:val="en-US" w:eastAsia="zh-CN"/>
              </w:rPr>
              <w:t>收集</w:t>
            </w:r>
            <w:r>
              <w:rPr>
                <w:rFonts w:hint="eastAsia"/>
                <w:color w:val="auto"/>
                <w:sz w:val="21"/>
                <w:szCs w:val="21"/>
                <w:highlight w:val="none"/>
              </w:rPr>
              <w:t>处理后</w:t>
            </w:r>
            <w:r>
              <w:rPr>
                <w:rFonts w:hint="eastAsia"/>
                <w:color w:val="auto"/>
                <w:sz w:val="21"/>
                <w:szCs w:val="21"/>
                <w:highlight w:val="none"/>
                <w:lang w:val="en-US" w:eastAsia="zh-CN"/>
              </w:rPr>
              <w:t>回用，不外排</w:t>
            </w:r>
          </w:p>
        </w:tc>
        <w:tc>
          <w:tcPr>
            <w:tcW w:w="2254" w:type="dxa"/>
            <w:tcBorders>
              <w:top w:val="single" w:color="auto" w:sz="4" w:space="0"/>
              <w:left w:val="single" w:color="auto" w:sz="4" w:space="0"/>
              <w:bottom w:val="single" w:color="auto" w:sz="4" w:space="0"/>
              <w:right w:val="single" w:color="auto" w:sz="8" w:space="0"/>
            </w:tcBorders>
            <w:vAlign w:val="center"/>
          </w:tcPr>
          <w:p>
            <w:pPr>
              <w:pStyle w:val="50"/>
              <w:adjustRightInd/>
              <w:snapToGrid/>
              <w:spacing w:beforeLines="0" w:afterLines="0" w:line="240" w:lineRule="auto"/>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vMerge w:val="continue"/>
            <w:tcBorders>
              <w:left w:val="single" w:color="auto" w:sz="8"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1698" w:type="dxa"/>
            <w:gridSpan w:val="2"/>
            <w:tcBorders>
              <w:left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cs="Times New Roman"/>
                <w:color w:val="auto"/>
                <w:highlight w:val="none"/>
              </w:rPr>
              <w:t>厨房油烟</w:t>
            </w:r>
          </w:p>
        </w:tc>
        <w:tc>
          <w:tcPr>
            <w:tcW w:w="117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油烟</w:t>
            </w:r>
          </w:p>
        </w:tc>
        <w:tc>
          <w:tcPr>
            <w:tcW w:w="19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color w:val="auto"/>
                <w:highlight w:val="none"/>
              </w:rPr>
              <w:t>经油烟净化器处理后引至</w:t>
            </w:r>
            <w:r>
              <w:rPr>
                <w:rFonts w:hint="eastAsia"/>
                <w:color w:val="auto"/>
                <w:highlight w:val="none"/>
              </w:rPr>
              <w:t>排气筒</w:t>
            </w:r>
            <w:r>
              <w:rPr>
                <w:color w:val="auto"/>
                <w:highlight w:val="none"/>
              </w:rPr>
              <w:t>高空排放</w:t>
            </w:r>
          </w:p>
        </w:tc>
        <w:tc>
          <w:tcPr>
            <w:tcW w:w="2254" w:type="dxa"/>
            <w:tcBorders>
              <w:top w:val="single" w:color="auto" w:sz="4" w:space="0"/>
              <w:left w:val="single" w:color="auto" w:sz="4" w:space="0"/>
              <w:bottom w:val="single" w:color="auto" w:sz="4" w:space="0"/>
              <w:right w:val="single" w:color="auto" w:sz="8" w:space="0"/>
            </w:tcBorders>
            <w:vAlign w:val="center"/>
          </w:tcPr>
          <w:p>
            <w:pPr>
              <w:pStyle w:val="50"/>
              <w:adjustRightInd/>
              <w:snapToGrid/>
              <w:spacing w:beforeLines="0" w:afterLines="0" w:line="240" w:lineRule="auto"/>
              <w:ind w:left="-105" w:leftChars="-50" w:right="-105" w:rightChars="-50"/>
              <w:rPr>
                <w:rFonts w:ascii="Times New Roman" w:hAnsi="Times New Roman" w:cs="Times New Roman"/>
                <w:color w:val="auto"/>
                <w:highlight w:val="none"/>
              </w:rPr>
            </w:pPr>
            <w:r>
              <w:rPr>
                <w:color w:val="auto"/>
                <w:highlight w:val="none"/>
              </w:rPr>
              <w:t>《饮食业油烟排放</w:t>
            </w:r>
            <w:r>
              <w:rPr>
                <w:rFonts w:ascii="Times New Roman" w:hAnsi="Times New Roman" w:cs="Times New Roman"/>
                <w:color w:val="auto"/>
                <w:highlight w:val="none"/>
              </w:rPr>
              <w:t>标准(试行)》(GB18483-2001)小型规模标准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778" w:type="dxa"/>
            <w:vMerge w:val="restart"/>
            <w:tcBorders>
              <w:top w:val="single" w:color="auto" w:sz="4" w:space="0"/>
              <w:left w:val="single" w:color="auto" w:sz="8" w:space="0"/>
              <w:right w:val="single" w:color="auto" w:sz="4" w:space="0"/>
            </w:tcBorders>
            <w:vAlign w:val="center"/>
          </w:tcPr>
          <w:p>
            <w:pPr>
              <w:spacing w:line="240" w:lineRule="auto"/>
              <w:jc w:val="center"/>
              <w:rPr>
                <w:color w:val="auto"/>
                <w:szCs w:val="21"/>
                <w:highlight w:val="none"/>
              </w:rPr>
            </w:pPr>
            <w:r>
              <w:rPr>
                <w:color w:val="auto"/>
                <w:szCs w:val="21"/>
                <w:highlight w:val="none"/>
              </w:rPr>
              <w:t>地表水环境</w:t>
            </w:r>
          </w:p>
        </w:tc>
        <w:tc>
          <w:tcPr>
            <w:tcW w:w="1698" w:type="dxa"/>
            <w:gridSpan w:val="2"/>
            <w:vMerge w:val="restart"/>
            <w:tcBorders>
              <w:top w:val="single" w:color="auto" w:sz="4" w:space="0"/>
              <w:left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color w:val="auto"/>
                <w:highlight w:val="none"/>
              </w:rPr>
              <w:t>生活污水</w:t>
            </w:r>
          </w:p>
        </w:tc>
        <w:tc>
          <w:tcPr>
            <w:tcW w:w="1170" w:type="dxa"/>
            <w:tcBorders>
              <w:top w:val="single" w:color="auto" w:sz="4" w:space="0"/>
              <w:left w:val="single" w:color="auto" w:sz="4" w:space="0"/>
              <w:bottom w:val="single" w:color="auto" w:sz="4" w:space="0"/>
              <w:right w:val="single" w:color="auto" w:sz="4" w:space="0"/>
            </w:tcBorders>
            <w:vAlign w:val="center"/>
          </w:tcPr>
          <w:p>
            <w:pPr>
              <w:pStyle w:val="55"/>
              <w:widowControl w:val="0"/>
              <w:ind w:left="-84" w:right="-84"/>
              <w:rPr>
                <w:color w:val="auto"/>
                <w:highlight w:val="none"/>
              </w:rPr>
            </w:pPr>
            <w:r>
              <w:rPr>
                <w:color w:val="auto"/>
                <w:highlight w:val="none"/>
              </w:rPr>
              <w:t>COD</w:t>
            </w:r>
            <w:r>
              <w:rPr>
                <w:color w:val="auto"/>
                <w:highlight w:val="none"/>
                <w:vertAlign w:val="subscript"/>
              </w:rPr>
              <w:t>Cr</w:t>
            </w:r>
          </w:p>
        </w:tc>
        <w:tc>
          <w:tcPr>
            <w:tcW w:w="1900" w:type="dxa"/>
            <w:vMerge w:val="restart"/>
            <w:tcBorders>
              <w:top w:val="single" w:color="auto" w:sz="4" w:space="0"/>
              <w:left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r>
              <w:rPr>
                <w:rFonts w:hint="eastAsia"/>
                <w:color w:val="auto"/>
                <w:highlight w:val="none"/>
              </w:rPr>
              <w:t>经化粪池、隔油隔渣池处理后用于厂区绿化</w:t>
            </w:r>
          </w:p>
        </w:tc>
        <w:tc>
          <w:tcPr>
            <w:tcW w:w="2254" w:type="dxa"/>
            <w:vMerge w:val="restart"/>
            <w:tcBorders>
              <w:top w:val="single" w:color="auto" w:sz="4" w:space="0"/>
              <w:left w:val="single" w:color="auto" w:sz="4" w:space="0"/>
              <w:right w:val="single" w:color="auto" w:sz="8" w:space="0"/>
            </w:tcBorders>
            <w:vAlign w:val="center"/>
          </w:tcPr>
          <w:p>
            <w:pPr>
              <w:spacing w:line="240" w:lineRule="auto"/>
              <w:jc w:val="center"/>
              <w:rPr>
                <w:color w:val="auto"/>
                <w:szCs w:val="21"/>
                <w:highlight w:val="none"/>
              </w:rPr>
            </w:pPr>
            <w:r>
              <w:rPr>
                <w:rFonts w:hint="eastAsia"/>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778" w:type="dxa"/>
            <w:vMerge w:val="continue"/>
            <w:tcBorders>
              <w:left w:val="single" w:color="auto" w:sz="8" w:space="0"/>
              <w:right w:val="single" w:color="auto" w:sz="4" w:space="0"/>
            </w:tcBorders>
            <w:vAlign w:val="center"/>
          </w:tcPr>
          <w:p>
            <w:pPr>
              <w:spacing w:line="240" w:lineRule="auto"/>
              <w:jc w:val="center"/>
              <w:rPr>
                <w:color w:val="auto"/>
                <w:szCs w:val="21"/>
                <w:highlight w:val="none"/>
              </w:rPr>
            </w:pPr>
          </w:p>
        </w:tc>
        <w:tc>
          <w:tcPr>
            <w:tcW w:w="1698" w:type="dxa"/>
            <w:gridSpan w:val="2"/>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pStyle w:val="55"/>
              <w:widowControl w:val="0"/>
              <w:ind w:left="-84" w:right="-84"/>
              <w:rPr>
                <w:color w:val="auto"/>
                <w:highlight w:val="none"/>
              </w:rPr>
            </w:pPr>
            <w:r>
              <w:rPr>
                <w:color w:val="auto"/>
                <w:highlight w:val="none"/>
              </w:rPr>
              <w:t>BOD</w:t>
            </w:r>
            <w:r>
              <w:rPr>
                <w:color w:val="auto"/>
                <w:highlight w:val="none"/>
                <w:vertAlign w:val="subscript"/>
              </w:rPr>
              <w:t>5</w:t>
            </w:r>
          </w:p>
        </w:tc>
        <w:tc>
          <w:tcPr>
            <w:tcW w:w="1900" w:type="dxa"/>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2254" w:type="dxa"/>
            <w:vMerge w:val="continue"/>
            <w:tcBorders>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78" w:type="dxa"/>
            <w:vMerge w:val="continue"/>
            <w:tcBorders>
              <w:left w:val="single" w:color="auto" w:sz="8" w:space="0"/>
              <w:right w:val="single" w:color="auto" w:sz="4" w:space="0"/>
            </w:tcBorders>
            <w:vAlign w:val="center"/>
          </w:tcPr>
          <w:p>
            <w:pPr>
              <w:spacing w:line="240" w:lineRule="auto"/>
              <w:jc w:val="center"/>
              <w:rPr>
                <w:color w:val="auto"/>
                <w:szCs w:val="21"/>
                <w:highlight w:val="none"/>
              </w:rPr>
            </w:pPr>
          </w:p>
        </w:tc>
        <w:tc>
          <w:tcPr>
            <w:tcW w:w="1698" w:type="dxa"/>
            <w:gridSpan w:val="2"/>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pStyle w:val="55"/>
              <w:widowControl w:val="0"/>
              <w:ind w:left="-84" w:right="-84"/>
              <w:rPr>
                <w:color w:val="auto"/>
                <w:highlight w:val="none"/>
              </w:rPr>
            </w:pPr>
            <w:r>
              <w:rPr>
                <w:color w:val="auto"/>
                <w:highlight w:val="none"/>
              </w:rPr>
              <w:t>NH</w:t>
            </w:r>
            <w:r>
              <w:rPr>
                <w:color w:val="auto"/>
                <w:highlight w:val="none"/>
                <w:vertAlign w:val="subscript"/>
              </w:rPr>
              <w:t>3</w:t>
            </w:r>
            <w:r>
              <w:rPr>
                <w:color w:val="auto"/>
                <w:highlight w:val="none"/>
              </w:rPr>
              <w:t>-N</w:t>
            </w:r>
          </w:p>
        </w:tc>
        <w:tc>
          <w:tcPr>
            <w:tcW w:w="1900" w:type="dxa"/>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2254" w:type="dxa"/>
            <w:vMerge w:val="continue"/>
            <w:tcBorders>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78" w:type="dxa"/>
            <w:vMerge w:val="continue"/>
            <w:tcBorders>
              <w:left w:val="single" w:color="auto" w:sz="8" w:space="0"/>
              <w:right w:val="single" w:color="auto" w:sz="4" w:space="0"/>
            </w:tcBorders>
            <w:vAlign w:val="center"/>
          </w:tcPr>
          <w:p>
            <w:pPr>
              <w:spacing w:line="240" w:lineRule="auto"/>
              <w:jc w:val="center"/>
              <w:rPr>
                <w:color w:val="auto"/>
                <w:szCs w:val="21"/>
                <w:highlight w:val="none"/>
              </w:rPr>
            </w:pPr>
          </w:p>
        </w:tc>
        <w:tc>
          <w:tcPr>
            <w:tcW w:w="1698" w:type="dxa"/>
            <w:gridSpan w:val="2"/>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pStyle w:val="55"/>
              <w:widowControl w:val="0"/>
              <w:ind w:left="-84" w:right="-84"/>
              <w:rPr>
                <w:color w:val="auto"/>
                <w:highlight w:val="none"/>
              </w:rPr>
            </w:pPr>
            <w:r>
              <w:rPr>
                <w:color w:val="auto"/>
                <w:highlight w:val="none"/>
              </w:rPr>
              <w:t>SS</w:t>
            </w:r>
          </w:p>
        </w:tc>
        <w:tc>
          <w:tcPr>
            <w:tcW w:w="1900" w:type="dxa"/>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2254" w:type="dxa"/>
            <w:vMerge w:val="continue"/>
            <w:tcBorders>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778" w:type="dxa"/>
            <w:vMerge w:val="continue"/>
            <w:tcBorders>
              <w:left w:val="single" w:color="auto" w:sz="8" w:space="0"/>
              <w:right w:val="single" w:color="auto" w:sz="4" w:space="0"/>
            </w:tcBorders>
            <w:vAlign w:val="center"/>
          </w:tcPr>
          <w:p>
            <w:pPr>
              <w:spacing w:line="240" w:lineRule="auto"/>
              <w:jc w:val="center"/>
              <w:rPr>
                <w:color w:val="auto"/>
                <w:szCs w:val="21"/>
                <w:highlight w:val="none"/>
              </w:rPr>
            </w:pPr>
          </w:p>
        </w:tc>
        <w:tc>
          <w:tcPr>
            <w:tcW w:w="1698" w:type="dxa"/>
            <w:gridSpan w:val="2"/>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pStyle w:val="55"/>
              <w:widowControl w:val="0"/>
              <w:ind w:left="-84" w:right="-84"/>
              <w:rPr>
                <w:color w:val="auto"/>
                <w:highlight w:val="none"/>
              </w:rPr>
            </w:pPr>
            <w:r>
              <w:rPr>
                <w:color w:val="auto"/>
                <w:highlight w:val="none"/>
              </w:rPr>
              <w:t>动植物油</w:t>
            </w:r>
          </w:p>
        </w:tc>
        <w:tc>
          <w:tcPr>
            <w:tcW w:w="1900" w:type="dxa"/>
            <w:vMerge w:val="continue"/>
            <w:tcBorders>
              <w:left w:val="single" w:color="auto" w:sz="4" w:space="0"/>
              <w:bottom w:val="single" w:color="auto" w:sz="4" w:space="0"/>
              <w:right w:val="single" w:color="auto" w:sz="4" w:space="0"/>
            </w:tcBorders>
            <w:vAlign w:val="center"/>
          </w:tcPr>
          <w:p>
            <w:pPr>
              <w:pStyle w:val="50"/>
              <w:adjustRightInd/>
              <w:snapToGrid/>
              <w:spacing w:beforeLines="0" w:afterLines="0" w:line="240" w:lineRule="auto"/>
              <w:rPr>
                <w:rFonts w:ascii="Times New Roman" w:hAnsi="Times New Roman" w:cs="Times New Roman"/>
                <w:color w:val="auto"/>
                <w:kern w:val="2"/>
                <w:highlight w:val="none"/>
              </w:rPr>
            </w:pPr>
          </w:p>
        </w:tc>
        <w:tc>
          <w:tcPr>
            <w:tcW w:w="2254" w:type="dxa"/>
            <w:vMerge w:val="continue"/>
            <w:tcBorders>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声环境</w:t>
            </w:r>
          </w:p>
        </w:tc>
        <w:tc>
          <w:tcPr>
            <w:tcW w:w="169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生产设备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噪声</w:t>
            </w:r>
          </w:p>
        </w:tc>
        <w:tc>
          <w:tcPr>
            <w:tcW w:w="1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采取</w:t>
            </w:r>
            <w:r>
              <w:rPr>
                <w:rFonts w:hint="eastAsia"/>
                <w:color w:val="auto"/>
                <w:szCs w:val="21"/>
                <w:highlight w:val="none"/>
              </w:rPr>
              <w:t>基础减震</w:t>
            </w:r>
            <w:r>
              <w:rPr>
                <w:color w:val="auto"/>
                <w:szCs w:val="21"/>
                <w:highlight w:val="none"/>
              </w:rPr>
              <w:t>等措施</w:t>
            </w:r>
          </w:p>
        </w:tc>
        <w:tc>
          <w:tcPr>
            <w:tcW w:w="225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r>
              <w:rPr>
                <w:color w:val="auto"/>
                <w:szCs w:val="21"/>
                <w:highlight w:val="none"/>
              </w:rPr>
              <w:t>《工业企业厂界环境噪声排放标准》（GB12348-2008</w:t>
            </w:r>
            <w:r>
              <w:rPr>
                <w:rFonts w:ascii="宋体" w:hAnsi="宋体"/>
                <w:color w:val="auto"/>
                <w:szCs w:val="21"/>
                <w:highlight w:val="none"/>
              </w:rPr>
              <w:t>）中的</w:t>
            </w:r>
            <w:r>
              <w:rPr>
                <w:rFonts w:hint="eastAsia"/>
                <w:color w:val="auto"/>
                <w:szCs w:val="21"/>
                <w:highlight w:val="none"/>
              </w:rPr>
              <w:t>2</w:t>
            </w:r>
            <w:r>
              <w:rPr>
                <w:color w:val="auto"/>
                <w:szCs w:val="21"/>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电磁辐射</w:t>
            </w:r>
          </w:p>
        </w:tc>
        <w:tc>
          <w:tcPr>
            <w:tcW w:w="7022" w:type="dxa"/>
            <w:gridSpan w:val="5"/>
            <w:tcBorders>
              <w:top w:val="single" w:color="auto" w:sz="4" w:space="0"/>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r>
              <w:rPr>
                <w:color w:val="auto"/>
                <w:szCs w:val="21"/>
                <w:highlight w:val="none"/>
              </w:rPr>
              <w:t>不涉及电磁辐射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固体废物</w:t>
            </w:r>
          </w:p>
        </w:tc>
        <w:tc>
          <w:tcPr>
            <w:tcW w:w="7022" w:type="dxa"/>
            <w:gridSpan w:val="5"/>
            <w:tcBorders>
              <w:top w:val="single" w:color="auto" w:sz="4" w:space="0"/>
              <w:left w:val="single" w:color="auto" w:sz="4" w:space="0"/>
              <w:bottom w:val="single" w:color="auto" w:sz="4" w:space="0"/>
              <w:right w:val="single" w:color="auto" w:sz="8" w:space="0"/>
            </w:tcBorders>
            <w:vAlign w:val="center"/>
          </w:tcPr>
          <w:p>
            <w:pPr>
              <w:spacing w:line="240" w:lineRule="auto"/>
              <w:ind w:firstLine="420" w:firstLineChars="200"/>
              <w:jc w:val="both"/>
              <w:rPr>
                <w:color w:val="auto"/>
                <w:szCs w:val="21"/>
                <w:highlight w:val="none"/>
              </w:rPr>
            </w:pPr>
            <w:r>
              <w:rPr>
                <w:color w:val="auto"/>
                <w:szCs w:val="21"/>
                <w:highlight w:val="none"/>
              </w:rPr>
              <w:t>生活垃圾交由环卫部门统一处置；</w:t>
            </w:r>
            <w:r>
              <w:rPr>
                <w:rFonts w:hint="eastAsia"/>
                <w:color w:val="auto"/>
                <w:szCs w:val="21"/>
                <w:highlight w:val="none"/>
              </w:rPr>
              <w:t>布袋除尘器粉尘收集后回用；</w:t>
            </w:r>
            <w:r>
              <w:rPr>
                <w:color w:val="auto"/>
                <w:szCs w:val="21"/>
                <w:highlight w:val="none"/>
              </w:rPr>
              <w:t>废</w:t>
            </w:r>
            <w:r>
              <w:rPr>
                <w:rFonts w:hint="eastAsia"/>
                <w:color w:val="auto"/>
                <w:szCs w:val="21"/>
                <w:highlight w:val="none"/>
              </w:rPr>
              <w:t>机油和废含油抹布手套交由资质单位处理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土壤及地下水</w:t>
            </w:r>
          </w:p>
          <w:p>
            <w:pPr>
              <w:spacing w:line="240" w:lineRule="auto"/>
              <w:jc w:val="center"/>
              <w:rPr>
                <w:color w:val="auto"/>
                <w:szCs w:val="21"/>
                <w:highlight w:val="none"/>
              </w:rPr>
            </w:pPr>
            <w:r>
              <w:rPr>
                <w:color w:val="auto"/>
                <w:szCs w:val="21"/>
                <w:highlight w:val="none"/>
              </w:rPr>
              <w:t>污染防治措施</w:t>
            </w:r>
          </w:p>
        </w:tc>
        <w:tc>
          <w:tcPr>
            <w:tcW w:w="7022" w:type="dxa"/>
            <w:gridSpan w:val="5"/>
            <w:tcBorders>
              <w:top w:val="single" w:color="auto" w:sz="4" w:space="0"/>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r>
              <w:rPr>
                <w:rFonts w:hint="eastAsia"/>
                <w:color w:val="auto"/>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生态保护措施</w:t>
            </w:r>
          </w:p>
        </w:tc>
        <w:tc>
          <w:tcPr>
            <w:tcW w:w="7022" w:type="dxa"/>
            <w:gridSpan w:val="5"/>
            <w:tcBorders>
              <w:top w:val="single" w:color="auto" w:sz="4" w:space="0"/>
              <w:left w:val="single" w:color="auto" w:sz="4" w:space="0"/>
              <w:bottom w:val="single" w:color="auto" w:sz="4" w:space="0"/>
              <w:right w:val="single" w:color="auto" w:sz="8" w:space="0"/>
            </w:tcBorders>
            <w:vAlign w:val="center"/>
          </w:tcPr>
          <w:p>
            <w:pPr>
              <w:spacing w:line="240" w:lineRule="auto"/>
              <w:jc w:val="center"/>
              <w:rPr>
                <w:color w:val="auto"/>
                <w:szCs w:val="21"/>
                <w:highlight w:val="none"/>
              </w:rPr>
            </w:pPr>
            <w:r>
              <w:rPr>
                <w:color w:val="auto"/>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color w:val="auto"/>
                <w:szCs w:val="21"/>
                <w:highlight w:val="none"/>
              </w:rPr>
            </w:pPr>
            <w:r>
              <w:rPr>
                <w:color w:val="auto"/>
                <w:szCs w:val="21"/>
                <w:highlight w:val="none"/>
              </w:rPr>
              <w:t>环境风险</w:t>
            </w:r>
          </w:p>
          <w:p>
            <w:pPr>
              <w:spacing w:line="240" w:lineRule="auto"/>
              <w:jc w:val="center"/>
              <w:rPr>
                <w:color w:val="auto"/>
                <w:szCs w:val="21"/>
                <w:highlight w:val="none"/>
              </w:rPr>
            </w:pPr>
            <w:r>
              <w:rPr>
                <w:color w:val="auto"/>
                <w:szCs w:val="21"/>
                <w:highlight w:val="none"/>
              </w:rPr>
              <w:t>防范措施</w:t>
            </w:r>
          </w:p>
        </w:tc>
        <w:tc>
          <w:tcPr>
            <w:tcW w:w="7022" w:type="dxa"/>
            <w:gridSpan w:val="5"/>
            <w:tcBorders>
              <w:top w:val="single" w:color="auto" w:sz="4" w:space="0"/>
              <w:left w:val="single" w:color="auto" w:sz="4" w:space="0"/>
              <w:bottom w:val="single" w:color="auto" w:sz="4" w:space="0"/>
              <w:right w:val="single" w:color="auto" w:sz="8" w:space="0"/>
            </w:tcBorders>
            <w:vAlign w:val="center"/>
          </w:tcPr>
          <w:p>
            <w:pPr>
              <w:spacing w:line="240" w:lineRule="auto"/>
              <w:ind w:firstLine="420" w:firstLineChars="200"/>
              <w:rPr>
                <w:color w:val="auto"/>
                <w:kern w:val="0"/>
                <w:szCs w:val="21"/>
                <w:highlight w:val="none"/>
              </w:rPr>
            </w:pPr>
            <w:r>
              <w:rPr>
                <w:rFonts w:hint="eastAsia"/>
                <w:color w:val="auto"/>
                <w:kern w:val="0"/>
                <w:szCs w:val="21"/>
                <w:highlight w:val="none"/>
              </w:rPr>
              <w:t>①</w:t>
            </w:r>
            <w:r>
              <w:rPr>
                <w:rFonts w:hint="eastAsia"/>
                <w:color w:val="auto"/>
                <w:highlight w:val="none"/>
              </w:rPr>
              <w:t>及时清除粉尘</w:t>
            </w:r>
            <w:r>
              <w:rPr>
                <w:rFonts w:hint="eastAsia"/>
                <w:color w:val="auto"/>
                <w:highlight w:val="none"/>
                <w:lang w:eastAsia="zh-CN"/>
              </w:rPr>
              <w:t>，</w:t>
            </w:r>
            <w:r>
              <w:rPr>
                <w:rFonts w:hint="eastAsia"/>
                <w:color w:val="auto"/>
                <w:kern w:val="0"/>
                <w:szCs w:val="21"/>
                <w:highlight w:val="none"/>
              </w:rPr>
              <w:t>危险废物仓库、废气治理设施处使用水泥等其他防渗防腐材料进行硬化，达到防渗的作用。</w:t>
            </w:r>
          </w:p>
          <w:p>
            <w:pPr>
              <w:spacing w:line="240" w:lineRule="auto"/>
              <w:ind w:firstLine="420" w:firstLineChars="200"/>
              <w:rPr>
                <w:color w:val="auto"/>
                <w:kern w:val="0"/>
                <w:szCs w:val="21"/>
                <w:highlight w:val="none"/>
              </w:rPr>
            </w:pPr>
            <w:r>
              <w:rPr>
                <w:rFonts w:hint="eastAsia"/>
                <w:color w:val="auto"/>
                <w:kern w:val="0"/>
                <w:szCs w:val="21"/>
                <w:highlight w:val="none"/>
              </w:rPr>
              <w:t>②加强员工操作规范培训，提供员工风险意识。</w:t>
            </w:r>
          </w:p>
          <w:p>
            <w:pPr>
              <w:spacing w:line="240" w:lineRule="auto"/>
              <w:ind w:firstLine="420" w:firstLineChars="200"/>
              <w:rPr>
                <w:color w:val="auto"/>
                <w:kern w:val="0"/>
                <w:szCs w:val="21"/>
                <w:highlight w:val="none"/>
              </w:rPr>
            </w:pPr>
            <w:r>
              <w:rPr>
                <w:rFonts w:hint="eastAsia"/>
                <w:color w:val="auto"/>
                <w:kern w:val="0"/>
                <w:szCs w:val="21"/>
                <w:highlight w:val="none"/>
              </w:rPr>
              <w:t>③设置灭火器和一定量的消防沙以作为备用；泄漏物料及相应的消防沙、吸附棉全部委外处理。</w:t>
            </w:r>
          </w:p>
          <w:p>
            <w:pPr>
              <w:spacing w:line="240" w:lineRule="auto"/>
              <w:ind w:firstLine="420" w:firstLineChars="200"/>
              <w:rPr>
                <w:color w:val="auto"/>
                <w:szCs w:val="21"/>
                <w:highlight w:val="none"/>
              </w:rPr>
            </w:pPr>
            <w:r>
              <w:rPr>
                <w:rFonts w:hint="eastAsia"/>
                <w:color w:val="auto"/>
                <w:kern w:val="0"/>
                <w:szCs w:val="21"/>
                <w:highlight w:val="none"/>
              </w:rPr>
              <w:t>④定期检修废气治理设施，尽量避免设施发生故障。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8" w:type="dxa"/>
            <w:tcBorders>
              <w:top w:val="single" w:color="auto" w:sz="4" w:space="0"/>
              <w:left w:val="single" w:color="auto" w:sz="8" w:space="0"/>
              <w:bottom w:val="single" w:color="auto" w:sz="8" w:space="0"/>
              <w:right w:val="single" w:color="auto" w:sz="4" w:space="0"/>
            </w:tcBorders>
            <w:vAlign w:val="center"/>
          </w:tcPr>
          <w:p>
            <w:pPr>
              <w:spacing w:line="240" w:lineRule="auto"/>
              <w:jc w:val="center"/>
              <w:rPr>
                <w:color w:val="auto"/>
                <w:szCs w:val="21"/>
                <w:highlight w:val="none"/>
              </w:rPr>
            </w:pPr>
            <w:r>
              <w:rPr>
                <w:color w:val="auto"/>
                <w:szCs w:val="21"/>
                <w:highlight w:val="none"/>
              </w:rPr>
              <w:t>其他环境</w:t>
            </w:r>
          </w:p>
          <w:p>
            <w:pPr>
              <w:spacing w:line="240" w:lineRule="auto"/>
              <w:jc w:val="center"/>
              <w:rPr>
                <w:color w:val="auto"/>
                <w:szCs w:val="21"/>
                <w:highlight w:val="none"/>
              </w:rPr>
            </w:pPr>
            <w:r>
              <w:rPr>
                <w:color w:val="auto"/>
                <w:szCs w:val="21"/>
                <w:highlight w:val="none"/>
              </w:rPr>
              <w:t>管理要求</w:t>
            </w:r>
          </w:p>
        </w:tc>
        <w:tc>
          <w:tcPr>
            <w:tcW w:w="7022" w:type="dxa"/>
            <w:gridSpan w:val="5"/>
            <w:tcBorders>
              <w:top w:val="single" w:color="auto" w:sz="4" w:space="0"/>
              <w:left w:val="single" w:color="auto" w:sz="4" w:space="0"/>
              <w:bottom w:val="single" w:color="auto" w:sz="8" w:space="0"/>
              <w:right w:val="single" w:color="auto" w:sz="8" w:space="0"/>
            </w:tcBorders>
            <w:vAlign w:val="center"/>
          </w:tcPr>
          <w:p>
            <w:pPr>
              <w:spacing w:line="240" w:lineRule="auto"/>
              <w:jc w:val="center"/>
              <w:rPr>
                <w:color w:val="auto"/>
                <w:szCs w:val="21"/>
                <w:highlight w:val="none"/>
              </w:rPr>
            </w:pPr>
            <w:r>
              <w:rPr>
                <w:color w:val="auto"/>
                <w:szCs w:val="21"/>
                <w:highlight w:val="none"/>
              </w:rPr>
              <w:t>无</w:t>
            </w:r>
          </w:p>
        </w:tc>
      </w:tr>
    </w:tbl>
    <w:p>
      <w:pPr>
        <w:pStyle w:val="25"/>
        <w:jc w:val="center"/>
        <w:outlineLvl w:val="0"/>
        <w:rPr>
          <w:rFonts w:ascii="Times New Roman" w:hAnsi="Times New Roman"/>
          <w:color w:val="auto"/>
          <w:sz w:val="30"/>
          <w:szCs w:val="30"/>
          <w:highlight w:val="none"/>
        </w:rPr>
      </w:pPr>
      <w:r>
        <w:rPr>
          <w:rFonts w:ascii="Times New Roman" w:hAnsi="Times New Roman"/>
          <w:color w:val="auto"/>
          <w:highlight w:val="none"/>
        </w:rPr>
        <w:br w:type="page"/>
      </w:r>
      <w:r>
        <w:rPr>
          <w:color w:val="auto"/>
          <w:sz w:val="30"/>
          <w:szCs w:val="30"/>
          <w:highlight w:val="none"/>
        </w:rPr>
        <w:t>六、结论</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left w:val="single" w:color="auto" w:sz="8" w:space="0"/>
              <w:bottom w:val="single" w:color="auto" w:sz="8" w:space="0"/>
              <w:right w:val="single" w:color="auto" w:sz="8" w:space="0"/>
            </w:tcBorders>
          </w:tcPr>
          <w:p>
            <w:pPr>
              <w:ind w:firstLine="420" w:firstLineChars="200"/>
              <w:rPr>
                <w:color w:val="auto"/>
                <w:sz w:val="24"/>
                <w:highlight w:val="none"/>
              </w:rPr>
            </w:pPr>
            <w:r>
              <w:rPr>
                <w:color w:val="auto"/>
                <w:highlight w:val="none"/>
              </w:rPr>
              <w:t>本项目符合国家和地方产业政策，选址布局合理，项目拟采用各项环境保护措施具有经济和技术可行性，可确保达标排放。本项目的建设有利于</w:t>
            </w:r>
            <w:r>
              <w:rPr>
                <w:bCs/>
                <w:color w:val="auto"/>
                <w:highlight w:val="none"/>
              </w:rPr>
              <w:t>当地的经济发展，有一定的经济效益和社会效益。产生的各种污染物经相应措施处理后能做到达标排放，产生的污染物对当地的环境影响不大。</w:t>
            </w:r>
            <w:r>
              <w:rPr>
                <w:color w:val="auto"/>
                <w:highlight w:val="none"/>
              </w:rPr>
              <w:t>只要在本项目的建设中认真执行环保“</w:t>
            </w:r>
            <w:r>
              <w:rPr>
                <w:rFonts w:ascii="宋体" w:hAnsi="宋体"/>
                <w:color w:val="auto"/>
                <w:highlight w:val="none"/>
              </w:rPr>
              <w:t>三同时</w:t>
            </w:r>
            <w:r>
              <w:rPr>
                <w:color w:val="auto"/>
                <w:highlight w:val="none"/>
              </w:rPr>
              <w:t>”</w:t>
            </w:r>
            <w:r>
              <w:rPr>
                <w:rFonts w:ascii="宋体" w:hAnsi="宋体"/>
                <w:color w:val="auto"/>
                <w:highlight w:val="none"/>
              </w:rPr>
              <w:t>，落实本环评中提出的各污染防治措施，从环保角度考虑，建设项目在选定地址内实施是可行的。</w:t>
            </w:r>
          </w:p>
        </w:tc>
      </w:tr>
    </w:tbl>
    <w:p>
      <w:pPr>
        <w:rPr>
          <w:color w:val="auto"/>
          <w:kern w:val="0"/>
          <w:sz w:val="32"/>
          <w:szCs w:val="32"/>
          <w:highlight w:val="none"/>
        </w:rPr>
        <w:sectPr>
          <w:pgSz w:w="11906" w:h="16838"/>
          <w:pgMar w:top="1701" w:right="1531" w:bottom="1701" w:left="1531" w:header="851" w:footer="851" w:gutter="0"/>
          <w:cols w:space="720" w:num="1"/>
          <w:docGrid w:type="lines" w:linePitch="312" w:charSpace="0"/>
        </w:sectPr>
      </w:pPr>
    </w:p>
    <w:p>
      <w:pPr>
        <w:pStyle w:val="25"/>
        <w:adjustRightInd w:val="0"/>
        <w:snapToGrid w:val="0"/>
        <w:spacing w:before="0" w:beforeAutospacing="0" w:after="0" w:afterAutospacing="0"/>
        <w:outlineLvl w:val="0"/>
        <w:rPr>
          <w:rFonts w:ascii="Times New Roman" w:hAnsi="Times New Roman"/>
          <w:color w:val="auto"/>
          <w:sz w:val="32"/>
          <w:szCs w:val="32"/>
          <w:highlight w:val="none"/>
        </w:rPr>
      </w:pPr>
      <w:r>
        <w:rPr>
          <w:color w:val="auto"/>
          <w:sz w:val="32"/>
          <w:szCs w:val="32"/>
          <w:highlight w:val="none"/>
        </w:rPr>
        <w:t>附表</w:t>
      </w:r>
    </w:p>
    <w:p>
      <w:pPr>
        <w:pStyle w:val="25"/>
        <w:adjustRightInd w:val="0"/>
        <w:snapToGrid w:val="0"/>
        <w:spacing w:before="0" w:beforeAutospacing="0" w:after="0" w:afterAutospacing="0"/>
        <w:jc w:val="center"/>
        <w:rPr>
          <w:rFonts w:ascii="Times New Roman" w:hAnsi="Times New Roman"/>
          <w:color w:val="auto"/>
          <w:sz w:val="38"/>
          <w:szCs w:val="38"/>
          <w:highlight w:val="none"/>
        </w:rPr>
      </w:pPr>
      <w:r>
        <w:rPr>
          <w:color w:val="auto"/>
          <w:sz w:val="38"/>
          <w:szCs w:val="38"/>
          <w:highlight w:val="none"/>
        </w:rPr>
        <w:t>建设项目污染物排放量汇总表</w:t>
      </w:r>
    </w:p>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571"/>
        <w:gridCol w:w="1598"/>
        <w:gridCol w:w="1297"/>
        <w:gridCol w:w="1729"/>
        <w:gridCol w:w="1585"/>
        <w:gridCol w:w="1790"/>
        <w:gridCol w:w="1727"/>
        <w:gridCol w:w="11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top w:val="single" w:color="auto" w:sz="8" w:space="0"/>
              <w:left w:val="single" w:color="auto" w:sz="8" w:space="0"/>
              <w:bottom w:val="single" w:color="auto" w:sz="4" w:space="0"/>
              <w:right w:val="single" w:color="auto" w:sz="4" w:space="0"/>
              <w:tl2br w:val="single" w:color="auto" w:sz="8" w:space="0"/>
            </w:tcBorders>
            <w:tcMar>
              <w:top w:w="0" w:type="dxa"/>
              <w:left w:w="28" w:type="dxa"/>
              <w:bottom w:w="0" w:type="dxa"/>
              <w:right w:w="28" w:type="dxa"/>
            </w:tcMar>
            <w:vAlign w:val="center"/>
          </w:tcPr>
          <w:p>
            <w:pPr>
              <w:pStyle w:val="50"/>
              <w:spacing w:beforeLines="0" w:afterLines="0" w:line="240" w:lineRule="auto"/>
              <w:jc w:val="right"/>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项目</w:t>
            </w:r>
          </w:p>
          <w:p>
            <w:pPr>
              <w:pStyle w:val="50"/>
              <w:spacing w:beforeLines="0" w:afterLines="0" w:line="240" w:lineRule="auto"/>
              <w:jc w:val="left"/>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分类</w:t>
            </w:r>
          </w:p>
        </w:tc>
        <w:tc>
          <w:tcPr>
            <w:tcW w:w="1571"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污染物名称</w:t>
            </w:r>
          </w:p>
        </w:tc>
        <w:tc>
          <w:tcPr>
            <w:tcW w:w="1598"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现有工程</w:t>
            </w:r>
          </w:p>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spacing w:val="-6"/>
                <w:kern w:val="21"/>
                <w:highlight w:val="none"/>
              </w:rPr>
              <w:t>排放量（固体废物产生量）①</w:t>
            </w:r>
          </w:p>
        </w:tc>
        <w:tc>
          <w:tcPr>
            <w:tcW w:w="1297"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现有工程</w:t>
            </w:r>
          </w:p>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许可排放量</w:t>
            </w:r>
          </w:p>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spacing w:val="-6"/>
                <w:kern w:val="21"/>
                <w:highlight w:val="none"/>
              </w:rPr>
              <w:t>②</w:t>
            </w:r>
          </w:p>
        </w:tc>
        <w:tc>
          <w:tcPr>
            <w:tcW w:w="1729"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在建工程</w:t>
            </w:r>
          </w:p>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spacing w:val="-6"/>
                <w:kern w:val="21"/>
                <w:highlight w:val="none"/>
              </w:rPr>
              <w:t>排放量（固体废物产生量）③</w:t>
            </w:r>
          </w:p>
        </w:tc>
        <w:tc>
          <w:tcPr>
            <w:tcW w:w="1585"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本项目</w:t>
            </w:r>
          </w:p>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spacing w:val="-6"/>
                <w:kern w:val="21"/>
                <w:highlight w:val="none"/>
              </w:rPr>
              <w:t>排放量（固体废物产生量）④</w:t>
            </w:r>
          </w:p>
        </w:tc>
        <w:tc>
          <w:tcPr>
            <w:tcW w:w="1790"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16"/>
                <w:kern w:val="21"/>
                <w:highlight w:val="none"/>
              </w:rPr>
            </w:pPr>
            <w:r>
              <w:rPr>
                <w:rFonts w:ascii="Times New Roman" w:hAnsi="Times New Roman" w:cs="Times New Roman"/>
                <w:color w:val="auto"/>
                <w:spacing w:val="-16"/>
                <w:kern w:val="21"/>
                <w:highlight w:val="none"/>
              </w:rPr>
              <w:t>以新带老削减量</w:t>
            </w:r>
          </w:p>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spacing w:val="-16"/>
                <w:kern w:val="21"/>
                <w:highlight w:val="none"/>
              </w:rPr>
              <w:t>（新建项目不填）⑤</w:t>
            </w:r>
          </w:p>
        </w:tc>
        <w:tc>
          <w:tcPr>
            <w:tcW w:w="1727"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16"/>
                <w:kern w:val="21"/>
                <w:highlight w:val="none"/>
              </w:rPr>
            </w:pPr>
            <w:r>
              <w:rPr>
                <w:rFonts w:ascii="Times New Roman" w:hAnsi="Times New Roman" w:cs="Times New Roman"/>
                <w:color w:val="auto"/>
                <w:spacing w:val="-16"/>
                <w:kern w:val="21"/>
                <w:highlight w:val="none"/>
              </w:rPr>
              <w:t>本项目建成后</w:t>
            </w:r>
          </w:p>
          <w:p>
            <w:pPr>
              <w:pStyle w:val="50"/>
              <w:spacing w:beforeLines="0" w:afterLines="0" w:line="240" w:lineRule="auto"/>
              <w:rPr>
                <w:rFonts w:ascii="Times New Roman" w:hAnsi="Times New Roman" w:cs="Times New Roman"/>
                <w:color w:val="auto"/>
                <w:highlight w:val="none"/>
              </w:rPr>
            </w:pPr>
            <w:r>
              <w:rPr>
                <w:rFonts w:ascii="Times New Roman" w:hAnsi="Times New Roman" w:cs="Times New Roman"/>
                <w:color w:val="auto"/>
                <w:spacing w:val="-16"/>
                <w:kern w:val="21"/>
                <w:highlight w:val="none"/>
              </w:rPr>
              <w:t>全厂排放量</w:t>
            </w:r>
            <w:r>
              <w:rPr>
                <w:rFonts w:ascii="Times New Roman" w:hAnsi="Times New Roman" w:cs="Times New Roman"/>
                <w:color w:val="auto"/>
                <w:spacing w:val="-6"/>
                <w:kern w:val="21"/>
                <w:highlight w:val="none"/>
              </w:rPr>
              <w:t>（固体废物产生量）</w:t>
            </w:r>
            <w:r>
              <w:rPr>
                <w:rFonts w:ascii="Times New Roman" w:hAnsi="Times New Roman" w:cs="Times New Roman"/>
                <w:color w:val="auto"/>
                <w:spacing w:val="-16"/>
                <w:kern w:val="21"/>
                <w:highlight w:val="none"/>
              </w:rPr>
              <w:t>⑥</w:t>
            </w:r>
          </w:p>
        </w:tc>
        <w:tc>
          <w:tcPr>
            <w:tcW w:w="1104" w:type="dxa"/>
            <w:tcBorders>
              <w:top w:val="single" w:color="auto" w:sz="8" w:space="0"/>
              <w:left w:val="single" w:color="auto" w:sz="4" w:space="0"/>
              <w:bottom w:val="single" w:color="auto" w:sz="4" w:space="0"/>
              <w:right w:val="single" w:color="auto" w:sz="8" w:space="0"/>
            </w:tcBorders>
            <w:tcMar>
              <w:top w:w="0" w:type="dxa"/>
              <w:left w:w="28" w:type="dxa"/>
              <w:bottom w:w="0" w:type="dxa"/>
              <w:right w:w="28" w:type="dxa"/>
            </w:tcMar>
            <w:vAlign w:val="center"/>
          </w:tcPr>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变化量</w:t>
            </w:r>
          </w:p>
          <w:p>
            <w:pPr>
              <w:pStyle w:val="50"/>
              <w:spacing w:beforeLines="0" w:afterLines="0" w:line="240" w:lineRule="auto"/>
              <w:rPr>
                <w:rFonts w:ascii="Times New Roman" w:hAnsi="Times New Roman" w:cs="Times New Roman"/>
                <w:color w:val="auto"/>
                <w:spacing w:val="-6"/>
                <w:kern w:val="21"/>
                <w:highlight w:val="none"/>
              </w:rPr>
            </w:pPr>
            <w:r>
              <w:rPr>
                <w:rFonts w:ascii="Times New Roman" w:hAnsi="Times New Roman" w:cs="Times New Roman"/>
                <w:color w:val="auto"/>
                <w:spacing w:val="-6"/>
                <w:kern w:val="21"/>
                <w:highlight w:val="none"/>
              </w:rPr>
              <w:t>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tcBorders>
              <w:top w:val="single" w:color="auto" w:sz="4" w:space="0"/>
              <w:left w:val="single" w:color="auto" w:sz="8"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废气</w:t>
            </w:r>
          </w:p>
        </w:tc>
        <w:tc>
          <w:tcPr>
            <w:tcW w:w="1571"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颗粒物</w:t>
            </w:r>
          </w:p>
        </w:tc>
        <w:tc>
          <w:tcPr>
            <w:tcW w:w="1598"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hint="eastAsia" w:ascii="Times New Roman" w:hAnsi="Times New Roman" w:cs="Times New Roman"/>
                <w:color w:val="auto"/>
                <w:kern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hint="eastAsia" w:ascii="Times New Roman" w:hAnsi="Times New Roman" w:cs="Times New Roman"/>
                <w:color w:val="auto"/>
                <w:kern w:val="21"/>
                <w:highlight w:val="none"/>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eastAsia="宋体"/>
                <w:color w:val="auto"/>
                <w:szCs w:val="21"/>
                <w:highlight w:val="none"/>
                <w:lang w:val="en-US" w:eastAsia="zh-CN"/>
              </w:rPr>
            </w:pPr>
            <w:r>
              <w:rPr>
                <w:rFonts w:hint="eastAsia"/>
                <w:color w:val="auto"/>
                <w:szCs w:val="21"/>
                <w:highlight w:val="none"/>
              </w:rPr>
              <w:t>2.</w:t>
            </w:r>
            <w:r>
              <w:rPr>
                <w:rFonts w:hint="eastAsia"/>
                <w:color w:val="auto"/>
                <w:szCs w:val="21"/>
                <w:highlight w:val="none"/>
                <w:lang w:val="en-US" w:eastAsia="zh-CN"/>
              </w:rPr>
              <w:t>306</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2.</w:t>
            </w:r>
            <w:r>
              <w:rPr>
                <w:rFonts w:hint="eastAsia"/>
                <w:color w:val="auto"/>
                <w:szCs w:val="21"/>
                <w:highlight w:val="none"/>
                <w:lang w:val="en-US" w:eastAsia="zh-CN"/>
              </w:rPr>
              <w:t>306</w:t>
            </w:r>
            <w:r>
              <w:rPr>
                <w:color w:val="auto"/>
                <w:szCs w:val="21"/>
                <w:highlight w:val="none"/>
              </w:rPr>
              <w:t>t/a</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color w:val="auto"/>
                <w:szCs w:val="21"/>
                <w:highlight w:val="none"/>
              </w:rPr>
              <w:t>2.</w:t>
            </w:r>
            <w:r>
              <w:rPr>
                <w:rFonts w:hint="eastAsia"/>
                <w:color w:val="auto"/>
                <w:szCs w:val="21"/>
                <w:highlight w:val="none"/>
                <w:lang w:val="en-US" w:eastAsia="zh-CN"/>
              </w:rPr>
              <w:t>306</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restart"/>
            <w:tcBorders>
              <w:top w:val="single" w:color="auto" w:sz="4" w:space="0"/>
              <w:left w:val="single" w:color="auto" w:sz="8"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废水</w:t>
            </w: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color w:val="auto"/>
                <w:szCs w:val="21"/>
                <w:highlight w:val="none"/>
              </w:rPr>
              <w:t>悬浮物</w:t>
            </w:r>
          </w:p>
        </w:tc>
        <w:tc>
          <w:tcPr>
            <w:tcW w:w="15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eastAsia="等线"/>
                <w:color w:val="auto"/>
                <w:kern w:val="0"/>
                <w:szCs w:val="21"/>
                <w:highlight w:val="none"/>
                <w:lang w:bidi="ar"/>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continue"/>
            <w:tcBorders>
              <w:left w:val="single" w:color="auto" w:sz="8"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color w:val="auto"/>
                <w:szCs w:val="21"/>
                <w:highlight w:val="none"/>
              </w:rPr>
              <w:t>CODcr</w:t>
            </w:r>
          </w:p>
        </w:tc>
        <w:tc>
          <w:tcPr>
            <w:tcW w:w="15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color w:val="auto"/>
                <w:szCs w:val="21"/>
                <w:highlight w:val="none"/>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continue"/>
            <w:tcBorders>
              <w:left w:val="single" w:color="auto" w:sz="8"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color w:val="auto"/>
                <w:szCs w:val="21"/>
                <w:highlight w:val="none"/>
              </w:rPr>
              <w:t>BOD</w:t>
            </w:r>
            <w:r>
              <w:rPr>
                <w:color w:val="auto"/>
                <w:szCs w:val="21"/>
                <w:highlight w:val="none"/>
                <w:vertAlign w:val="subscript"/>
              </w:rPr>
              <w:t>5</w:t>
            </w:r>
          </w:p>
        </w:tc>
        <w:tc>
          <w:tcPr>
            <w:tcW w:w="15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eastAsia="等线"/>
                <w:color w:val="auto"/>
                <w:kern w:val="0"/>
                <w:szCs w:val="21"/>
                <w:highlight w:val="none"/>
                <w:lang w:bidi="ar"/>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continue"/>
            <w:tcBorders>
              <w:left w:val="single" w:color="auto" w:sz="8"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color w:val="auto"/>
                <w:szCs w:val="21"/>
                <w:highlight w:val="none"/>
              </w:rPr>
              <w:t>氨氮</w:t>
            </w:r>
          </w:p>
        </w:tc>
        <w:tc>
          <w:tcPr>
            <w:tcW w:w="15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eastAsia="等线"/>
                <w:color w:val="auto"/>
                <w:kern w:val="0"/>
                <w:szCs w:val="21"/>
                <w:highlight w:val="none"/>
                <w:lang w:bidi="ar"/>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continue"/>
            <w:tcBorders>
              <w:top w:val="single" w:color="auto" w:sz="4" w:space="0"/>
              <w:left w:val="single" w:color="auto" w:sz="8" w:space="0"/>
              <w:bottom w:val="single" w:color="auto" w:sz="4" w:space="0"/>
              <w:right w:val="single" w:color="auto" w:sz="4" w:space="0"/>
            </w:tcBorders>
            <w:vAlign w:val="center"/>
          </w:tcPr>
          <w:p>
            <w:pPr>
              <w:spacing w:line="240" w:lineRule="auto"/>
              <w:rPr>
                <w:color w:val="auto"/>
                <w:kern w:val="21"/>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color w:val="auto"/>
                <w:szCs w:val="21"/>
                <w:highlight w:val="none"/>
              </w:rPr>
              <w:t>动植物油</w:t>
            </w:r>
          </w:p>
        </w:tc>
        <w:tc>
          <w:tcPr>
            <w:tcW w:w="15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bottom"/>
              <w:rPr>
                <w:color w:val="auto"/>
                <w:szCs w:val="21"/>
                <w:highlight w:val="none"/>
              </w:rPr>
            </w:pPr>
            <w:r>
              <w:rPr>
                <w:rFonts w:hint="eastAsia" w:eastAsia="等线"/>
                <w:color w:val="auto"/>
                <w:kern w:val="0"/>
                <w:szCs w:val="21"/>
                <w:highlight w:val="none"/>
                <w:lang w:bidi="ar"/>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restart"/>
            <w:tcBorders>
              <w:top w:val="single" w:color="auto" w:sz="4" w:space="0"/>
              <w:left w:val="single" w:color="auto" w:sz="8"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一般工业</w:t>
            </w:r>
          </w:p>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固体废物</w:t>
            </w: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ind w:left="-105" w:leftChars="-50" w:right="-105" w:rightChars="-50"/>
              <w:jc w:val="center"/>
              <w:rPr>
                <w:color w:val="auto"/>
                <w:kern w:val="21"/>
                <w:szCs w:val="21"/>
                <w:highlight w:val="none"/>
              </w:rPr>
            </w:pPr>
            <w:r>
              <w:rPr>
                <w:color w:val="auto"/>
                <w:szCs w:val="21"/>
                <w:highlight w:val="none"/>
              </w:rPr>
              <w:t>生活垃圾</w:t>
            </w:r>
          </w:p>
        </w:tc>
        <w:tc>
          <w:tcPr>
            <w:tcW w:w="1598"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highlight w:val="none"/>
              </w:rPr>
              <w:t>1.53t/a</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1.53t/a</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eastAsia="等线"/>
                <w:color w:val="auto"/>
                <w:kern w:val="0"/>
                <w:szCs w:val="21"/>
                <w:highlight w:val="none"/>
                <w:lang w:bidi="ar"/>
              </w:rPr>
              <w:t>+1.53</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continue"/>
            <w:tcBorders>
              <w:left w:val="single" w:color="auto" w:sz="8"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ind w:left="-105" w:leftChars="-50" w:right="-105" w:rightChars="-50"/>
              <w:jc w:val="center"/>
              <w:rPr>
                <w:color w:val="auto"/>
                <w:szCs w:val="21"/>
                <w:highlight w:val="none"/>
              </w:rPr>
            </w:pPr>
            <w:r>
              <w:rPr>
                <w:rFonts w:hint="eastAsia"/>
                <w:color w:val="auto"/>
                <w:szCs w:val="21"/>
                <w:highlight w:val="none"/>
              </w:rPr>
              <w:t>布袋除尘器粉尘</w:t>
            </w:r>
          </w:p>
        </w:tc>
        <w:tc>
          <w:tcPr>
            <w:tcW w:w="1598"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47.094</w:t>
            </w:r>
            <w:r>
              <w:rPr>
                <w:rFonts w:hint="eastAsia" w:ascii="Times New Roman" w:hAnsi="Times New Roman" w:cs="Times New Roman"/>
                <w:color w:val="auto"/>
                <w:highlight w:val="none"/>
              </w:rPr>
              <w:t>t/a</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color w:val="auto"/>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restart"/>
            <w:tcBorders>
              <w:top w:val="single" w:color="auto" w:sz="4" w:space="0"/>
              <w:left w:val="single" w:color="auto" w:sz="8"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1"/>
                <w:highlight w:val="none"/>
              </w:rPr>
            </w:pPr>
            <w:r>
              <w:rPr>
                <w:rFonts w:ascii="Times New Roman" w:hAnsi="Times New Roman" w:cs="Times New Roman"/>
                <w:color w:val="auto"/>
                <w:kern w:val="21"/>
                <w:highlight w:val="none"/>
              </w:rPr>
              <w:t>危险废物</w:t>
            </w: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ind w:left="-105" w:leftChars="-50" w:right="-105" w:rightChars="-50"/>
              <w:jc w:val="center"/>
              <w:rPr>
                <w:color w:val="auto"/>
                <w:szCs w:val="21"/>
                <w:highlight w:val="none"/>
              </w:rPr>
            </w:pPr>
            <w:r>
              <w:rPr>
                <w:color w:val="auto"/>
                <w:szCs w:val="21"/>
                <w:highlight w:val="none"/>
              </w:rPr>
              <w:t>废</w:t>
            </w:r>
            <w:r>
              <w:rPr>
                <w:rFonts w:hint="eastAsia"/>
                <w:color w:val="auto"/>
                <w:szCs w:val="21"/>
                <w:highlight w:val="none"/>
              </w:rPr>
              <w:t>机油</w:t>
            </w:r>
          </w:p>
        </w:tc>
        <w:tc>
          <w:tcPr>
            <w:tcW w:w="1598"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highlight w:val="none"/>
              </w:rPr>
              <w:t>0.01t/a</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color w:val="auto"/>
                <w:szCs w:val="21"/>
                <w:highlight w:val="none"/>
              </w:rPr>
              <w:t>0.01t/a</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eastAsia="等线"/>
                <w:color w:val="auto"/>
                <w:kern w:val="0"/>
                <w:szCs w:val="21"/>
                <w:highlight w:val="none"/>
                <w:lang w:bidi="ar"/>
              </w:rPr>
              <w:t>+0.01</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3" w:type="dxa"/>
            <w:vMerge w:val="continue"/>
            <w:tcBorders>
              <w:top w:val="single" w:color="auto" w:sz="4" w:space="0"/>
              <w:left w:val="single" w:color="auto" w:sz="8" w:space="0"/>
              <w:bottom w:val="single" w:color="auto" w:sz="4" w:space="0"/>
              <w:right w:val="single" w:color="auto" w:sz="4" w:space="0"/>
            </w:tcBorders>
            <w:vAlign w:val="center"/>
          </w:tcPr>
          <w:p>
            <w:pPr>
              <w:spacing w:line="240" w:lineRule="auto"/>
              <w:rPr>
                <w:color w:val="auto"/>
                <w:kern w:val="21"/>
                <w:szCs w:val="21"/>
                <w:highlight w:val="none"/>
              </w:rPr>
            </w:pPr>
          </w:p>
        </w:tc>
        <w:tc>
          <w:tcPr>
            <w:tcW w:w="157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ind w:left="-105" w:leftChars="-50" w:right="-105" w:rightChars="-50"/>
              <w:jc w:val="center"/>
              <w:rPr>
                <w:color w:val="auto"/>
                <w:szCs w:val="21"/>
                <w:highlight w:val="none"/>
              </w:rPr>
            </w:pPr>
            <w:r>
              <w:rPr>
                <w:rFonts w:hint="eastAsia"/>
                <w:color w:val="auto"/>
                <w:szCs w:val="21"/>
                <w:highlight w:val="none"/>
              </w:rPr>
              <w:t>废含油抹布手套</w:t>
            </w:r>
          </w:p>
        </w:tc>
        <w:tc>
          <w:tcPr>
            <w:tcW w:w="1598"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jc w:val="center"/>
              <w:rPr>
                <w:color w:val="auto"/>
                <w:szCs w:val="21"/>
                <w:highlight w:val="none"/>
              </w:rPr>
            </w:pPr>
            <w:r>
              <w:rPr>
                <w:rFonts w:hint="eastAsia"/>
                <w:color w:val="auto"/>
                <w:szCs w:val="21"/>
                <w:highlight w:val="none"/>
              </w:rPr>
              <w:t>0</w:t>
            </w:r>
          </w:p>
        </w:tc>
        <w:tc>
          <w:tcPr>
            <w:tcW w:w="1297"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hint="eastAsia" w:ascii="Times New Roman" w:hAnsi="Times New Roman" w:cs="Times New Roman"/>
                <w:color w:val="auto"/>
                <w:kern w:val="2"/>
                <w:highlight w:val="none"/>
              </w:rPr>
              <w:t>0</w:t>
            </w:r>
          </w:p>
        </w:tc>
        <w:tc>
          <w:tcPr>
            <w:tcW w:w="1729"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585"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highlight w:val="none"/>
              </w:rPr>
              <w:t>0.01t/a</w:t>
            </w:r>
          </w:p>
        </w:tc>
        <w:tc>
          <w:tcPr>
            <w:tcW w:w="1790" w:type="dxa"/>
            <w:tcBorders>
              <w:top w:val="single" w:color="auto" w:sz="4" w:space="0"/>
              <w:left w:val="single" w:color="auto" w:sz="4" w:space="0"/>
              <w:bottom w:val="single" w:color="auto" w:sz="4" w:space="0"/>
              <w:right w:val="single" w:color="auto" w:sz="4" w:space="0"/>
            </w:tcBorders>
            <w:vAlign w:val="center"/>
          </w:tcPr>
          <w:p>
            <w:pPr>
              <w:pStyle w:val="50"/>
              <w:spacing w:beforeLines="0" w:afterLines="0" w:line="240" w:lineRule="auto"/>
              <w:rPr>
                <w:rFonts w:ascii="Times New Roman" w:hAnsi="Times New Roman" w:cs="Times New Roman"/>
                <w:color w:val="auto"/>
                <w:kern w:val="2"/>
                <w:highlight w:val="none"/>
              </w:rPr>
            </w:pPr>
            <w:r>
              <w:rPr>
                <w:rFonts w:ascii="Times New Roman" w:hAnsi="Times New Roman" w:cs="Times New Roman"/>
                <w:color w:val="auto"/>
                <w:kern w:val="2"/>
                <w:highlight w:val="none"/>
              </w:rPr>
              <w:t>0</w:t>
            </w:r>
          </w:p>
        </w:tc>
        <w:tc>
          <w:tcPr>
            <w:tcW w:w="17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textAlignment w:val="center"/>
              <w:rPr>
                <w:color w:val="auto"/>
                <w:szCs w:val="21"/>
                <w:highlight w:val="none"/>
              </w:rPr>
            </w:pPr>
            <w:r>
              <w:rPr>
                <w:color w:val="auto"/>
                <w:szCs w:val="21"/>
                <w:highlight w:val="none"/>
              </w:rPr>
              <w:t>0.01t/a</w:t>
            </w:r>
          </w:p>
        </w:tc>
        <w:tc>
          <w:tcPr>
            <w:tcW w:w="1104" w:type="dxa"/>
            <w:tcBorders>
              <w:top w:val="single" w:color="auto" w:sz="4" w:space="0"/>
              <w:left w:val="single" w:color="auto" w:sz="4" w:space="0"/>
              <w:bottom w:val="single" w:color="auto" w:sz="4" w:space="0"/>
              <w:right w:val="single" w:color="auto" w:sz="8" w:space="0"/>
            </w:tcBorders>
            <w:vAlign w:val="center"/>
          </w:tcPr>
          <w:p>
            <w:pPr>
              <w:spacing w:line="240" w:lineRule="auto"/>
              <w:jc w:val="center"/>
              <w:textAlignment w:val="center"/>
              <w:rPr>
                <w:color w:val="auto"/>
                <w:szCs w:val="21"/>
                <w:highlight w:val="none"/>
              </w:rPr>
            </w:pPr>
            <w:r>
              <w:rPr>
                <w:rFonts w:hint="eastAsia" w:eastAsia="等线"/>
                <w:color w:val="auto"/>
                <w:kern w:val="0"/>
                <w:szCs w:val="21"/>
                <w:highlight w:val="none"/>
                <w:lang w:bidi="ar"/>
              </w:rPr>
              <w:t>+0.01</w:t>
            </w:r>
            <w:r>
              <w:rPr>
                <w:color w:val="auto"/>
                <w:szCs w:val="21"/>
                <w:highlight w:val="none"/>
              </w:rPr>
              <w:t>t/a</w:t>
            </w:r>
          </w:p>
        </w:tc>
      </w:tr>
    </w:tbl>
    <w:p>
      <w:pPr>
        <w:rPr>
          <w:color w:val="auto"/>
          <w:szCs w:val="21"/>
          <w:highlight w:val="none"/>
        </w:rPr>
      </w:pPr>
      <w:r>
        <w:rPr>
          <w:rFonts w:ascii="宋体" w:hAnsi="宋体"/>
          <w:color w:val="auto"/>
          <w:kern w:val="21"/>
          <w:highlight w:val="none"/>
        </w:rPr>
        <w:t>注：</w:t>
      </w:r>
      <w:r>
        <w:rPr>
          <w:rFonts w:hint="eastAsia" w:ascii="宋体" w:hAnsi="宋体"/>
          <w:color w:val="auto"/>
          <w:highlight w:val="none"/>
        </w:rPr>
        <w:t>⑥</w:t>
      </w:r>
      <w:r>
        <w:rPr>
          <w:color w:val="auto"/>
          <w:spacing w:val="-16"/>
          <w:kern w:val="21"/>
          <w:highlight w:val="none"/>
        </w:rPr>
        <w:t>=</w:t>
      </w:r>
      <w:r>
        <w:rPr>
          <w:rFonts w:hint="eastAsia" w:ascii="宋体" w:hAnsi="宋体"/>
          <w:color w:val="auto"/>
          <w:highlight w:val="none"/>
        </w:rPr>
        <w:t>①</w:t>
      </w:r>
      <w:r>
        <w:rPr>
          <w:color w:val="auto"/>
          <w:spacing w:val="-6"/>
          <w:kern w:val="21"/>
          <w:highlight w:val="none"/>
        </w:rPr>
        <w:t>+</w:t>
      </w:r>
      <w:r>
        <w:rPr>
          <w:rFonts w:hint="eastAsia" w:ascii="宋体" w:hAnsi="宋体"/>
          <w:color w:val="auto"/>
          <w:highlight w:val="none"/>
        </w:rPr>
        <w:t>③</w:t>
      </w:r>
      <w:r>
        <w:rPr>
          <w:color w:val="auto"/>
          <w:spacing w:val="-6"/>
          <w:kern w:val="21"/>
          <w:highlight w:val="none"/>
        </w:rPr>
        <w:t>+</w:t>
      </w:r>
      <w:r>
        <w:rPr>
          <w:rFonts w:hint="eastAsia" w:ascii="宋体" w:hAnsi="宋体"/>
          <w:color w:val="auto"/>
          <w:highlight w:val="none"/>
        </w:rPr>
        <w:t>④</w:t>
      </w:r>
      <w:r>
        <w:rPr>
          <w:color w:val="auto"/>
          <w:spacing w:val="-6"/>
          <w:kern w:val="21"/>
          <w:highlight w:val="none"/>
        </w:rPr>
        <w:t>-</w:t>
      </w:r>
      <w:r>
        <w:rPr>
          <w:rFonts w:hint="eastAsia" w:ascii="宋体" w:hAnsi="宋体"/>
          <w:color w:val="auto"/>
          <w:highlight w:val="none"/>
        </w:rPr>
        <w:t>⑤</w:t>
      </w:r>
      <w:r>
        <w:rPr>
          <w:rFonts w:ascii="宋体" w:hAnsi="宋体"/>
          <w:color w:val="auto"/>
          <w:spacing w:val="-16"/>
          <w:kern w:val="21"/>
          <w:highlight w:val="none"/>
        </w:rPr>
        <w:t>；</w:t>
      </w:r>
      <w:r>
        <w:rPr>
          <w:rFonts w:hint="eastAsia" w:ascii="宋体" w:hAnsi="宋体"/>
          <w:color w:val="auto"/>
          <w:highlight w:val="none"/>
        </w:rPr>
        <w:t>⑦</w:t>
      </w:r>
      <w:r>
        <w:rPr>
          <w:color w:val="auto"/>
          <w:spacing w:val="-6"/>
          <w:kern w:val="21"/>
          <w:highlight w:val="none"/>
        </w:rPr>
        <w:t>=</w:t>
      </w:r>
      <w:r>
        <w:rPr>
          <w:rFonts w:hint="eastAsia" w:ascii="宋体" w:hAnsi="宋体"/>
          <w:color w:val="auto"/>
          <w:highlight w:val="none"/>
        </w:rPr>
        <w:t>⑥</w:t>
      </w:r>
      <w:r>
        <w:rPr>
          <w:color w:val="auto"/>
          <w:spacing w:val="-16"/>
          <w:kern w:val="21"/>
          <w:highlight w:val="none"/>
        </w:rPr>
        <w:t>-</w:t>
      </w:r>
      <w:r>
        <w:rPr>
          <w:rFonts w:hint="eastAsia" w:ascii="宋体" w:hAnsi="宋体"/>
          <w:color w:val="auto"/>
          <w:highlight w:val="none"/>
        </w:rPr>
        <w:t>①</w:t>
      </w:r>
    </w:p>
    <w:p>
      <w:pPr>
        <w:adjustRightInd w:val="0"/>
        <w:snapToGrid w:val="0"/>
        <w:spacing w:line="288" w:lineRule="auto"/>
        <w:rPr>
          <w:color w:val="auto"/>
          <w:szCs w:val="21"/>
          <w:highlight w:val="none"/>
        </w:rPr>
      </w:pPr>
    </w:p>
    <w:p>
      <w:pPr>
        <w:rPr>
          <w:color w:val="auto"/>
          <w:highlight w:val="none"/>
        </w:rPr>
        <w:sectPr>
          <w:pgSz w:w="16838" w:h="11906" w:orient="landscape"/>
          <w:pgMar w:top="1800" w:right="1440" w:bottom="1800" w:left="1440" w:header="851" w:footer="992" w:gutter="0"/>
          <w:cols w:space="425" w:num="1"/>
          <w:docGrid w:type="lines" w:linePitch="312" w:charSpace="0"/>
        </w:sectPr>
      </w:pPr>
    </w:p>
    <w:p>
      <w:pPr>
        <w:pStyle w:val="2"/>
        <w:jc w:val="center"/>
        <w:rPr>
          <w:b/>
          <w:bCs/>
          <w:color w:val="auto"/>
          <w:sz w:val="24"/>
          <w:highlight w:val="none"/>
        </w:rPr>
      </w:pPr>
      <w:r>
        <w:rPr>
          <w:rFonts w:hint="eastAsia"/>
          <w:b/>
          <w:bCs/>
          <w:color w:val="auto"/>
          <w:sz w:val="24"/>
          <w:highlight w:val="none"/>
        </w:rPr>
        <w:t>附  录</w:t>
      </w:r>
    </w:p>
    <w:p>
      <w:pPr>
        <w:rPr>
          <w:color w:val="auto"/>
          <w:szCs w:val="21"/>
          <w:highlight w:val="none"/>
        </w:rPr>
      </w:pPr>
      <w:r>
        <w:rPr>
          <w:rFonts w:hint="eastAsia"/>
          <w:color w:val="auto"/>
          <w:szCs w:val="21"/>
          <w:highlight w:val="none"/>
        </w:rPr>
        <w:t>附图1     项目地理位置图</w:t>
      </w:r>
    </w:p>
    <w:p>
      <w:pPr>
        <w:pStyle w:val="2"/>
        <w:rPr>
          <w:color w:val="auto"/>
          <w:szCs w:val="21"/>
          <w:highlight w:val="none"/>
        </w:rPr>
      </w:pPr>
      <w:r>
        <w:rPr>
          <w:rFonts w:hint="eastAsia"/>
          <w:color w:val="auto"/>
          <w:szCs w:val="21"/>
          <w:highlight w:val="none"/>
        </w:rPr>
        <w:t>附图2     项目四至图</w:t>
      </w:r>
    </w:p>
    <w:p>
      <w:pPr>
        <w:pStyle w:val="2"/>
        <w:rPr>
          <w:color w:val="auto"/>
          <w:szCs w:val="21"/>
          <w:highlight w:val="none"/>
        </w:rPr>
      </w:pPr>
      <w:r>
        <w:rPr>
          <w:rFonts w:hint="eastAsia"/>
          <w:color w:val="auto"/>
          <w:szCs w:val="21"/>
          <w:highlight w:val="none"/>
        </w:rPr>
        <w:t>附图3     项目平面布置图</w:t>
      </w:r>
    </w:p>
    <w:p>
      <w:pPr>
        <w:pStyle w:val="2"/>
        <w:rPr>
          <w:color w:val="auto"/>
          <w:szCs w:val="21"/>
          <w:highlight w:val="none"/>
        </w:rPr>
      </w:pPr>
      <w:r>
        <w:rPr>
          <w:rFonts w:hint="eastAsia"/>
          <w:color w:val="auto"/>
          <w:szCs w:val="21"/>
          <w:highlight w:val="none"/>
        </w:rPr>
        <w:t>附图4     项目周边敏感点分布图</w:t>
      </w:r>
    </w:p>
    <w:p>
      <w:pPr>
        <w:rPr>
          <w:color w:val="auto"/>
          <w:szCs w:val="21"/>
          <w:highlight w:val="none"/>
        </w:rPr>
      </w:pPr>
      <w:r>
        <w:rPr>
          <w:rFonts w:hint="eastAsia"/>
          <w:color w:val="auto"/>
          <w:szCs w:val="21"/>
          <w:highlight w:val="none"/>
        </w:rPr>
        <w:t>附图5     引用的大气监测点位图</w:t>
      </w:r>
    </w:p>
    <w:p>
      <w:pPr>
        <w:pStyle w:val="2"/>
        <w:rPr>
          <w:color w:val="auto"/>
          <w:szCs w:val="21"/>
          <w:highlight w:val="none"/>
        </w:rPr>
      </w:pPr>
      <w:r>
        <w:rPr>
          <w:rFonts w:hint="eastAsia"/>
          <w:color w:val="auto"/>
          <w:szCs w:val="21"/>
          <w:highlight w:val="none"/>
        </w:rPr>
        <w:t>附图6     清远市清新区龙颈镇总体规划（2016-2035）</w:t>
      </w:r>
    </w:p>
    <w:p>
      <w:pPr>
        <w:rPr>
          <w:color w:val="auto"/>
          <w:szCs w:val="21"/>
          <w:highlight w:val="none"/>
        </w:rPr>
      </w:pPr>
      <w:r>
        <w:rPr>
          <w:rFonts w:hint="eastAsia"/>
          <w:color w:val="auto"/>
          <w:szCs w:val="21"/>
          <w:highlight w:val="none"/>
        </w:rPr>
        <w:t>附图7     广东省</w:t>
      </w:r>
      <w:r>
        <w:rPr>
          <w:color w:val="auto"/>
          <w:szCs w:val="21"/>
          <w:highlight w:val="none"/>
        </w:rPr>
        <w:t>“</w:t>
      </w:r>
      <w:r>
        <w:rPr>
          <w:rFonts w:hint="eastAsia"/>
          <w:color w:val="auto"/>
          <w:szCs w:val="21"/>
          <w:highlight w:val="none"/>
        </w:rPr>
        <w:t>三线一单</w:t>
      </w:r>
      <w:r>
        <w:rPr>
          <w:color w:val="auto"/>
          <w:szCs w:val="21"/>
          <w:highlight w:val="none"/>
        </w:rPr>
        <w:t>”</w:t>
      </w:r>
      <w:r>
        <w:rPr>
          <w:rFonts w:hint="eastAsia"/>
          <w:color w:val="auto"/>
          <w:szCs w:val="21"/>
          <w:highlight w:val="none"/>
        </w:rPr>
        <w:t>生态环境分区管控方案</w:t>
      </w:r>
    </w:p>
    <w:p>
      <w:pPr>
        <w:pStyle w:val="2"/>
        <w:rPr>
          <w:color w:val="auto"/>
          <w:szCs w:val="21"/>
          <w:highlight w:val="none"/>
        </w:rPr>
      </w:pPr>
      <w:r>
        <w:rPr>
          <w:rFonts w:hint="eastAsia"/>
          <w:color w:val="auto"/>
          <w:szCs w:val="21"/>
          <w:highlight w:val="none"/>
        </w:rPr>
        <w:t>附图8     清远市环境管控单元图</w:t>
      </w:r>
    </w:p>
    <w:p>
      <w:pPr>
        <w:rPr>
          <w:color w:val="auto"/>
          <w:szCs w:val="21"/>
          <w:highlight w:val="none"/>
        </w:rPr>
      </w:pPr>
      <w:r>
        <w:rPr>
          <w:rFonts w:hint="eastAsia"/>
          <w:color w:val="auto"/>
          <w:szCs w:val="21"/>
          <w:highlight w:val="none"/>
        </w:rPr>
        <w:t>附图9     项目四至情况</w:t>
      </w:r>
    </w:p>
    <w:p>
      <w:pPr>
        <w:rPr>
          <w:color w:val="auto"/>
          <w:szCs w:val="21"/>
          <w:highlight w:val="none"/>
        </w:rPr>
      </w:pPr>
      <w:r>
        <w:rPr>
          <w:rFonts w:hint="eastAsia"/>
          <w:color w:val="auto"/>
          <w:szCs w:val="21"/>
          <w:highlight w:val="none"/>
        </w:rPr>
        <w:t xml:space="preserve"> </w:t>
      </w:r>
    </w:p>
    <w:p>
      <w:pPr>
        <w:rPr>
          <w:color w:val="auto"/>
          <w:szCs w:val="21"/>
          <w:highlight w:val="none"/>
        </w:rPr>
      </w:pPr>
      <w:r>
        <w:rPr>
          <w:rFonts w:hint="eastAsia"/>
          <w:color w:val="auto"/>
          <w:szCs w:val="21"/>
          <w:highlight w:val="none"/>
        </w:rPr>
        <w:t>附件1     评价等级确认书</w:t>
      </w:r>
    </w:p>
    <w:p>
      <w:pPr>
        <w:rPr>
          <w:color w:val="auto"/>
          <w:szCs w:val="21"/>
          <w:highlight w:val="none"/>
        </w:rPr>
      </w:pPr>
      <w:r>
        <w:rPr>
          <w:rFonts w:hint="eastAsia"/>
          <w:color w:val="auto"/>
          <w:szCs w:val="21"/>
          <w:highlight w:val="none"/>
        </w:rPr>
        <w:t>附件2     营业执照</w:t>
      </w:r>
    </w:p>
    <w:p>
      <w:pPr>
        <w:rPr>
          <w:color w:val="auto"/>
          <w:szCs w:val="21"/>
          <w:highlight w:val="none"/>
        </w:rPr>
      </w:pPr>
      <w:r>
        <w:rPr>
          <w:rFonts w:hint="eastAsia"/>
          <w:color w:val="auto"/>
          <w:szCs w:val="21"/>
          <w:highlight w:val="none"/>
        </w:rPr>
        <w:t>附件3     法人身份证</w:t>
      </w:r>
    </w:p>
    <w:p>
      <w:pPr>
        <w:rPr>
          <w:color w:val="auto"/>
          <w:szCs w:val="21"/>
          <w:highlight w:val="none"/>
        </w:rPr>
      </w:pPr>
      <w:r>
        <w:rPr>
          <w:rFonts w:hint="eastAsia"/>
          <w:color w:val="auto"/>
          <w:szCs w:val="21"/>
          <w:highlight w:val="none"/>
        </w:rPr>
        <w:t>附件4     土地利用规划</w:t>
      </w:r>
    </w:p>
    <w:p>
      <w:pPr>
        <w:rPr>
          <w:color w:val="auto"/>
          <w:szCs w:val="21"/>
          <w:highlight w:val="none"/>
        </w:rPr>
      </w:pPr>
      <w:r>
        <w:rPr>
          <w:rFonts w:hint="eastAsia"/>
          <w:color w:val="auto"/>
          <w:szCs w:val="21"/>
          <w:highlight w:val="none"/>
        </w:rPr>
        <w:t>附件5     项目准入</w:t>
      </w:r>
    </w:p>
    <w:p>
      <w:pPr>
        <w:rPr>
          <w:color w:val="auto"/>
          <w:szCs w:val="21"/>
          <w:highlight w:val="none"/>
        </w:rPr>
      </w:pPr>
      <w:r>
        <w:rPr>
          <w:rFonts w:hint="eastAsia"/>
          <w:color w:val="auto"/>
          <w:szCs w:val="21"/>
          <w:highlight w:val="none"/>
        </w:rPr>
        <w:t>附件6     引用的大气监测报告</w:t>
      </w:r>
    </w:p>
    <w:p>
      <w:pPr>
        <w:rPr>
          <w:color w:val="auto"/>
          <w:szCs w:val="21"/>
          <w:highlight w:val="none"/>
        </w:rPr>
      </w:pPr>
      <w:r>
        <w:rPr>
          <w:rFonts w:hint="eastAsia"/>
          <w:color w:val="auto"/>
          <w:szCs w:val="21"/>
          <w:highlight w:val="none"/>
        </w:rPr>
        <w:t>附件7     裁定书</w:t>
      </w:r>
    </w:p>
    <w:p>
      <w:pPr>
        <w:pStyle w:val="2"/>
        <w:rPr>
          <w:rFonts w:hint="eastAsia"/>
          <w:color w:val="auto"/>
          <w:szCs w:val="21"/>
          <w:highlight w:val="none"/>
        </w:rPr>
      </w:pPr>
      <w:r>
        <w:rPr>
          <w:rFonts w:hint="eastAsia"/>
          <w:color w:val="auto"/>
          <w:szCs w:val="21"/>
          <w:highlight w:val="none"/>
        </w:rPr>
        <w:t>附件8      租赁合同</w:t>
      </w:r>
    </w:p>
    <w:p>
      <w:pPr>
        <w:pStyle w:val="2"/>
        <w:rPr>
          <w:rFonts w:hint="eastAsia"/>
          <w:color w:val="auto"/>
          <w:szCs w:val="21"/>
          <w:highlight w:val="none"/>
          <w:lang w:val="en-US" w:eastAsia="zh-CN"/>
        </w:rPr>
      </w:pPr>
      <w:r>
        <w:rPr>
          <w:rFonts w:hint="eastAsia"/>
          <w:color w:val="auto"/>
          <w:szCs w:val="21"/>
          <w:highlight w:val="none"/>
          <w:lang w:val="en-US" w:eastAsia="zh-CN"/>
        </w:rPr>
        <w:t>附件9      项目投资备案证</w:t>
      </w:r>
    </w:p>
    <w:p>
      <w:pPr>
        <w:pStyle w:val="2"/>
        <w:rPr>
          <w:rFonts w:hint="default"/>
          <w:color w:val="auto"/>
          <w:szCs w:val="21"/>
          <w:highlight w:val="none"/>
          <w:lang w:val="en-US" w:eastAsia="zh-CN"/>
        </w:rPr>
      </w:pPr>
      <w:r>
        <w:rPr>
          <w:rFonts w:hint="eastAsia"/>
          <w:color w:val="auto"/>
          <w:szCs w:val="21"/>
          <w:highlight w:val="none"/>
          <w:lang w:val="en-US" w:eastAsia="zh-CN"/>
        </w:rPr>
        <w:t>附件10      场地补充协议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5A70D"/>
    <w:multiLevelType w:val="singleLevel"/>
    <w:tmpl w:val="81E5A70D"/>
    <w:lvl w:ilvl="0" w:tentative="0">
      <w:start w:val="3"/>
      <w:numFmt w:val="chineseCounting"/>
      <w:suff w:val="nothing"/>
      <w:lvlText w:val="%1、"/>
      <w:lvlJc w:val="left"/>
      <w:rPr>
        <w:rFonts w:hint="eastAsia"/>
      </w:rPr>
    </w:lvl>
  </w:abstractNum>
  <w:abstractNum w:abstractNumId="1">
    <w:nsid w:val="DAB08EDA"/>
    <w:multiLevelType w:val="multilevel"/>
    <w:tmpl w:val="DAB08EDA"/>
    <w:lvl w:ilvl="0" w:tentative="0">
      <w:start w:val="1"/>
      <w:numFmt w:val="decimal"/>
      <w:pStyle w:val="18"/>
      <w:suff w:val="space"/>
      <w:lvlText w:val="表%1"/>
      <w:lvlJc w:val="center"/>
      <w:pPr>
        <w:tabs>
          <w:tab w:val="left" w:pos="0"/>
        </w:tabs>
        <w:ind w:left="0" w:firstLine="0"/>
      </w:pPr>
      <w:rPr>
        <w:rFonts w:hint="eastAsia" w:ascii="Times New Roman" w:hAnsi="Times New Roman" w:eastAsia="宋体" w:cs="宋体"/>
        <w:b/>
        <w:i w:val="0"/>
        <w:sz w:val="24"/>
      </w:rPr>
    </w:lvl>
    <w:lvl w:ilvl="1" w:tentative="0">
      <w:start w:val="1"/>
      <w:numFmt w:val="none"/>
      <w:lvlRestart w:val="0"/>
      <w:suff w:val="space"/>
      <w:lvlText w:val="图%1"/>
      <w:lvlJc w:val="left"/>
      <w:pPr>
        <w:ind w:left="0" w:firstLine="0"/>
      </w:pPr>
      <w:rPr>
        <w:rFonts w:hint="eastAsia" w:ascii="宋体" w:hAnsi="宋体" w:eastAsia="宋体" w:cs="宋体"/>
        <w:b/>
        <w:sz w:val="24"/>
      </w:rPr>
    </w:lvl>
    <w:lvl w:ilvl="2" w:tentative="0">
      <w:start w:val="1"/>
      <w:numFmt w:val="decimal"/>
      <w:lvlText w:val="%1.%2.%3"/>
      <w:lvlJc w:val="left"/>
      <w:pPr>
        <w:ind w:left="2994" w:hanging="114"/>
      </w:pPr>
      <w:rPr>
        <w:rFonts w:hint="eastAsia"/>
      </w:rPr>
    </w:lvl>
    <w:lvl w:ilvl="3" w:tentative="0">
      <w:start w:val="1"/>
      <w:numFmt w:val="decimal"/>
      <w:lvlText w:val="%1.%2.%3.%4"/>
      <w:lvlJc w:val="left"/>
      <w:pPr>
        <w:tabs>
          <w:tab w:val="left" w:pos="420"/>
        </w:tabs>
        <w:ind w:left="4611" w:hanging="171"/>
      </w:pPr>
      <w:rPr>
        <w:rFonts w:hint="eastAsia" w:ascii="宋体" w:hAnsi="宋体" w:eastAsia="宋体" w:cs="宋体"/>
      </w:rPr>
    </w:lvl>
    <w:lvl w:ilvl="4" w:tentative="0">
      <w:start w:val="1"/>
      <w:numFmt w:val="decimalFullWidth"/>
      <w:lvlRestart w:val="2"/>
      <w:lvlText w:val="表%5"/>
      <w:lvlJc w:val="left"/>
      <w:pPr>
        <w:tabs>
          <w:tab w:val="left" w:pos="420"/>
        </w:tabs>
        <w:ind w:left="7276" w:hanging="851"/>
      </w:pPr>
      <w:rPr>
        <w:rFonts w:hint="eastAsia" w:ascii="宋体" w:hAnsi="宋体" w:eastAsia="宋体" w:cs="宋体"/>
        <w:b/>
        <w:sz w:val="24"/>
      </w:rPr>
    </w:lvl>
    <w:lvl w:ilvl="5" w:tentative="0">
      <w:start w:val="1"/>
      <w:numFmt w:val="decimal"/>
      <w:lvlRestart w:val="2"/>
      <w:lvlText w:val="图%1.%2-%6"/>
      <w:lvlJc w:val="left"/>
      <w:pPr>
        <w:ind w:left="3731" w:hanging="851"/>
      </w:pPr>
      <w:rPr>
        <w:rFonts w:hint="eastAsia"/>
      </w:rPr>
    </w:lvl>
    <w:lvl w:ilvl="6" w:tentative="0">
      <w:start w:val="1"/>
      <w:numFmt w:val="decimal"/>
      <w:lvlText w:val="%1.%2.%3.%4.%5.%6.%7"/>
      <w:lvlJc w:val="left"/>
      <w:pPr>
        <w:ind w:left="3222" w:firstLine="0"/>
      </w:pPr>
      <w:rPr>
        <w:rFonts w:hint="eastAsia"/>
      </w:rPr>
    </w:lvl>
    <w:lvl w:ilvl="7" w:tentative="0">
      <w:start w:val="1"/>
      <w:numFmt w:val="decimal"/>
      <w:lvlText w:val="%1.%2.%3.%4.%5.%6.%7.%8"/>
      <w:lvlJc w:val="left"/>
      <w:pPr>
        <w:ind w:left="3279" w:firstLine="0"/>
      </w:pPr>
      <w:rPr>
        <w:rFonts w:hint="eastAsia"/>
      </w:rPr>
    </w:lvl>
    <w:lvl w:ilvl="8" w:tentative="0">
      <w:start w:val="1"/>
      <w:numFmt w:val="decimal"/>
      <w:lvlText w:val="%1.%2.%3.%4.%5.%6.%7.%8.%9"/>
      <w:lvlJc w:val="left"/>
      <w:pPr>
        <w:ind w:left="3336" w:firstLine="0"/>
      </w:pPr>
      <w:rPr>
        <w:rFonts w:hint="eastAsia"/>
      </w:rPr>
    </w:lvl>
  </w:abstractNum>
  <w:abstractNum w:abstractNumId="2">
    <w:nsid w:val="FFFFFF83"/>
    <w:multiLevelType w:val="singleLevel"/>
    <w:tmpl w:val="FFFFFF83"/>
    <w:lvl w:ilvl="0" w:tentative="0">
      <w:start w:val="1"/>
      <w:numFmt w:val="bullet"/>
      <w:pStyle w:val="14"/>
      <w:lvlText w:val=""/>
      <w:lvlJc w:val="left"/>
      <w:pPr>
        <w:tabs>
          <w:tab w:val="left" w:pos="780"/>
        </w:tabs>
        <w:ind w:left="780" w:leftChars="200" w:hanging="360" w:hangingChars="200"/>
      </w:pPr>
      <w:rPr>
        <w:rFonts w:hint="default" w:ascii="Wingdings" w:hAnsi="Wingdings"/>
      </w:rPr>
    </w:lvl>
  </w:abstractNum>
  <w:abstractNum w:abstractNumId="3">
    <w:nsid w:val="04433B6E"/>
    <w:multiLevelType w:val="multilevel"/>
    <w:tmpl w:val="04433B6E"/>
    <w:lvl w:ilvl="0" w:tentative="0">
      <w:start w:val="1"/>
      <w:numFmt w:val="decimal"/>
      <w:suff w:val="nothing"/>
      <w:lvlText w:val="表%1"/>
      <w:lvlJc w:val="left"/>
      <w:pPr>
        <w:ind w:left="1838"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
      <w:numFmt w:val="decimal"/>
      <w:lvlText w:val="表%9"/>
      <w:lvlJc w:val="left"/>
      <w:pPr>
        <w:tabs>
          <w:tab w:val="left" w:pos="0"/>
        </w:tabs>
        <w:ind w:left="0" w:firstLine="0"/>
      </w:pPr>
      <w:rPr>
        <w:rFonts w:hint="default" w:ascii="Times New Roman" w:hAnsi="Times New Roman" w:eastAsia="宋体"/>
        <w:b/>
        <w:i w:val="0"/>
        <w:color w:val="000000"/>
        <w:sz w:val="21"/>
        <w:szCs w:val="18"/>
      </w:rPr>
    </w:lvl>
  </w:abstractNum>
  <w:abstractNum w:abstractNumId="4">
    <w:nsid w:val="0F95735E"/>
    <w:multiLevelType w:val="multilevel"/>
    <w:tmpl w:val="0F95735E"/>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13D5BA0"/>
    <w:multiLevelType w:val="singleLevel"/>
    <w:tmpl w:val="213D5BA0"/>
    <w:lvl w:ilvl="0" w:tentative="0">
      <w:start w:val="7"/>
      <w:numFmt w:val="chineseCounting"/>
      <w:suff w:val="nothing"/>
      <w:lvlText w:val="%1、"/>
      <w:lvlJc w:val="left"/>
      <w:rPr>
        <w:rFonts w:hint="eastAsia"/>
      </w:rPr>
    </w:lvl>
  </w:abstractNum>
  <w:abstractNum w:abstractNumId="6">
    <w:nsid w:val="34C8227B"/>
    <w:multiLevelType w:val="multilevel"/>
    <w:tmpl w:val="34C8227B"/>
    <w:lvl w:ilvl="0" w:tentative="0">
      <w:start w:val="1"/>
      <w:numFmt w:val="decimal"/>
      <w:suff w:val="nothing"/>
      <w:lvlText w:val="表%1"/>
      <w:lvlJc w:val="left"/>
      <w:pPr>
        <w:ind w:left="1838" w:hanging="420"/>
      </w:pPr>
      <w:rPr>
        <w:rFonts w:hint="eastAsia" w:ascii="宋体" w:hAnsi="宋体" w:eastAsia="宋体"/>
      </w:rPr>
    </w:lvl>
    <w:lvl w:ilvl="1" w:tentative="0">
      <w:start w:val="1"/>
      <w:numFmt w:val="lowerLetter"/>
      <w:lvlText w:val="%2)"/>
      <w:lvlJc w:val="left"/>
      <w:pPr>
        <w:ind w:left="840" w:hanging="420"/>
      </w:pPr>
      <w:rPr>
        <w:rFonts w:hint="eastAsia" w:ascii="宋体" w:hAnsi="宋体" w:eastAsia="宋体"/>
      </w:rPr>
    </w:lvl>
    <w:lvl w:ilvl="2" w:tentative="0">
      <w:start w:val="1"/>
      <w:numFmt w:val="lowerRoman"/>
      <w:lvlText w:val="%3."/>
      <w:lvlJc w:val="right"/>
      <w:pPr>
        <w:ind w:left="1260" w:hanging="420"/>
      </w:pPr>
      <w:rPr>
        <w:rFonts w:hint="eastAsia" w:ascii="宋体" w:hAnsi="宋体" w:eastAsia="宋体"/>
      </w:rPr>
    </w:lvl>
    <w:lvl w:ilvl="3" w:tentative="0">
      <w:start w:val="1"/>
      <w:numFmt w:val="decimal"/>
      <w:lvlText w:val="%4."/>
      <w:lvlJc w:val="left"/>
      <w:pPr>
        <w:ind w:left="1680" w:hanging="420"/>
      </w:pPr>
      <w:rPr>
        <w:rFonts w:hint="eastAsia" w:ascii="宋体" w:hAnsi="宋体" w:eastAsia="宋体"/>
      </w:rPr>
    </w:lvl>
    <w:lvl w:ilvl="4" w:tentative="0">
      <w:start w:val="1"/>
      <w:numFmt w:val="lowerLetter"/>
      <w:lvlText w:val="%5)"/>
      <w:lvlJc w:val="left"/>
      <w:pPr>
        <w:ind w:left="2100" w:hanging="420"/>
      </w:pPr>
      <w:rPr>
        <w:rFonts w:hint="eastAsia" w:ascii="宋体" w:hAnsi="宋体" w:eastAsia="宋体"/>
      </w:rPr>
    </w:lvl>
    <w:lvl w:ilvl="5" w:tentative="0">
      <w:start w:val="1"/>
      <w:numFmt w:val="lowerRoman"/>
      <w:lvlText w:val="%6."/>
      <w:lvlJc w:val="right"/>
      <w:pPr>
        <w:ind w:left="2520" w:hanging="420"/>
      </w:pPr>
      <w:rPr>
        <w:rFonts w:hint="eastAsia" w:ascii="宋体" w:hAnsi="宋体" w:eastAsia="宋体"/>
      </w:rPr>
    </w:lvl>
    <w:lvl w:ilvl="6" w:tentative="0">
      <w:start w:val="1"/>
      <w:numFmt w:val="decimal"/>
      <w:lvlText w:val="%7."/>
      <w:lvlJc w:val="left"/>
      <w:pPr>
        <w:ind w:left="2940" w:hanging="420"/>
      </w:pPr>
      <w:rPr>
        <w:rFonts w:hint="eastAsia" w:ascii="宋体" w:hAnsi="宋体" w:eastAsia="宋体"/>
      </w:rPr>
    </w:lvl>
    <w:lvl w:ilvl="7" w:tentative="0">
      <w:start w:val="1"/>
      <w:numFmt w:val="lowerLetter"/>
      <w:lvlText w:val="%8)"/>
      <w:lvlJc w:val="left"/>
      <w:pPr>
        <w:ind w:left="3360" w:hanging="420"/>
      </w:pPr>
      <w:rPr>
        <w:rFonts w:hint="eastAsia" w:ascii="宋体" w:hAnsi="宋体" w:eastAsia="宋体"/>
      </w:rPr>
    </w:lvl>
    <w:lvl w:ilvl="8" w:tentative="0">
      <w:start w:val="10"/>
      <w:numFmt w:val="decimal"/>
      <w:lvlText w:val="表%9 "/>
      <w:lvlJc w:val="center"/>
      <w:pPr>
        <w:tabs>
          <w:tab w:val="left" w:pos="0"/>
        </w:tabs>
        <w:ind w:left="0" w:firstLine="0"/>
      </w:pPr>
      <w:rPr>
        <w:rFonts w:hint="default" w:ascii="Times New Roman" w:hAnsi="Times New Roman" w:eastAsia="宋体"/>
        <w:b/>
        <w:i w:val="0"/>
        <w:color w:val="000000"/>
        <w:sz w:val="21"/>
        <w:szCs w:val="18"/>
      </w:rPr>
    </w:lvl>
  </w:abstractNum>
  <w:abstractNum w:abstractNumId="7">
    <w:nsid w:val="46270742"/>
    <w:multiLevelType w:val="singleLevel"/>
    <w:tmpl w:val="46270742"/>
    <w:lvl w:ilvl="0" w:tentative="0">
      <w:start w:val="4"/>
      <w:numFmt w:val="chineseCounting"/>
      <w:suff w:val="nothing"/>
      <w:lvlText w:val="%1、"/>
      <w:lvlJc w:val="left"/>
      <w:rPr>
        <w:rFonts w:hint="eastAsia"/>
      </w:rPr>
    </w:lvl>
  </w:abstractNum>
  <w:abstractNum w:abstractNumId="8">
    <w:nsid w:val="4A7820F9"/>
    <w:multiLevelType w:val="multilevel"/>
    <w:tmpl w:val="4A7820F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29162FA"/>
    <w:multiLevelType w:val="multilevel"/>
    <w:tmpl w:val="729162FA"/>
    <w:lvl w:ilvl="0" w:tentative="0">
      <w:start w:val="1"/>
      <w:numFmt w:val="decimal"/>
      <w:lvlText w:val="图%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7"/>
  </w:num>
  <w:num w:numId="6">
    <w:abstractNumId w:val="9"/>
  </w:num>
  <w:num w:numId="7">
    <w:abstractNumId w:val="5"/>
  </w:num>
  <w:num w:numId="8">
    <w:abstractNumId w:val="6"/>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A52"/>
    <w:rsid w:val="000969AD"/>
    <w:rsid w:val="000E409E"/>
    <w:rsid w:val="0011164E"/>
    <w:rsid w:val="00125861"/>
    <w:rsid w:val="001318BE"/>
    <w:rsid w:val="001672AD"/>
    <w:rsid w:val="00172A27"/>
    <w:rsid w:val="001A64C4"/>
    <w:rsid w:val="001C2F23"/>
    <w:rsid w:val="001C656E"/>
    <w:rsid w:val="00220A16"/>
    <w:rsid w:val="002212C5"/>
    <w:rsid w:val="0023036A"/>
    <w:rsid w:val="00264A0F"/>
    <w:rsid w:val="00280CE6"/>
    <w:rsid w:val="002F2AE7"/>
    <w:rsid w:val="0032140E"/>
    <w:rsid w:val="00330B97"/>
    <w:rsid w:val="00356E68"/>
    <w:rsid w:val="00371FE3"/>
    <w:rsid w:val="0037740F"/>
    <w:rsid w:val="003E3591"/>
    <w:rsid w:val="00406875"/>
    <w:rsid w:val="0042127B"/>
    <w:rsid w:val="00445759"/>
    <w:rsid w:val="004743D2"/>
    <w:rsid w:val="00481DEF"/>
    <w:rsid w:val="00483115"/>
    <w:rsid w:val="004D7CCF"/>
    <w:rsid w:val="004E0C96"/>
    <w:rsid w:val="0050617A"/>
    <w:rsid w:val="00540824"/>
    <w:rsid w:val="00555A35"/>
    <w:rsid w:val="00590AE0"/>
    <w:rsid w:val="0059772F"/>
    <w:rsid w:val="005A5764"/>
    <w:rsid w:val="005C55B4"/>
    <w:rsid w:val="00683992"/>
    <w:rsid w:val="006A4485"/>
    <w:rsid w:val="006B1A20"/>
    <w:rsid w:val="00703732"/>
    <w:rsid w:val="00730028"/>
    <w:rsid w:val="0074151F"/>
    <w:rsid w:val="00777CC6"/>
    <w:rsid w:val="007C5C29"/>
    <w:rsid w:val="007D2ED3"/>
    <w:rsid w:val="007D5493"/>
    <w:rsid w:val="007D6CA3"/>
    <w:rsid w:val="007E5CC0"/>
    <w:rsid w:val="00840742"/>
    <w:rsid w:val="008B0F1B"/>
    <w:rsid w:val="009169B5"/>
    <w:rsid w:val="00940CBF"/>
    <w:rsid w:val="00950446"/>
    <w:rsid w:val="00957E39"/>
    <w:rsid w:val="009C4F1A"/>
    <w:rsid w:val="009E1B53"/>
    <w:rsid w:val="00A10CB6"/>
    <w:rsid w:val="00A320F3"/>
    <w:rsid w:val="00A46B7D"/>
    <w:rsid w:val="00A56856"/>
    <w:rsid w:val="00A9638A"/>
    <w:rsid w:val="00AA2359"/>
    <w:rsid w:val="00AA3D85"/>
    <w:rsid w:val="00AA731C"/>
    <w:rsid w:val="00AD35CA"/>
    <w:rsid w:val="00AF3FB1"/>
    <w:rsid w:val="00B351A9"/>
    <w:rsid w:val="00B85960"/>
    <w:rsid w:val="00BA2F98"/>
    <w:rsid w:val="00BB5C98"/>
    <w:rsid w:val="00BE1A3D"/>
    <w:rsid w:val="00C15708"/>
    <w:rsid w:val="00C37977"/>
    <w:rsid w:val="00C71695"/>
    <w:rsid w:val="00CD0BD4"/>
    <w:rsid w:val="00CD6D6E"/>
    <w:rsid w:val="00D2745D"/>
    <w:rsid w:val="00D4505D"/>
    <w:rsid w:val="00DB4D7F"/>
    <w:rsid w:val="00DF16B2"/>
    <w:rsid w:val="00E0141B"/>
    <w:rsid w:val="00E16232"/>
    <w:rsid w:val="00E469A5"/>
    <w:rsid w:val="00E5442D"/>
    <w:rsid w:val="00E5711C"/>
    <w:rsid w:val="00E6457F"/>
    <w:rsid w:val="00EE426C"/>
    <w:rsid w:val="00EF3BE6"/>
    <w:rsid w:val="00EF3DF9"/>
    <w:rsid w:val="00F24679"/>
    <w:rsid w:val="00F32A9A"/>
    <w:rsid w:val="00F95B7B"/>
    <w:rsid w:val="01036F24"/>
    <w:rsid w:val="010A2D7A"/>
    <w:rsid w:val="015679D0"/>
    <w:rsid w:val="01663660"/>
    <w:rsid w:val="019C1B6B"/>
    <w:rsid w:val="01A94E05"/>
    <w:rsid w:val="01B27BE8"/>
    <w:rsid w:val="01BD6C2C"/>
    <w:rsid w:val="01D6055E"/>
    <w:rsid w:val="01DB4AD0"/>
    <w:rsid w:val="01FF6D7B"/>
    <w:rsid w:val="021358C1"/>
    <w:rsid w:val="023D5615"/>
    <w:rsid w:val="024B505A"/>
    <w:rsid w:val="025008C3"/>
    <w:rsid w:val="02611789"/>
    <w:rsid w:val="02963E52"/>
    <w:rsid w:val="029A7C8C"/>
    <w:rsid w:val="02CE17E8"/>
    <w:rsid w:val="02D7069C"/>
    <w:rsid w:val="02ED7EC0"/>
    <w:rsid w:val="02EE3C38"/>
    <w:rsid w:val="02F13228"/>
    <w:rsid w:val="030C05B1"/>
    <w:rsid w:val="031E451D"/>
    <w:rsid w:val="032470F8"/>
    <w:rsid w:val="0325742B"/>
    <w:rsid w:val="033C0E47"/>
    <w:rsid w:val="033D0C8A"/>
    <w:rsid w:val="03675441"/>
    <w:rsid w:val="037F6BC8"/>
    <w:rsid w:val="0382336F"/>
    <w:rsid w:val="03C54999"/>
    <w:rsid w:val="03CE1C3B"/>
    <w:rsid w:val="03E47515"/>
    <w:rsid w:val="03E7660B"/>
    <w:rsid w:val="03F11C32"/>
    <w:rsid w:val="040A0C64"/>
    <w:rsid w:val="04156155"/>
    <w:rsid w:val="04194CE4"/>
    <w:rsid w:val="04253689"/>
    <w:rsid w:val="042902DB"/>
    <w:rsid w:val="042A0E4B"/>
    <w:rsid w:val="043A7135"/>
    <w:rsid w:val="043F7A94"/>
    <w:rsid w:val="04497378"/>
    <w:rsid w:val="04763EE5"/>
    <w:rsid w:val="04834202"/>
    <w:rsid w:val="04A44EF6"/>
    <w:rsid w:val="04A4739A"/>
    <w:rsid w:val="04C17856"/>
    <w:rsid w:val="04DB61D0"/>
    <w:rsid w:val="04DF3C4E"/>
    <w:rsid w:val="05373674"/>
    <w:rsid w:val="05381715"/>
    <w:rsid w:val="054364BD"/>
    <w:rsid w:val="05452235"/>
    <w:rsid w:val="05575083"/>
    <w:rsid w:val="05665D07"/>
    <w:rsid w:val="057C6F08"/>
    <w:rsid w:val="05C05C02"/>
    <w:rsid w:val="05FE0B6A"/>
    <w:rsid w:val="060C76E4"/>
    <w:rsid w:val="0661309E"/>
    <w:rsid w:val="0696261C"/>
    <w:rsid w:val="06974309"/>
    <w:rsid w:val="06C76C7A"/>
    <w:rsid w:val="0706175D"/>
    <w:rsid w:val="076B3AA9"/>
    <w:rsid w:val="07893F2F"/>
    <w:rsid w:val="07A43796"/>
    <w:rsid w:val="07E92DC7"/>
    <w:rsid w:val="080B49B6"/>
    <w:rsid w:val="08122176"/>
    <w:rsid w:val="08163A15"/>
    <w:rsid w:val="081D6DBC"/>
    <w:rsid w:val="081E6D6D"/>
    <w:rsid w:val="082B180B"/>
    <w:rsid w:val="08380AE9"/>
    <w:rsid w:val="083D5445"/>
    <w:rsid w:val="08534C69"/>
    <w:rsid w:val="085A1562"/>
    <w:rsid w:val="087150EF"/>
    <w:rsid w:val="08734D3B"/>
    <w:rsid w:val="088C1F29"/>
    <w:rsid w:val="08C571E9"/>
    <w:rsid w:val="08C639C2"/>
    <w:rsid w:val="08C66362"/>
    <w:rsid w:val="08D04652"/>
    <w:rsid w:val="08DA7138"/>
    <w:rsid w:val="08DB07BA"/>
    <w:rsid w:val="08E458C1"/>
    <w:rsid w:val="09004DFD"/>
    <w:rsid w:val="091A7535"/>
    <w:rsid w:val="095A60A9"/>
    <w:rsid w:val="09750C0F"/>
    <w:rsid w:val="09811362"/>
    <w:rsid w:val="09DA3646"/>
    <w:rsid w:val="09E3201C"/>
    <w:rsid w:val="0A16230A"/>
    <w:rsid w:val="0A1D11E2"/>
    <w:rsid w:val="0A2C5771"/>
    <w:rsid w:val="0A2C6C31"/>
    <w:rsid w:val="0A4A3E4A"/>
    <w:rsid w:val="0A4C1970"/>
    <w:rsid w:val="0A56459C"/>
    <w:rsid w:val="0A682522"/>
    <w:rsid w:val="0A704067"/>
    <w:rsid w:val="0A715C8D"/>
    <w:rsid w:val="0A8E1890"/>
    <w:rsid w:val="0AA1150B"/>
    <w:rsid w:val="0AA65755"/>
    <w:rsid w:val="0AA67EF1"/>
    <w:rsid w:val="0AA96DC2"/>
    <w:rsid w:val="0AB3379D"/>
    <w:rsid w:val="0AB94B2B"/>
    <w:rsid w:val="0AC96F91"/>
    <w:rsid w:val="0ACC4171"/>
    <w:rsid w:val="0AFB3396"/>
    <w:rsid w:val="0AFB67AB"/>
    <w:rsid w:val="0B187AA4"/>
    <w:rsid w:val="0B1D155E"/>
    <w:rsid w:val="0B2659F7"/>
    <w:rsid w:val="0B326179"/>
    <w:rsid w:val="0B8710E7"/>
    <w:rsid w:val="0B884C29"/>
    <w:rsid w:val="0B984EF6"/>
    <w:rsid w:val="0B9F6417"/>
    <w:rsid w:val="0BB4174B"/>
    <w:rsid w:val="0C077CB8"/>
    <w:rsid w:val="0C191D25"/>
    <w:rsid w:val="0C1D05EC"/>
    <w:rsid w:val="0C2C73A8"/>
    <w:rsid w:val="0C5503C2"/>
    <w:rsid w:val="0CAA6E21"/>
    <w:rsid w:val="0CCE2B10"/>
    <w:rsid w:val="0CEC568C"/>
    <w:rsid w:val="0CFB7C61"/>
    <w:rsid w:val="0CFF110A"/>
    <w:rsid w:val="0D0F495D"/>
    <w:rsid w:val="0D1D341B"/>
    <w:rsid w:val="0D335AC6"/>
    <w:rsid w:val="0D55366D"/>
    <w:rsid w:val="0D584ACF"/>
    <w:rsid w:val="0D9C4BF4"/>
    <w:rsid w:val="0DB804C2"/>
    <w:rsid w:val="0DBB7B04"/>
    <w:rsid w:val="0DD03C52"/>
    <w:rsid w:val="0DD423A8"/>
    <w:rsid w:val="0DDF0D4D"/>
    <w:rsid w:val="0DE46363"/>
    <w:rsid w:val="0E0559E9"/>
    <w:rsid w:val="0E0C215E"/>
    <w:rsid w:val="0E107158"/>
    <w:rsid w:val="0E1F1149"/>
    <w:rsid w:val="0E4776A5"/>
    <w:rsid w:val="0E4A77E2"/>
    <w:rsid w:val="0E933AB7"/>
    <w:rsid w:val="0E9D4E90"/>
    <w:rsid w:val="0E9E4764"/>
    <w:rsid w:val="0EBD4B8E"/>
    <w:rsid w:val="0ED618C0"/>
    <w:rsid w:val="0EE016F1"/>
    <w:rsid w:val="0EEF3211"/>
    <w:rsid w:val="0F284BF0"/>
    <w:rsid w:val="0F5117D6"/>
    <w:rsid w:val="0F5A4B2F"/>
    <w:rsid w:val="0F753717"/>
    <w:rsid w:val="0F903E7F"/>
    <w:rsid w:val="0F9E72CE"/>
    <w:rsid w:val="0FA851BB"/>
    <w:rsid w:val="0FB3423F"/>
    <w:rsid w:val="0FE32D76"/>
    <w:rsid w:val="0FE5747C"/>
    <w:rsid w:val="10133B7B"/>
    <w:rsid w:val="10240C99"/>
    <w:rsid w:val="10456189"/>
    <w:rsid w:val="104A0A26"/>
    <w:rsid w:val="10561C8B"/>
    <w:rsid w:val="106D047B"/>
    <w:rsid w:val="106D0BE3"/>
    <w:rsid w:val="106D43EE"/>
    <w:rsid w:val="10C66B93"/>
    <w:rsid w:val="10D91B82"/>
    <w:rsid w:val="10EA5A3E"/>
    <w:rsid w:val="10F12BE1"/>
    <w:rsid w:val="11005262"/>
    <w:rsid w:val="111D5E14"/>
    <w:rsid w:val="114C04A7"/>
    <w:rsid w:val="116003F7"/>
    <w:rsid w:val="116D7F23"/>
    <w:rsid w:val="116E6670"/>
    <w:rsid w:val="117F74C1"/>
    <w:rsid w:val="11A92FE0"/>
    <w:rsid w:val="11AA3420"/>
    <w:rsid w:val="12046FD4"/>
    <w:rsid w:val="12103BCB"/>
    <w:rsid w:val="123C4A64"/>
    <w:rsid w:val="12632CF8"/>
    <w:rsid w:val="129173E1"/>
    <w:rsid w:val="129C720C"/>
    <w:rsid w:val="12C243AE"/>
    <w:rsid w:val="12C624DB"/>
    <w:rsid w:val="12FD57FA"/>
    <w:rsid w:val="12FD5C47"/>
    <w:rsid w:val="13567491"/>
    <w:rsid w:val="139B3968"/>
    <w:rsid w:val="13A97E33"/>
    <w:rsid w:val="13CE5134"/>
    <w:rsid w:val="13E605C5"/>
    <w:rsid w:val="13E62A20"/>
    <w:rsid w:val="145F5E80"/>
    <w:rsid w:val="1476286C"/>
    <w:rsid w:val="147D3E6D"/>
    <w:rsid w:val="14991366"/>
    <w:rsid w:val="149A04C4"/>
    <w:rsid w:val="14E20E94"/>
    <w:rsid w:val="15023C9F"/>
    <w:rsid w:val="150522DE"/>
    <w:rsid w:val="1532277F"/>
    <w:rsid w:val="15554655"/>
    <w:rsid w:val="15671D54"/>
    <w:rsid w:val="156F29B6"/>
    <w:rsid w:val="15723F51"/>
    <w:rsid w:val="15885BC0"/>
    <w:rsid w:val="15977DC9"/>
    <w:rsid w:val="15A308B2"/>
    <w:rsid w:val="15AD10C0"/>
    <w:rsid w:val="15E84F28"/>
    <w:rsid w:val="15F3689B"/>
    <w:rsid w:val="16031DB1"/>
    <w:rsid w:val="161A34BE"/>
    <w:rsid w:val="164976AB"/>
    <w:rsid w:val="165A6569"/>
    <w:rsid w:val="166F7291"/>
    <w:rsid w:val="167647E8"/>
    <w:rsid w:val="1686445B"/>
    <w:rsid w:val="16D056D6"/>
    <w:rsid w:val="16D12E2F"/>
    <w:rsid w:val="16D43419"/>
    <w:rsid w:val="16F42476"/>
    <w:rsid w:val="16FD4D0A"/>
    <w:rsid w:val="17061F86"/>
    <w:rsid w:val="171E2F66"/>
    <w:rsid w:val="17885FB1"/>
    <w:rsid w:val="178F10EE"/>
    <w:rsid w:val="17A745F1"/>
    <w:rsid w:val="17C5190A"/>
    <w:rsid w:val="17D616D4"/>
    <w:rsid w:val="17DA62A5"/>
    <w:rsid w:val="17F06AFA"/>
    <w:rsid w:val="18025D64"/>
    <w:rsid w:val="180B10BC"/>
    <w:rsid w:val="180F7DEA"/>
    <w:rsid w:val="1833261C"/>
    <w:rsid w:val="18383EAD"/>
    <w:rsid w:val="183A6FE5"/>
    <w:rsid w:val="188D19E9"/>
    <w:rsid w:val="18CE3E98"/>
    <w:rsid w:val="18E76AD8"/>
    <w:rsid w:val="18E90CD1"/>
    <w:rsid w:val="19094ED0"/>
    <w:rsid w:val="1941466A"/>
    <w:rsid w:val="194B373A"/>
    <w:rsid w:val="1959489B"/>
    <w:rsid w:val="195E73C3"/>
    <w:rsid w:val="198C1F9C"/>
    <w:rsid w:val="19C94A1D"/>
    <w:rsid w:val="19E475B1"/>
    <w:rsid w:val="19EB03CA"/>
    <w:rsid w:val="19EC2827"/>
    <w:rsid w:val="1A081B0B"/>
    <w:rsid w:val="1A366198"/>
    <w:rsid w:val="1A495ECC"/>
    <w:rsid w:val="1A564145"/>
    <w:rsid w:val="1A731B84"/>
    <w:rsid w:val="1A8C6C30"/>
    <w:rsid w:val="1A9A6727"/>
    <w:rsid w:val="1AC148E7"/>
    <w:rsid w:val="1AC2634D"/>
    <w:rsid w:val="1ACE017F"/>
    <w:rsid w:val="1AD67034"/>
    <w:rsid w:val="1AE300CE"/>
    <w:rsid w:val="1AEA6003"/>
    <w:rsid w:val="1B0B13D3"/>
    <w:rsid w:val="1B181869"/>
    <w:rsid w:val="1B193899"/>
    <w:rsid w:val="1B1B306B"/>
    <w:rsid w:val="1B283D33"/>
    <w:rsid w:val="1B513EBB"/>
    <w:rsid w:val="1B6B0D73"/>
    <w:rsid w:val="1B6D3919"/>
    <w:rsid w:val="1B81608F"/>
    <w:rsid w:val="1B8B1502"/>
    <w:rsid w:val="1B99253B"/>
    <w:rsid w:val="1B9C027D"/>
    <w:rsid w:val="1BA702BF"/>
    <w:rsid w:val="1BB16B64"/>
    <w:rsid w:val="1BD21EF1"/>
    <w:rsid w:val="1BE22BD8"/>
    <w:rsid w:val="1C085913"/>
    <w:rsid w:val="1CA91775"/>
    <w:rsid w:val="1CBC1512"/>
    <w:rsid w:val="1CDF01A6"/>
    <w:rsid w:val="1D06296E"/>
    <w:rsid w:val="1D3C47FA"/>
    <w:rsid w:val="1D8320B8"/>
    <w:rsid w:val="1D9F0CA4"/>
    <w:rsid w:val="1DA00A17"/>
    <w:rsid w:val="1DA61090"/>
    <w:rsid w:val="1DA61574"/>
    <w:rsid w:val="1DA628B8"/>
    <w:rsid w:val="1DAA6C81"/>
    <w:rsid w:val="1DB824DD"/>
    <w:rsid w:val="1DC355EA"/>
    <w:rsid w:val="1DE81558"/>
    <w:rsid w:val="1E0336B0"/>
    <w:rsid w:val="1E097871"/>
    <w:rsid w:val="1E1E766F"/>
    <w:rsid w:val="1E1E7D78"/>
    <w:rsid w:val="1E5E5BDD"/>
    <w:rsid w:val="1EA13F4D"/>
    <w:rsid w:val="1EDB10BC"/>
    <w:rsid w:val="1EDE6099"/>
    <w:rsid w:val="1EF36406"/>
    <w:rsid w:val="1F0316EF"/>
    <w:rsid w:val="1F136AA8"/>
    <w:rsid w:val="1F2110CB"/>
    <w:rsid w:val="1F465554"/>
    <w:rsid w:val="1F466DC3"/>
    <w:rsid w:val="1F4E7AE0"/>
    <w:rsid w:val="1F5C27D2"/>
    <w:rsid w:val="1F5D0D6D"/>
    <w:rsid w:val="1F973235"/>
    <w:rsid w:val="1FB139AC"/>
    <w:rsid w:val="1FBA6808"/>
    <w:rsid w:val="1FC02852"/>
    <w:rsid w:val="1FC2570C"/>
    <w:rsid w:val="1FCB7CF3"/>
    <w:rsid w:val="1FD1283F"/>
    <w:rsid w:val="1FD21556"/>
    <w:rsid w:val="1FE65B4F"/>
    <w:rsid w:val="1FED0255"/>
    <w:rsid w:val="1FFD563E"/>
    <w:rsid w:val="2004136E"/>
    <w:rsid w:val="205C7FDB"/>
    <w:rsid w:val="20673EF2"/>
    <w:rsid w:val="207672EF"/>
    <w:rsid w:val="207B2B57"/>
    <w:rsid w:val="207B64DF"/>
    <w:rsid w:val="207F2647"/>
    <w:rsid w:val="20810A92"/>
    <w:rsid w:val="20B22767"/>
    <w:rsid w:val="20D01727"/>
    <w:rsid w:val="20DB1848"/>
    <w:rsid w:val="20EA55E7"/>
    <w:rsid w:val="20EA5F5A"/>
    <w:rsid w:val="20F63F8C"/>
    <w:rsid w:val="21014117"/>
    <w:rsid w:val="211C7719"/>
    <w:rsid w:val="21361AB9"/>
    <w:rsid w:val="21483028"/>
    <w:rsid w:val="214943FE"/>
    <w:rsid w:val="21667747"/>
    <w:rsid w:val="21747CD2"/>
    <w:rsid w:val="21A1039B"/>
    <w:rsid w:val="21B05BED"/>
    <w:rsid w:val="21B93937"/>
    <w:rsid w:val="21C66054"/>
    <w:rsid w:val="21FF5055"/>
    <w:rsid w:val="22163832"/>
    <w:rsid w:val="223B07F0"/>
    <w:rsid w:val="223D11EB"/>
    <w:rsid w:val="2241220C"/>
    <w:rsid w:val="22463BED"/>
    <w:rsid w:val="224F1BA5"/>
    <w:rsid w:val="22814E9B"/>
    <w:rsid w:val="228829F3"/>
    <w:rsid w:val="22883309"/>
    <w:rsid w:val="2297659C"/>
    <w:rsid w:val="22E23B6C"/>
    <w:rsid w:val="22E47EC9"/>
    <w:rsid w:val="23021C7F"/>
    <w:rsid w:val="230230BC"/>
    <w:rsid w:val="2317214C"/>
    <w:rsid w:val="231F3E16"/>
    <w:rsid w:val="232F19D7"/>
    <w:rsid w:val="233139A1"/>
    <w:rsid w:val="23492ADF"/>
    <w:rsid w:val="23765091"/>
    <w:rsid w:val="23836908"/>
    <w:rsid w:val="238A4281"/>
    <w:rsid w:val="239013BD"/>
    <w:rsid w:val="239A5BB7"/>
    <w:rsid w:val="239B0E1A"/>
    <w:rsid w:val="23AC7B15"/>
    <w:rsid w:val="23BA3996"/>
    <w:rsid w:val="23C860B3"/>
    <w:rsid w:val="23C86671"/>
    <w:rsid w:val="23D028CB"/>
    <w:rsid w:val="23DD52F2"/>
    <w:rsid w:val="23E17175"/>
    <w:rsid w:val="23E23A29"/>
    <w:rsid w:val="23E32798"/>
    <w:rsid w:val="24014C38"/>
    <w:rsid w:val="2415421A"/>
    <w:rsid w:val="243F5C4A"/>
    <w:rsid w:val="244662E5"/>
    <w:rsid w:val="24820620"/>
    <w:rsid w:val="24A24B56"/>
    <w:rsid w:val="24AA491B"/>
    <w:rsid w:val="24BC420A"/>
    <w:rsid w:val="24CC3981"/>
    <w:rsid w:val="24D6038A"/>
    <w:rsid w:val="25205A7B"/>
    <w:rsid w:val="25315EDA"/>
    <w:rsid w:val="25980ED9"/>
    <w:rsid w:val="25A55EB2"/>
    <w:rsid w:val="25B74631"/>
    <w:rsid w:val="25BB362B"/>
    <w:rsid w:val="25E26040"/>
    <w:rsid w:val="25E96112"/>
    <w:rsid w:val="25F56AF1"/>
    <w:rsid w:val="261455E0"/>
    <w:rsid w:val="262E540C"/>
    <w:rsid w:val="263C3074"/>
    <w:rsid w:val="264926A0"/>
    <w:rsid w:val="26773FB5"/>
    <w:rsid w:val="26946721"/>
    <w:rsid w:val="26CF7FE4"/>
    <w:rsid w:val="26EE1A82"/>
    <w:rsid w:val="26F84E29"/>
    <w:rsid w:val="27076EF2"/>
    <w:rsid w:val="27261261"/>
    <w:rsid w:val="27280637"/>
    <w:rsid w:val="272B27E3"/>
    <w:rsid w:val="275473DD"/>
    <w:rsid w:val="276E51C4"/>
    <w:rsid w:val="278F268C"/>
    <w:rsid w:val="27914A0E"/>
    <w:rsid w:val="27B23302"/>
    <w:rsid w:val="27BD0AF8"/>
    <w:rsid w:val="27DF5779"/>
    <w:rsid w:val="27FF07F4"/>
    <w:rsid w:val="28100029"/>
    <w:rsid w:val="281716C4"/>
    <w:rsid w:val="285D2B42"/>
    <w:rsid w:val="28610884"/>
    <w:rsid w:val="286363AA"/>
    <w:rsid w:val="286A2D61"/>
    <w:rsid w:val="28A3450F"/>
    <w:rsid w:val="28CD1A76"/>
    <w:rsid w:val="28CF2D0D"/>
    <w:rsid w:val="28EB6ECB"/>
    <w:rsid w:val="29074C2C"/>
    <w:rsid w:val="29247B6E"/>
    <w:rsid w:val="29297710"/>
    <w:rsid w:val="294C5091"/>
    <w:rsid w:val="295C17B0"/>
    <w:rsid w:val="296778F7"/>
    <w:rsid w:val="296C74C9"/>
    <w:rsid w:val="298011DE"/>
    <w:rsid w:val="29844D0B"/>
    <w:rsid w:val="298577EE"/>
    <w:rsid w:val="298867EF"/>
    <w:rsid w:val="29B42C36"/>
    <w:rsid w:val="29D07A70"/>
    <w:rsid w:val="29E90AB2"/>
    <w:rsid w:val="2A00765B"/>
    <w:rsid w:val="2A056A72"/>
    <w:rsid w:val="2A2878AC"/>
    <w:rsid w:val="2A2F7640"/>
    <w:rsid w:val="2A581384"/>
    <w:rsid w:val="2A693A20"/>
    <w:rsid w:val="2A6A2EC2"/>
    <w:rsid w:val="2A8A2314"/>
    <w:rsid w:val="2A9F2639"/>
    <w:rsid w:val="2AB87A5A"/>
    <w:rsid w:val="2ABE3D6C"/>
    <w:rsid w:val="2AD0584D"/>
    <w:rsid w:val="2AD1597F"/>
    <w:rsid w:val="2AD215C5"/>
    <w:rsid w:val="2AF71EF2"/>
    <w:rsid w:val="2B061DBF"/>
    <w:rsid w:val="2B0B3C8B"/>
    <w:rsid w:val="2B1930F1"/>
    <w:rsid w:val="2B2C1BA0"/>
    <w:rsid w:val="2B335DE0"/>
    <w:rsid w:val="2B562685"/>
    <w:rsid w:val="2B706F0E"/>
    <w:rsid w:val="2B801A08"/>
    <w:rsid w:val="2B96293D"/>
    <w:rsid w:val="2BAC0068"/>
    <w:rsid w:val="2BD82512"/>
    <w:rsid w:val="2BFC0FF0"/>
    <w:rsid w:val="2C272D23"/>
    <w:rsid w:val="2C363AC7"/>
    <w:rsid w:val="2C3D6BE7"/>
    <w:rsid w:val="2CA64AB8"/>
    <w:rsid w:val="2CBE2135"/>
    <w:rsid w:val="2CCA62F3"/>
    <w:rsid w:val="2CDF446E"/>
    <w:rsid w:val="2CEF3FF3"/>
    <w:rsid w:val="2D2307FE"/>
    <w:rsid w:val="2D485B6F"/>
    <w:rsid w:val="2D787E5E"/>
    <w:rsid w:val="2D7E7889"/>
    <w:rsid w:val="2D88240F"/>
    <w:rsid w:val="2D9C7834"/>
    <w:rsid w:val="2DA35475"/>
    <w:rsid w:val="2DAA682A"/>
    <w:rsid w:val="2DB87198"/>
    <w:rsid w:val="2DCA5527"/>
    <w:rsid w:val="2DD477F6"/>
    <w:rsid w:val="2DDB4C35"/>
    <w:rsid w:val="2DE81100"/>
    <w:rsid w:val="2DE91923"/>
    <w:rsid w:val="2DEB2E75"/>
    <w:rsid w:val="2E162111"/>
    <w:rsid w:val="2E5D564A"/>
    <w:rsid w:val="2E864BA1"/>
    <w:rsid w:val="2E950B8E"/>
    <w:rsid w:val="2ED51684"/>
    <w:rsid w:val="2EE72468"/>
    <w:rsid w:val="2EE83825"/>
    <w:rsid w:val="2EFC4E63"/>
    <w:rsid w:val="2F0D37BD"/>
    <w:rsid w:val="2F0D4A02"/>
    <w:rsid w:val="2F1610C2"/>
    <w:rsid w:val="2F201745"/>
    <w:rsid w:val="2F407445"/>
    <w:rsid w:val="2F860BD0"/>
    <w:rsid w:val="2FC040E2"/>
    <w:rsid w:val="2FE06533"/>
    <w:rsid w:val="305036DD"/>
    <w:rsid w:val="305C7859"/>
    <w:rsid w:val="306034BA"/>
    <w:rsid w:val="306058C5"/>
    <w:rsid w:val="3061436D"/>
    <w:rsid w:val="307D1FD3"/>
    <w:rsid w:val="30850E88"/>
    <w:rsid w:val="308D4FC3"/>
    <w:rsid w:val="309F763B"/>
    <w:rsid w:val="30C50B04"/>
    <w:rsid w:val="30C909D7"/>
    <w:rsid w:val="30E24C13"/>
    <w:rsid w:val="30EB33E1"/>
    <w:rsid w:val="30F878AC"/>
    <w:rsid w:val="310B0FC2"/>
    <w:rsid w:val="31216E03"/>
    <w:rsid w:val="31284FFE"/>
    <w:rsid w:val="3169744A"/>
    <w:rsid w:val="31943A27"/>
    <w:rsid w:val="319E3BAC"/>
    <w:rsid w:val="319F6C13"/>
    <w:rsid w:val="31AC0DC2"/>
    <w:rsid w:val="31DB5204"/>
    <w:rsid w:val="322E7A29"/>
    <w:rsid w:val="322F59A5"/>
    <w:rsid w:val="32515D79"/>
    <w:rsid w:val="327D62BB"/>
    <w:rsid w:val="32CB171C"/>
    <w:rsid w:val="32E159D6"/>
    <w:rsid w:val="32F228D6"/>
    <w:rsid w:val="331A7FAD"/>
    <w:rsid w:val="336E20A7"/>
    <w:rsid w:val="33722BEA"/>
    <w:rsid w:val="337E22EA"/>
    <w:rsid w:val="33802506"/>
    <w:rsid w:val="338F44F8"/>
    <w:rsid w:val="339D7F08"/>
    <w:rsid w:val="33B0446E"/>
    <w:rsid w:val="33CC186D"/>
    <w:rsid w:val="33CD6DCE"/>
    <w:rsid w:val="344A5198"/>
    <w:rsid w:val="34601ABD"/>
    <w:rsid w:val="348772A6"/>
    <w:rsid w:val="349124F1"/>
    <w:rsid w:val="349808FF"/>
    <w:rsid w:val="34B7127C"/>
    <w:rsid w:val="34EB1A1E"/>
    <w:rsid w:val="350D5671"/>
    <w:rsid w:val="3517125A"/>
    <w:rsid w:val="35477788"/>
    <w:rsid w:val="354B465C"/>
    <w:rsid w:val="357115DC"/>
    <w:rsid w:val="357E05F4"/>
    <w:rsid w:val="35935DF5"/>
    <w:rsid w:val="35AB2545"/>
    <w:rsid w:val="35AD709D"/>
    <w:rsid w:val="36271870"/>
    <w:rsid w:val="3649014B"/>
    <w:rsid w:val="367125DA"/>
    <w:rsid w:val="36787F22"/>
    <w:rsid w:val="36864F1A"/>
    <w:rsid w:val="369D33CF"/>
    <w:rsid w:val="36D14E27"/>
    <w:rsid w:val="36D668E1"/>
    <w:rsid w:val="36F17277"/>
    <w:rsid w:val="373553B6"/>
    <w:rsid w:val="37515F68"/>
    <w:rsid w:val="37585D92"/>
    <w:rsid w:val="375B2904"/>
    <w:rsid w:val="37B31B20"/>
    <w:rsid w:val="37D45D34"/>
    <w:rsid w:val="37DF6F7A"/>
    <w:rsid w:val="3842422E"/>
    <w:rsid w:val="384A4E91"/>
    <w:rsid w:val="385C4BC4"/>
    <w:rsid w:val="38795776"/>
    <w:rsid w:val="387D142D"/>
    <w:rsid w:val="38B44A00"/>
    <w:rsid w:val="38BF6B05"/>
    <w:rsid w:val="38C23ED9"/>
    <w:rsid w:val="38C87BA6"/>
    <w:rsid w:val="38CC2BBC"/>
    <w:rsid w:val="38EC3030"/>
    <w:rsid w:val="38EC5796"/>
    <w:rsid w:val="38F41D25"/>
    <w:rsid w:val="39311BAD"/>
    <w:rsid w:val="39370841"/>
    <w:rsid w:val="39400D63"/>
    <w:rsid w:val="39440BB1"/>
    <w:rsid w:val="395C0C19"/>
    <w:rsid w:val="39733323"/>
    <w:rsid w:val="39777F17"/>
    <w:rsid w:val="397E16F3"/>
    <w:rsid w:val="39A64D3C"/>
    <w:rsid w:val="3A1F234D"/>
    <w:rsid w:val="3A315BDB"/>
    <w:rsid w:val="3A476B07"/>
    <w:rsid w:val="3A611EF4"/>
    <w:rsid w:val="3A824DC7"/>
    <w:rsid w:val="3A865F28"/>
    <w:rsid w:val="3AA33576"/>
    <w:rsid w:val="3AC11258"/>
    <w:rsid w:val="3ADB44C6"/>
    <w:rsid w:val="3AEF0512"/>
    <w:rsid w:val="3AF15A98"/>
    <w:rsid w:val="3B077069"/>
    <w:rsid w:val="3B1E1ACF"/>
    <w:rsid w:val="3B2D4B01"/>
    <w:rsid w:val="3B581673"/>
    <w:rsid w:val="3BA64AD4"/>
    <w:rsid w:val="3BAE3989"/>
    <w:rsid w:val="3BF27D19"/>
    <w:rsid w:val="3C125CC6"/>
    <w:rsid w:val="3C245ED1"/>
    <w:rsid w:val="3C351E74"/>
    <w:rsid w:val="3C371BD0"/>
    <w:rsid w:val="3C6773B9"/>
    <w:rsid w:val="3C825287"/>
    <w:rsid w:val="3CB44FCF"/>
    <w:rsid w:val="3CC52D38"/>
    <w:rsid w:val="3D060CEB"/>
    <w:rsid w:val="3D3B56F0"/>
    <w:rsid w:val="3D9467F1"/>
    <w:rsid w:val="3DA04DED"/>
    <w:rsid w:val="3DB35BDF"/>
    <w:rsid w:val="3DF16F88"/>
    <w:rsid w:val="3E255611"/>
    <w:rsid w:val="3E2B3A17"/>
    <w:rsid w:val="3E310591"/>
    <w:rsid w:val="3E377E73"/>
    <w:rsid w:val="3E3C6E25"/>
    <w:rsid w:val="3E416D36"/>
    <w:rsid w:val="3E6622F9"/>
    <w:rsid w:val="3E7C7D6E"/>
    <w:rsid w:val="3E815385"/>
    <w:rsid w:val="3E9013B3"/>
    <w:rsid w:val="3EA30BA2"/>
    <w:rsid w:val="3EB63280"/>
    <w:rsid w:val="3EB80F95"/>
    <w:rsid w:val="3EDB4A95"/>
    <w:rsid w:val="3EE80F60"/>
    <w:rsid w:val="3F1735F3"/>
    <w:rsid w:val="3F6907F4"/>
    <w:rsid w:val="3F865B81"/>
    <w:rsid w:val="3FBF43B6"/>
    <w:rsid w:val="3FDB6D16"/>
    <w:rsid w:val="3FF2344F"/>
    <w:rsid w:val="40030F9A"/>
    <w:rsid w:val="4004626D"/>
    <w:rsid w:val="402B0FDC"/>
    <w:rsid w:val="403F1053"/>
    <w:rsid w:val="404B5C4A"/>
    <w:rsid w:val="4056504F"/>
    <w:rsid w:val="405A40DF"/>
    <w:rsid w:val="406E3441"/>
    <w:rsid w:val="4070745F"/>
    <w:rsid w:val="40A11D0E"/>
    <w:rsid w:val="411931D8"/>
    <w:rsid w:val="41281AE7"/>
    <w:rsid w:val="412D70FE"/>
    <w:rsid w:val="416507BB"/>
    <w:rsid w:val="4183621B"/>
    <w:rsid w:val="418A09F4"/>
    <w:rsid w:val="41991F2D"/>
    <w:rsid w:val="41C71300"/>
    <w:rsid w:val="41FF6CEC"/>
    <w:rsid w:val="42291FBB"/>
    <w:rsid w:val="4251506E"/>
    <w:rsid w:val="42E243E9"/>
    <w:rsid w:val="43010842"/>
    <w:rsid w:val="43027FDE"/>
    <w:rsid w:val="430F2F5F"/>
    <w:rsid w:val="431F6F1A"/>
    <w:rsid w:val="432218FC"/>
    <w:rsid w:val="432F1853"/>
    <w:rsid w:val="4345544C"/>
    <w:rsid w:val="43525542"/>
    <w:rsid w:val="438020AF"/>
    <w:rsid w:val="43A270B3"/>
    <w:rsid w:val="43A318F9"/>
    <w:rsid w:val="43C66D54"/>
    <w:rsid w:val="43F55239"/>
    <w:rsid w:val="43FF7AA3"/>
    <w:rsid w:val="44242A3A"/>
    <w:rsid w:val="44435580"/>
    <w:rsid w:val="44691522"/>
    <w:rsid w:val="4476700E"/>
    <w:rsid w:val="448259B3"/>
    <w:rsid w:val="44866DE8"/>
    <w:rsid w:val="44BE2144"/>
    <w:rsid w:val="44C317F5"/>
    <w:rsid w:val="44F543D6"/>
    <w:rsid w:val="45067A1F"/>
    <w:rsid w:val="4508235C"/>
    <w:rsid w:val="45246A6A"/>
    <w:rsid w:val="453579DA"/>
    <w:rsid w:val="45602EBC"/>
    <w:rsid w:val="45605194"/>
    <w:rsid w:val="45656353"/>
    <w:rsid w:val="457D0C99"/>
    <w:rsid w:val="459E4394"/>
    <w:rsid w:val="45C36283"/>
    <w:rsid w:val="45CC7824"/>
    <w:rsid w:val="45CF1E7E"/>
    <w:rsid w:val="45D8287A"/>
    <w:rsid w:val="46704B07"/>
    <w:rsid w:val="468468C7"/>
    <w:rsid w:val="46D324F5"/>
    <w:rsid w:val="46E04FA3"/>
    <w:rsid w:val="46E7274B"/>
    <w:rsid w:val="46FA1522"/>
    <w:rsid w:val="473E3285"/>
    <w:rsid w:val="47482B30"/>
    <w:rsid w:val="47482EE3"/>
    <w:rsid w:val="474E1E98"/>
    <w:rsid w:val="475F1FDB"/>
    <w:rsid w:val="47727F60"/>
    <w:rsid w:val="47745A86"/>
    <w:rsid w:val="47794E4B"/>
    <w:rsid w:val="478B4A1F"/>
    <w:rsid w:val="47941C85"/>
    <w:rsid w:val="47997EA3"/>
    <w:rsid w:val="47A64124"/>
    <w:rsid w:val="47DE3524"/>
    <w:rsid w:val="47E656C6"/>
    <w:rsid w:val="484208EA"/>
    <w:rsid w:val="486422D0"/>
    <w:rsid w:val="486A6E89"/>
    <w:rsid w:val="487C0988"/>
    <w:rsid w:val="488E4926"/>
    <w:rsid w:val="489455B7"/>
    <w:rsid w:val="48AF6BED"/>
    <w:rsid w:val="48C12F4D"/>
    <w:rsid w:val="48D95A01"/>
    <w:rsid w:val="48F46ACF"/>
    <w:rsid w:val="48F84495"/>
    <w:rsid w:val="490948F4"/>
    <w:rsid w:val="49262DB0"/>
    <w:rsid w:val="49331971"/>
    <w:rsid w:val="49732E69"/>
    <w:rsid w:val="49736D01"/>
    <w:rsid w:val="497C50C6"/>
    <w:rsid w:val="49872310"/>
    <w:rsid w:val="49895EBA"/>
    <w:rsid w:val="498F5898"/>
    <w:rsid w:val="499917D4"/>
    <w:rsid w:val="49A02084"/>
    <w:rsid w:val="49BA174B"/>
    <w:rsid w:val="49F029AE"/>
    <w:rsid w:val="49F27137"/>
    <w:rsid w:val="49FD7FD7"/>
    <w:rsid w:val="4A0F5443"/>
    <w:rsid w:val="4A1B3B49"/>
    <w:rsid w:val="4A35084C"/>
    <w:rsid w:val="4A732FAA"/>
    <w:rsid w:val="4A827E9B"/>
    <w:rsid w:val="4A954692"/>
    <w:rsid w:val="4AA77F21"/>
    <w:rsid w:val="4ACC7988"/>
    <w:rsid w:val="4AE16BF5"/>
    <w:rsid w:val="4B0A0699"/>
    <w:rsid w:val="4B0B4954"/>
    <w:rsid w:val="4BA6467C"/>
    <w:rsid w:val="4BC44B03"/>
    <w:rsid w:val="4BCF54F5"/>
    <w:rsid w:val="4BDC63EB"/>
    <w:rsid w:val="4C20442F"/>
    <w:rsid w:val="4C327CBE"/>
    <w:rsid w:val="4C343B8B"/>
    <w:rsid w:val="4C4E09C6"/>
    <w:rsid w:val="4C4F261E"/>
    <w:rsid w:val="4C7327B1"/>
    <w:rsid w:val="4C7F1D92"/>
    <w:rsid w:val="4C87625C"/>
    <w:rsid w:val="4C8A3727"/>
    <w:rsid w:val="4CBE77A4"/>
    <w:rsid w:val="4D1F6749"/>
    <w:rsid w:val="4D2E67E7"/>
    <w:rsid w:val="4D371A30"/>
    <w:rsid w:val="4D546BC7"/>
    <w:rsid w:val="4D6F5D63"/>
    <w:rsid w:val="4D9652F3"/>
    <w:rsid w:val="4DA644C0"/>
    <w:rsid w:val="4DB175DB"/>
    <w:rsid w:val="4DD03C33"/>
    <w:rsid w:val="4DE56987"/>
    <w:rsid w:val="4E1422AC"/>
    <w:rsid w:val="4E233393"/>
    <w:rsid w:val="4E6F0D56"/>
    <w:rsid w:val="4EA053B3"/>
    <w:rsid w:val="4EA46E67"/>
    <w:rsid w:val="4ECB281C"/>
    <w:rsid w:val="4EEA307A"/>
    <w:rsid w:val="4F0474DC"/>
    <w:rsid w:val="4F0A0A7E"/>
    <w:rsid w:val="4F16289F"/>
    <w:rsid w:val="4F195165"/>
    <w:rsid w:val="4F1E7157"/>
    <w:rsid w:val="4F5A547C"/>
    <w:rsid w:val="4F86173C"/>
    <w:rsid w:val="4F93316A"/>
    <w:rsid w:val="4F960564"/>
    <w:rsid w:val="4F9804CF"/>
    <w:rsid w:val="4FA26F09"/>
    <w:rsid w:val="4FA73BDB"/>
    <w:rsid w:val="4FB01626"/>
    <w:rsid w:val="4FB04B8E"/>
    <w:rsid w:val="4FB147CA"/>
    <w:rsid w:val="4FBC3CB9"/>
    <w:rsid w:val="4FE13ED5"/>
    <w:rsid w:val="503F0BFC"/>
    <w:rsid w:val="50524808"/>
    <w:rsid w:val="505B6A64"/>
    <w:rsid w:val="506643DA"/>
    <w:rsid w:val="508D42D1"/>
    <w:rsid w:val="50B45146"/>
    <w:rsid w:val="50DD42EB"/>
    <w:rsid w:val="50E26A5F"/>
    <w:rsid w:val="50ED051C"/>
    <w:rsid w:val="51181B78"/>
    <w:rsid w:val="512178AF"/>
    <w:rsid w:val="51234079"/>
    <w:rsid w:val="51295C56"/>
    <w:rsid w:val="513B13C3"/>
    <w:rsid w:val="515232D0"/>
    <w:rsid w:val="515B64BC"/>
    <w:rsid w:val="519857B6"/>
    <w:rsid w:val="51AA4C86"/>
    <w:rsid w:val="51B16DC1"/>
    <w:rsid w:val="51B678C8"/>
    <w:rsid w:val="51CF0D6E"/>
    <w:rsid w:val="51D72D57"/>
    <w:rsid w:val="51E1031E"/>
    <w:rsid w:val="5217598C"/>
    <w:rsid w:val="52350902"/>
    <w:rsid w:val="525C5A95"/>
    <w:rsid w:val="5268443A"/>
    <w:rsid w:val="528D432D"/>
    <w:rsid w:val="52930A08"/>
    <w:rsid w:val="52F43F1F"/>
    <w:rsid w:val="534E5955"/>
    <w:rsid w:val="53746E0E"/>
    <w:rsid w:val="53B11E10"/>
    <w:rsid w:val="53F2311E"/>
    <w:rsid w:val="53F72B7A"/>
    <w:rsid w:val="54004ACD"/>
    <w:rsid w:val="5419109B"/>
    <w:rsid w:val="54204352"/>
    <w:rsid w:val="544959A3"/>
    <w:rsid w:val="544A39D0"/>
    <w:rsid w:val="54617393"/>
    <w:rsid w:val="547A66A6"/>
    <w:rsid w:val="548A58AE"/>
    <w:rsid w:val="549A28A4"/>
    <w:rsid w:val="549E4143"/>
    <w:rsid w:val="54A417A5"/>
    <w:rsid w:val="54B41BB8"/>
    <w:rsid w:val="54BC3C25"/>
    <w:rsid w:val="54D97871"/>
    <w:rsid w:val="54E34BD7"/>
    <w:rsid w:val="54F97AAA"/>
    <w:rsid w:val="550C7263"/>
    <w:rsid w:val="5512068D"/>
    <w:rsid w:val="55326F81"/>
    <w:rsid w:val="553E5926"/>
    <w:rsid w:val="555A1045"/>
    <w:rsid w:val="55833339"/>
    <w:rsid w:val="55AE3448"/>
    <w:rsid w:val="56066443"/>
    <w:rsid w:val="56224B5D"/>
    <w:rsid w:val="562969D3"/>
    <w:rsid w:val="562B5EAA"/>
    <w:rsid w:val="56326E2F"/>
    <w:rsid w:val="564B654C"/>
    <w:rsid w:val="56A143BE"/>
    <w:rsid w:val="56A25E13"/>
    <w:rsid w:val="57123C15"/>
    <w:rsid w:val="57266671"/>
    <w:rsid w:val="574F7976"/>
    <w:rsid w:val="578E035C"/>
    <w:rsid w:val="57C06AC6"/>
    <w:rsid w:val="581A7F84"/>
    <w:rsid w:val="5836262A"/>
    <w:rsid w:val="583E3351"/>
    <w:rsid w:val="584C2108"/>
    <w:rsid w:val="58612E28"/>
    <w:rsid w:val="58676F42"/>
    <w:rsid w:val="586E207E"/>
    <w:rsid w:val="587A4EC7"/>
    <w:rsid w:val="58A61818"/>
    <w:rsid w:val="58C07281"/>
    <w:rsid w:val="58C902A8"/>
    <w:rsid w:val="58E467E4"/>
    <w:rsid w:val="58F719D7"/>
    <w:rsid w:val="59175A59"/>
    <w:rsid w:val="593212FE"/>
    <w:rsid w:val="595069A0"/>
    <w:rsid w:val="595132AD"/>
    <w:rsid w:val="595907CF"/>
    <w:rsid w:val="59591964"/>
    <w:rsid w:val="596363A7"/>
    <w:rsid w:val="597D6AD3"/>
    <w:rsid w:val="59C13771"/>
    <w:rsid w:val="59C30BF1"/>
    <w:rsid w:val="59C3464B"/>
    <w:rsid w:val="59EF71EF"/>
    <w:rsid w:val="5A145009"/>
    <w:rsid w:val="5A282B55"/>
    <w:rsid w:val="5A2E4058"/>
    <w:rsid w:val="5A380B96"/>
    <w:rsid w:val="5A470A10"/>
    <w:rsid w:val="5A7140A7"/>
    <w:rsid w:val="5A873FE0"/>
    <w:rsid w:val="5AA71877"/>
    <w:rsid w:val="5AB317E3"/>
    <w:rsid w:val="5AD54636"/>
    <w:rsid w:val="5ADF2739"/>
    <w:rsid w:val="5AF71A44"/>
    <w:rsid w:val="5B0E18F6"/>
    <w:rsid w:val="5B305D11"/>
    <w:rsid w:val="5B687259"/>
    <w:rsid w:val="5B8360EF"/>
    <w:rsid w:val="5B861645"/>
    <w:rsid w:val="5BA461F8"/>
    <w:rsid w:val="5BDE4427"/>
    <w:rsid w:val="5BFF3125"/>
    <w:rsid w:val="5C003935"/>
    <w:rsid w:val="5C0E370C"/>
    <w:rsid w:val="5C1A25BD"/>
    <w:rsid w:val="5C1E3DBB"/>
    <w:rsid w:val="5C3541CB"/>
    <w:rsid w:val="5C514900"/>
    <w:rsid w:val="5C653798"/>
    <w:rsid w:val="5C734262"/>
    <w:rsid w:val="5C75267C"/>
    <w:rsid w:val="5C836EE1"/>
    <w:rsid w:val="5C9D2F32"/>
    <w:rsid w:val="5CA40764"/>
    <w:rsid w:val="5CA644DC"/>
    <w:rsid w:val="5CBF35FA"/>
    <w:rsid w:val="5CC72CD5"/>
    <w:rsid w:val="5CF7077D"/>
    <w:rsid w:val="5D0E5DF4"/>
    <w:rsid w:val="5D186A5C"/>
    <w:rsid w:val="5D260C78"/>
    <w:rsid w:val="5D3214BE"/>
    <w:rsid w:val="5D3226E4"/>
    <w:rsid w:val="5D5061F6"/>
    <w:rsid w:val="5D531B36"/>
    <w:rsid w:val="5D532B9C"/>
    <w:rsid w:val="5D5E48FC"/>
    <w:rsid w:val="5D7874FB"/>
    <w:rsid w:val="5D7A15A8"/>
    <w:rsid w:val="5D7E2D63"/>
    <w:rsid w:val="5D814602"/>
    <w:rsid w:val="5DC960FF"/>
    <w:rsid w:val="5DF44122"/>
    <w:rsid w:val="5E002ADB"/>
    <w:rsid w:val="5E056FE1"/>
    <w:rsid w:val="5E3011A9"/>
    <w:rsid w:val="5E714090"/>
    <w:rsid w:val="5EDF21E5"/>
    <w:rsid w:val="5EEE5CC7"/>
    <w:rsid w:val="5EFA3B0F"/>
    <w:rsid w:val="5F192375"/>
    <w:rsid w:val="5F3815CF"/>
    <w:rsid w:val="5F4973A1"/>
    <w:rsid w:val="5F532C79"/>
    <w:rsid w:val="5F5A38B0"/>
    <w:rsid w:val="5F77096A"/>
    <w:rsid w:val="5F8403D9"/>
    <w:rsid w:val="5F856825"/>
    <w:rsid w:val="5F8F0663"/>
    <w:rsid w:val="5F9253C0"/>
    <w:rsid w:val="5FB45A42"/>
    <w:rsid w:val="5FDE5D3B"/>
    <w:rsid w:val="5FF94923"/>
    <w:rsid w:val="60002155"/>
    <w:rsid w:val="60046D6F"/>
    <w:rsid w:val="60065292"/>
    <w:rsid w:val="60193217"/>
    <w:rsid w:val="602C4CF9"/>
    <w:rsid w:val="60380C07"/>
    <w:rsid w:val="603B13E0"/>
    <w:rsid w:val="60950948"/>
    <w:rsid w:val="60B116A2"/>
    <w:rsid w:val="60CC7399"/>
    <w:rsid w:val="60D3786A"/>
    <w:rsid w:val="60DD2977"/>
    <w:rsid w:val="60F4333C"/>
    <w:rsid w:val="60F63558"/>
    <w:rsid w:val="612510DA"/>
    <w:rsid w:val="612C6F7A"/>
    <w:rsid w:val="61412A26"/>
    <w:rsid w:val="617177E9"/>
    <w:rsid w:val="61812E22"/>
    <w:rsid w:val="619C4100"/>
    <w:rsid w:val="61C86CA3"/>
    <w:rsid w:val="61FE4473"/>
    <w:rsid w:val="62625E18"/>
    <w:rsid w:val="626A7D5A"/>
    <w:rsid w:val="628B7C2E"/>
    <w:rsid w:val="62C3746A"/>
    <w:rsid w:val="62D07794"/>
    <w:rsid w:val="62E53797"/>
    <w:rsid w:val="62ED0019"/>
    <w:rsid w:val="63016CD4"/>
    <w:rsid w:val="631B4182"/>
    <w:rsid w:val="633A3BD0"/>
    <w:rsid w:val="63473E24"/>
    <w:rsid w:val="63686334"/>
    <w:rsid w:val="63B514A9"/>
    <w:rsid w:val="63BA261B"/>
    <w:rsid w:val="63C33BC6"/>
    <w:rsid w:val="63D24A28"/>
    <w:rsid w:val="63D40A38"/>
    <w:rsid w:val="6405597D"/>
    <w:rsid w:val="643423CE"/>
    <w:rsid w:val="644F5459"/>
    <w:rsid w:val="646B2FFF"/>
    <w:rsid w:val="646E16BE"/>
    <w:rsid w:val="6490507B"/>
    <w:rsid w:val="64B259E8"/>
    <w:rsid w:val="64C86FBA"/>
    <w:rsid w:val="64F1206D"/>
    <w:rsid w:val="65040DD7"/>
    <w:rsid w:val="6509233C"/>
    <w:rsid w:val="65256195"/>
    <w:rsid w:val="652F7039"/>
    <w:rsid w:val="654A4281"/>
    <w:rsid w:val="656E190F"/>
    <w:rsid w:val="65700E88"/>
    <w:rsid w:val="65EE2A50"/>
    <w:rsid w:val="66192A1D"/>
    <w:rsid w:val="661E2AA2"/>
    <w:rsid w:val="662F5543"/>
    <w:rsid w:val="666C4426"/>
    <w:rsid w:val="66884C53"/>
    <w:rsid w:val="668D0844"/>
    <w:rsid w:val="66AE3090"/>
    <w:rsid w:val="66C21285"/>
    <w:rsid w:val="66DE78B5"/>
    <w:rsid w:val="66E62AC5"/>
    <w:rsid w:val="66E83852"/>
    <w:rsid w:val="66F127F8"/>
    <w:rsid w:val="66FE6DAC"/>
    <w:rsid w:val="671D183F"/>
    <w:rsid w:val="671D339D"/>
    <w:rsid w:val="675F1031"/>
    <w:rsid w:val="67634F7D"/>
    <w:rsid w:val="67915D89"/>
    <w:rsid w:val="6792482B"/>
    <w:rsid w:val="67987117"/>
    <w:rsid w:val="67A667BE"/>
    <w:rsid w:val="67D85766"/>
    <w:rsid w:val="67E265E5"/>
    <w:rsid w:val="680A137D"/>
    <w:rsid w:val="681276C7"/>
    <w:rsid w:val="681D5C96"/>
    <w:rsid w:val="686B50CE"/>
    <w:rsid w:val="687436E1"/>
    <w:rsid w:val="68A92271"/>
    <w:rsid w:val="68AA7102"/>
    <w:rsid w:val="68EF2D67"/>
    <w:rsid w:val="69020CEC"/>
    <w:rsid w:val="6942417B"/>
    <w:rsid w:val="694E37E6"/>
    <w:rsid w:val="69733998"/>
    <w:rsid w:val="699E02E9"/>
    <w:rsid w:val="69A022B3"/>
    <w:rsid w:val="6A1615BE"/>
    <w:rsid w:val="6A470DA9"/>
    <w:rsid w:val="6A5A6906"/>
    <w:rsid w:val="6A5B4373"/>
    <w:rsid w:val="6A6C2A87"/>
    <w:rsid w:val="6A6E4160"/>
    <w:rsid w:val="6A7B71A7"/>
    <w:rsid w:val="6A8F4802"/>
    <w:rsid w:val="6AA87672"/>
    <w:rsid w:val="6AB53B3C"/>
    <w:rsid w:val="6ABB5FB4"/>
    <w:rsid w:val="6ADA3B41"/>
    <w:rsid w:val="6AE461D0"/>
    <w:rsid w:val="6AEC15F7"/>
    <w:rsid w:val="6B0910E1"/>
    <w:rsid w:val="6B361121"/>
    <w:rsid w:val="6B4164C9"/>
    <w:rsid w:val="6B4A24D7"/>
    <w:rsid w:val="6B711411"/>
    <w:rsid w:val="6B7C78B1"/>
    <w:rsid w:val="6B8C0193"/>
    <w:rsid w:val="6BA42CDD"/>
    <w:rsid w:val="6BE566A3"/>
    <w:rsid w:val="6BEA3CBA"/>
    <w:rsid w:val="6BFE2F97"/>
    <w:rsid w:val="6C142CB8"/>
    <w:rsid w:val="6C296590"/>
    <w:rsid w:val="6C410A2B"/>
    <w:rsid w:val="6C7369CC"/>
    <w:rsid w:val="6C991B0E"/>
    <w:rsid w:val="6CA43E69"/>
    <w:rsid w:val="6CC2758C"/>
    <w:rsid w:val="6CD76D60"/>
    <w:rsid w:val="6CF14EDF"/>
    <w:rsid w:val="6CFC3CA5"/>
    <w:rsid w:val="6D1B3FF7"/>
    <w:rsid w:val="6D406063"/>
    <w:rsid w:val="6D752D15"/>
    <w:rsid w:val="6D7952F5"/>
    <w:rsid w:val="6D842D25"/>
    <w:rsid w:val="6D855A48"/>
    <w:rsid w:val="6D885538"/>
    <w:rsid w:val="6D995997"/>
    <w:rsid w:val="6DCA6F5F"/>
    <w:rsid w:val="6DCF4F15"/>
    <w:rsid w:val="6DD74639"/>
    <w:rsid w:val="6E030D1B"/>
    <w:rsid w:val="6E0E0BB5"/>
    <w:rsid w:val="6E26523A"/>
    <w:rsid w:val="6E265571"/>
    <w:rsid w:val="6E3A53BC"/>
    <w:rsid w:val="6E4C2A0A"/>
    <w:rsid w:val="6E587601"/>
    <w:rsid w:val="6E5F273D"/>
    <w:rsid w:val="6E856359"/>
    <w:rsid w:val="6E910B04"/>
    <w:rsid w:val="6E9E5591"/>
    <w:rsid w:val="6EB522B7"/>
    <w:rsid w:val="6EF073D1"/>
    <w:rsid w:val="6F0544CA"/>
    <w:rsid w:val="6F0E415F"/>
    <w:rsid w:val="6F443E8D"/>
    <w:rsid w:val="6F5620AA"/>
    <w:rsid w:val="6F5E0C47"/>
    <w:rsid w:val="6F6F5FBF"/>
    <w:rsid w:val="6FB645DF"/>
    <w:rsid w:val="6FE56C72"/>
    <w:rsid w:val="6FFC0F17"/>
    <w:rsid w:val="700C1F94"/>
    <w:rsid w:val="704E7471"/>
    <w:rsid w:val="706F6E29"/>
    <w:rsid w:val="709E0A33"/>
    <w:rsid w:val="70A22DB5"/>
    <w:rsid w:val="70CB230C"/>
    <w:rsid w:val="70F210F8"/>
    <w:rsid w:val="715431A2"/>
    <w:rsid w:val="718F50E7"/>
    <w:rsid w:val="71A768D5"/>
    <w:rsid w:val="71AF7537"/>
    <w:rsid w:val="71B858F1"/>
    <w:rsid w:val="71E01DE7"/>
    <w:rsid w:val="71F0401D"/>
    <w:rsid w:val="71F820C0"/>
    <w:rsid w:val="721841CC"/>
    <w:rsid w:val="7242215A"/>
    <w:rsid w:val="724265FE"/>
    <w:rsid w:val="72626988"/>
    <w:rsid w:val="729606F7"/>
    <w:rsid w:val="72A17B2C"/>
    <w:rsid w:val="72B62B48"/>
    <w:rsid w:val="72BD1449"/>
    <w:rsid w:val="72D70041"/>
    <w:rsid w:val="73005B62"/>
    <w:rsid w:val="730B3BD6"/>
    <w:rsid w:val="735C5504"/>
    <w:rsid w:val="73663920"/>
    <w:rsid w:val="738D3CDA"/>
    <w:rsid w:val="73A32541"/>
    <w:rsid w:val="73B70925"/>
    <w:rsid w:val="73C51294"/>
    <w:rsid w:val="73DF7D78"/>
    <w:rsid w:val="73EA4857"/>
    <w:rsid w:val="73F02F87"/>
    <w:rsid w:val="73FE6554"/>
    <w:rsid w:val="74023F16"/>
    <w:rsid w:val="740A6CA7"/>
    <w:rsid w:val="740C6EC3"/>
    <w:rsid w:val="740E23C5"/>
    <w:rsid w:val="74546174"/>
    <w:rsid w:val="745801E3"/>
    <w:rsid w:val="74B17A6A"/>
    <w:rsid w:val="74B2136E"/>
    <w:rsid w:val="74D159FB"/>
    <w:rsid w:val="74D6302D"/>
    <w:rsid w:val="74DC3A97"/>
    <w:rsid w:val="750F67F4"/>
    <w:rsid w:val="75461F61"/>
    <w:rsid w:val="75596138"/>
    <w:rsid w:val="756A21FA"/>
    <w:rsid w:val="75CD5D0A"/>
    <w:rsid w:val="75F776FF"/>
    <w:rsid w:val="760144D9"/>
    <w:rsid w:val="76037E52"/>
    <w:rsid w:val="76165DD7"/>
    <w:rsid w:val="762A3C77"/>
    <w:rsid w:val="76320737"/>
    <w:rsid w:val="76393874"/>
    <w:rsid w:val="764A3DBD"/>
    <w:rsid w:val="76572DF6"/>
    <w:rsid w:val="765B537D"/>
    <w:rsid w:val="76724FD8"/>
    <w:rsid w:val="76780BDE"/>
    <w:rsid w:val="76931225"/>
    <w:rsid w:val="76CB1994"/>
    <w:rsid w:val="76F6723F"/>
    <w:rsid w:val="77086D01"/>
    <w:rsid w:val="7719101C"/>
    <w:rsid w:val="772D6879"/>
    <w:rsid w:val="77313F62"/>
    <w:rsid w:val="773C7ABF"/>
    <w:rsid w:val="77544F46"/>
    <w:rsid w:val="775671D3"/>
    <w:rsid w:val="77636CFD"/>
    <w:rsid w:val="77711E05"/>
    <w:rsid w:val="77876861"/>
    <w:rsid w:val="77957E43"/>
    <w:rsid w:val="77A05E86"/>
    <w:rsid w:val="77AD276B"/>
    <w:rsid w:val="77C6382D"/>
    <w:rsid w:val="77FF7E60"/>
    <w:rsid w:val="78297342"/>
    <w:rsid w:val="7833680D"/>
    <w:rsid w:val="78393E22"/>
    <w:rsid w:val="784A620C"/>
    <w:rsid w:val="785C1A9B"/>
    <w:rsid w:val="785E3A65"/>
    <w:rsid w:val="786868DB"/>
    <w:rsid w:val="787C3589"/>
    <w:rsid w:val="788640BE"/>
    <w:rsid w:val="788B18A8"/>
    <w:rsid w:val="78A17B1F"/>
    <w:rsid w:val="78B95140"/>
    <w:rsid w:val="78BB4A14"/>
    <w:rsid w:val="78BF68EA"/>
    <w:rsid w:val="78C750EA"/>
    <w:rsid w:val="78D106C3"/>
    <w:rsid w:val="790A599B"/>
    <w:rsid w:val="7919798C"/>
    <w:rsid w:val="79312570"/>
    <w:rsid w:val="79336CA0"/>
    <w:rsid w:val="798C2B80"/>
    <w:rsid w:val="79931E13"/>
    <w:rsid w:val="79935991"/>
    <w:rsid w:val="79A21A01"/>
    <w:rsid w:val="79C3303F"/>
    <w:rsid w:val="79D97847"/>
    <w:rsid w:val="79FD2E0A"/>
    <w:rsid w:val="7A0D5BF0"/>
    <w:rsid w:val="7A132749"/>
    <w:rsid w:val="7A1C7734"/>
    <w:rsid w:val="7A2E2E7F"/>
    <w:rsid w:val="7A41669C"/>
    <w:rsid w:val="7A691540"/>
    <w:rsid w:val="7A6F06D3"/>
    <w:rsid w:val="7AA25338"/>
    <w:rsid w:val="7AB0153D"/>
    <w:rsid w:val="7ACC436C"/>
    <w:rsid w:val="7AD936B7"/>
    <w:rsid w:val="7B1242D4"/>
    <w:rsid w:val="7B237D19"/>
    <w:rsid w:val="7B297531"/>
    <w:rsid w:val="7B607AF4"/>
    <w:rsid w:val="7B69676C"/>
    <w:rsid w:val="7B777CDF"/>
    <w:rsid w:val="7BAD50C7"/>
    <w:rsid w:val="7BB06386"/>
    <w:rsid w:val="7BC56F15"/>
    <w:rsid w:val="7BCC0CE6"/>
    <w:rsid w:val="7BCE38A5"/>
    <w:rsid w:val="7BD24021"/>
    <w:rsid w:val="7BD32074"/>
    <w:rsid w:val="7BD83B2F"/>
    <w:rsid w:val="7BDA3FDD"/>
    <w:rsid w:val="7BDC53CD"/>
    <w:rsid w:val="7C354ADD"/>
    <w:rsid w:val="7C3B6C7F"/>
    <w:rsid w:val="7C865339"/>
    <w:rsid w:val="7CC23219"/>
    <w:rsid w:val="7D012C11"/>
    <w:rsid w:val="7D4278A5"/>
    <w:rsid w:val="7D5176F5"/>
    <w:rsid w:val="7D5B056A"/>
    <w:rsid w:val="7D741635"/>
    <w:rsid w:val="7D807FDA"/>
    <w:rsid w:val="7D862F3A"/>
    <w:rsid w:val="7D8775BA"/>
    <w:rsid w:val="7DA737B9"/>
    <w:rsid w:val="7DDB2618"/>
    <w:rsid w:val="7E0233EC"/>
    <w:rsid w:val="7E132BFC"/>
    <w:rsid w:val="7E155532"/>
    <w:rsid w:val="7E3276DE"/>
    <w:rsid w:val="7E3A63DB"/>
    <w:rsid w:val="7E500030"/>
    <w:rsid w:val="7E511DD8"/>
    <w:rsid w:val="7E5C27F5"/>
    <w:rsid w:val="7E6D055E"/>
    <w:rsid w:val="7E7A0ECD"/>
    <w:rsid w:val="7E8B30DA"/>
    <w:rsid w:val="7E8C6270"/>
    <w:rsid w:val="7EA72AF1"/>
    <w:rsid w:val="7EE51AA3"/>
    <w:rsid w:val="7F01339C"/>
    <w:rsid w:val="7F1B26B0"/>
    <w:rsid w:val="7F3D14FF"/>
    <w:rsid w:val="7F705A6B"/>
    <w:rsid w:val="7F840255"/>
    <w:rsid w:val="7FAA31CE"/>
    <w:rsid w:val="7FCA06B1"/>
    <w:rsid w:val="7FCC39AA"/>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qFormat="1" w:uiPriority="99"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宋体" w:cs="Times New Roman"/>
      <w:kern w:val="2"/>
      <w:sz w:val="21"/>
      <w:szCs w:val="24"/>
      <w:lang w:val="en-US" w:eastAsia="zh-CN" w:bidi="ar-SA"/>
    </w:rPr>
  </w:style>
  <w:style w:type="paragraph" w:styleId="18">
    <w:name w:val="heading 5"/>
    <w:basedOn w:val="1"/>
    <w:next w:val="1"/>
    <w:qFormat/>
    <w:uiPriority w:val="0"/>
    <w:pPr>
      <w:keepNext/>
      <w:keepLines/>
      <w:numPr>
        <w:ilvl w:val="0"/>
        <w:numId w:val="1"/>
      </w:numPr>
      <w:jc w:val="center"/>
      <w:outlineLvl w:val="4"/>
    </w:pPr>
    <w:rPr>
      <w:b/>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both"/>
    </w:pPr>
    <w:rPr>
      <w:rFonts w:ascii="Times New Roman" w:hAnsi="Times New Roman"/>
      <w:b w:val="0"/>
      <w:color w:val="000000"/>
      <w:sz w:val="21"/>
    </w:rPr>
  </w:style>
  <w:style w:type="paragraph" w:customStyle="1" w:styleId="3">
    <w:name w:val="纯文本1"/>
    <w:basedOn w:val="1"/>
    <w:qFormat/>
    <w:uiPriority w:val="0"/>
    <w:rPr>
      <w:rFonts w:ascii="宋体" w:hAnsi="Courier New" w:cs="宋体"/>
      <w:b/>
      <w:sz w:val="24"/>
    </w:rPr>
  </w:style>
  <w:style w:type="paragraph" w:customStyle="1" w:styleId="4">
    <w:name w:val="样式35"/>
    <w:basedOn w:val="5"/>
    <w:next w:val="6"/>
    <w:unhideWhenUsed/>
    <w:qFormat/>
    <w:uiPriority w:val="0"/>
    <w:pPr>
      <w:tabs>
        <w:tab w:val="left" w:pos="0"/>
        <w:tab w:val="left" w:pos="360"/>
        <w:tab w:val="left" w:pos="540"/>
        <w:tab w:val="left" w:pos="567"/>
      </w:tabs>
      <w:spacing w:line="312" w:lineRule="auto"/>
      <w:ind w:firstLine="567"/>
      <w:jc w:val="both"/>
    </w:pPr>
  </w:style>
  <w:style w:type="paragraph" w:customStyle="1" w:styleId="5">
    <w:name w:val="表 内容"/>
    <w:basedOn w:val="1"/>
    <w:unhideWhenUsed/>
    <w:qFormat/>
    <w:uiPriority w:val="0"/>
    <w:pPr>
      <w:spacing w:line="276" w:lineRule="auto"/>
      <w:jc w:val="center"/>
    </w:pPr>
    <w:rPr>
      <w:rFonts w:hint="eastAsia" w:ascii="仿宋" w:hAnsi="仿宋" w:eastAsia="仿宋"/>
      <w:sz w:val="24"/>
    </w:rPr>
  </w:style>
  <w:style w:type="paragraph" w:customStyle="1" w:styleId="6">
    <w:name w:val="font6"/>
    <w:basedOn w:val="1"/>
    <w:next w:val="7"/>
    <w:unhideWhenUsed/>
    <w:qFormat/>
    <w:uiPriority w:val="0"/>
    <w:pPr>
      <w:spacing w:before="100" w:beforeAutospacing="1" w:after="100" w:afterAutospacing="1"/>
    </w:pPr>
    <w:rPr>
      <w:rFonts w:hint="eastAsia" w:ascii="宋体" w:hAnsi="宋体"/>
      <w:color w:val="000000"/>
      <w:kern w:val="0"/>
    </w:rPr>
  </w:style>
  <w:style w:type="paragraph" w:styleId="7">
    <w:name w:val="toc 2"/>
    <w:basedOn w:val="1"/>
    <w:next w:val="8"/>
    <w:unhideWhenUsed/>
    <w:qFormat/>
    <w:uiPriority w:val="0"/>
    <w:pPr>
      <w:tabs>
        <w:tab w:val="right" w:leader="dot" w:pos="9060"/>
      </w:tabs>
      <w:ind w:left="420" w:leftChars="200"/>
    </w:pPr>
  </w:style>
  <w:style w:type="paragraph" w:styleId="8">
    <w:name w:val="E-mail Signature"/>
    <w:basedOn w:val="1"/>
    <w:next w:val="9"/>
    <w:unhideWhenUsed/>
    <w:qFormat/>
    <w:uiPriority w:val="99"/>
    <w:pPr>
      <w:spacing w:line="460" w:lineRule="exact"/>
      <w:ind w:firstLine="200"/>
    </w:pPr>
    <w:rPr>
      <w:rFonts w:hint="eastAsia" w:eastAsia="Times New Roman"/>
    </w:rPr>
  </w:style>
  <w:style w:type="paragraph" w:customStyle="1" w:styleId="9">
    <w:name w:val="文章"/>
    <w:basedOn w:val="10"/>
    <w:next w:val="13"/>
    <w:unhideWhenUsed/>
    <w:qFormat/>
    <w:uiPriority w:val="0"/>
    <w:pPr>
      <w:ind w:firstLine="480"/>
      <w:jc w:val="center"/>
    </w:pPr>
    <w:rPr>
      <w:kern w:val="2"/>
      <w:sz w:val="26"/>
    </w:rPr>
  </w:style>
  <w:style w:type="paragraph" w:styleId="10">
    <w:name w:val="Body Text Indent"/>
    <w:basedOn w:val="1"/>
    <w:next w:val="11"/>
    <w:qFormat/>
    <w:uiPriority w:val="0"/>
    <w:pPr>
      <w:spacing w:after="120"/>
      <w:ind w:left="420" w:leftChars="200"/>
    </w:pPr>
    <w:rPr>
      <w:kern w:val="0"/>
      <w:sz w:val="24"/>
      <w:szCs w:val="20"/>
    </w:rPr>
  </w:style>
  <w:style w:type="paragraph" w:styleId="11">
    <w:name w:val="Body Text"/>
    <w:basedOn w:val="1"/>
    <w:next w:val="12"/>
    <w:link w:val="40"/>
    <w:unhideWhenUsed/>
    <w:qFormat/>
    <w:uiPriority w:val="99"/>
    <w:pPr>
      <w:snapToGrid w:val="0"/>
      <w:spacing w:before="60" w:after="160" w:line="256" w:lineRule="auto"/>
      <w:ind w:right="113"/>
    </w:pPr>
    <w:rPr>
      <w:kern w:val="0"/>
      <w:sz w:val="18"/>
      <w:szCs w:val="18"/>
    </w:rPr>
  </w:style>
  <w:style w:type="paragraph" w:styleId="12">
    <w:name w:val="Normal Indent"/>
    <w:basedOn w:val="1"/>
    <w:next w:val="1"/>
    <w:unhideWhenUsed/>
    <w:qFormat/>
    <w:uiPriority w:val="99"/>
    <w:pPr>
      <w:ind w:firstLine="420"/>
    </w:pPr>
    <w:rPr>
      <w:sz w:val="28"/>
      <w:szCs w:val="28"/>
    </w:rPr>
  </w:style>
  <w:style w:type="paragraph" w:styleId="13">
    <w:name w:val="List"/>
    <w:basedOn w:val="1"/>
    <w:next w:val="14"/>
    <w:qFormat/>
    <w:uiPriority w:val="99"/>
    <w:pPr>
      <w:ind w:left="200" w:hanging="200" w:hangingChars="200"/>
    </w:pPr>
  </w:style>
  <w:style w:type="paragraph" w:styleId="14">
    <w:name w:val="List Bullet 2"/>
    <w:basedOn w:val="1"/>
    <w:next w:val="15"/>
    <w:unhideWhenUsed/>
    <w:qFormat/>
    <w:uiPriority w:val="99"/>
    <w:pPr>
      <w:numPr>
        <w:ilvl w:val="0"/>
        <w:numId w:val="2"/>
      </w:numPr>
      <w:tabs>
        <w:tab w:val="clear" w:pos="780"/>
      </w:tabs>
      <w:spacing w:before="100" w:beforeAutospacing="1" w:after="100" w:afterAutospacing="1"/>
      <w:ind w:left="0" w:leftChars="0" w:firstLine="0" w:firstLineChars="0"/>
    </w:pPr>
    <w:rPr>
      <w:szCs w:val="21"/>
    </w:rPr>
  </w:style>
  <w:style w:type="paragraph" w:customStyle="1" w:styleId="15">
    <w:name w:val="xl70"/>
    <w:basedOn w:val="1"/>
    <w:next w:val="16"/>
    <w:qFormat/>
    <w:uiPriority w:val="0"/>
    <w:pPr>
      <w:spacing w:before="280" w:after="280"/>
    </w:pPr>
    <w:rPr>
      <w:rFonts w:ascii="宋体" w:hAnsi="宋体" w:cs="宋体"/>
      <w:szCs w:val="21"/>
    </w:rPr>
  </w:style>
  <w:style w:type="paragraph" w:customStyle="1" w:styleId="16">
    <w:name w:val="正文缩进1"/>
    <w:basedOn w:val="1"/>
    <w:next w:val="17"/>
    <w:qFormat/>
    <w:uiPriority w:val="0"/>
    <w:pPr>
      <w:ind w:firstLine="420"/>
    </w:pPr>
    <w:rPr>
      <w:szCs w:val="21"/>
    </w:rPr>
  </w:style>
  <w:style w:type="paragraph" w:customStyle="1" w:styleId="17">
    <w:name w:val="td1"/>
    <w:basedOn w:val="1"/>
    <w:next w:val="1"/>
    <w:qFormat/>
    <w:uiPriority w:val="0"/>
    <w:pPr>
      <w:spacing w:before="280" w:after="280" w:line="300" w:lineRule="atLeast"/>
      <w:ind w:firstLine="200"/>
    </w:pPr>
    <w:rPr>
      <w:color w:val="000000"/>
      <w:sz w:val="18"/>
      <w:szCs w:val="18"/>
    </w:rPr>
  </w:style>
  <w:style w:type="paragraph" w:styleId="19">
    <w:name w:val="caption"/>
    <w:basedOn w:val="1"/>
    <w:next w:val="1"/>
    <w:unhideWhenUsed/>
    <w:qFormat/>
    <w:uiPriority w:val="0"/>
    <w:pPr>
      <w:jc w:val="center"/>
    </w:pPr>
    <w:rPr>
      <w:b/>
    </w:rPr>
  </w:style>
  <w:style w:type="paragraph" w:styleId="20">
    <w:name w:val="annotation text"/>
    <w:basedOn w:val="1"/>
    <w:link w:val="39"/>
    <w:unhideWhenUsed/>
    <w:qFormat/>
    <w:uiPriority w:val="99"/>
  </w:style>
  <w:style w:type="paragraph" w:styleId="21">
    <w:name w:val="Body Text Indent 2"/>
    <w:basedOn w:val="1"/>
    <w:link w:val="41"/>
    <w:qFormat/>
    <w:uiPriority w:val="0"/>
    <w:pPr>
      <w:ind w:firstLine="480"/>
    </w:pPr>
    <w:rPr>
      <w:sz w:val="24"/>
    </w:rPr>
  </w:style>
  <w:style w:type="paragraph" w:styleId="22">
    <w:name w:val="Balloon Text"/>
    <w:basedOn w:val="1"/>
    <w:link w:val="42"/>
    <w:semiHidden/>
    <w:unhideWhenUsed/>
    <w:qFormat/>
    <w:uiPriority w:val="99"/>
    <w:rPr>
      <w:sz w:val="18"/>
      <w:szCs w:val="18"/>
    </w:rPr>
  </w:style>
  <w:style w:type="paragraph" w:styleId="23">
    <w:name w:val="footer"/>
    <w:basedOn w:val="1"/>
    <w:link w:val="38"/>
    <w:unhideWhenUsed/>
    <w:qFormat/>
    <w:uiPriority w:val="99"/>
    <w:pPr>
      <w:tabs>
        <w:tab w:val="center" w:pos="4153"/>
        <w:tab w:val="right" w:pos="8306"/>
      </w:tabs>
      <w:snapToGrid w:val="0"/>
    </w:pPr>
    <w:rPr>
      <w:sz w:val="18"/>
      <w:szCs w:val="18"/>
    </w:rPr>
  </w:style>
  <w:style w:type="paragraph" w:styleId="2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Normal (Web)"/>
    <w:basedOn w:val="1"/>
    <w:link w:val="43"/>
    <w:qFormat/>
    <w:uiPriority w:val="0"/>
    <w:pPr>
      <w:spacing w:before="100" w:beforeAutospacing="1" w:after="100" w:afterAutospacing="1"/>
    </w:pPr>
    <w:rPr>
      <w:rFonts w:ascii="宋体" w:hAnsi="宋体"/>
      <w:kern w:val="0"/>
      <w:sz w:val="24"/>
      <w:szCs w:val="20"/>
    </w:rPr>
  </w:style>
  <w:style w:type="paragraph" w:styleId="26">
    <w:name w:val="Title"/>
    <w:basedOn w:val="1"/>
    <w:next w:val="1"/>
    <w:link w:val="44"/>
    <w:qFormat/>
    <w:uiPriority w:val="1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20"/>
    <w:next w:val="20"/>
    <w:link w:val="45"/>
    <w:semiHidden/>
    <w:unhideWhenUsed/>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FollowedHyperlink"/>
    <w:basedOn w:val="30"/>
    <w:unhideWhenUsed/>
    <w:qFormat/>
    <w:uiPriority w:val="99"/>
    <w:rPr>
      <w:color w:val="800080"/>
      <w:u w:val="single"/>
    </w:rPr>
  </w:style>
  <w:style w:type="character" w:styleId="33">
    <w:name w:val="Hyperlink"/>
    <w:basedOn w:val="30"/>
    <w:unhideWhenUsed/>
    <w:qFormat/>
    <w:uiPriority w:val="99"/>
    <w:rPr>
      <w:color w:val="0563C1" w:themeColor="hyperlink"/>
      <w:u w:val="single"/>
      <w14:textFill>
        <w14:solidFill>
          <w14:schemeClr w14:val="hlink"/>
        </w14:solidFill>
      </w14:textFill>
    </w:rPr>
  </w:style>
  <w:style w:type="character" w:styleId="34">
    <w:name w:val="annotation reference"/>
    <w:basedOn w:val="30"/>
    <w:semiHidden/>
    <w:unhideWhenUsed/>
    <w:qFormat/>
    <w:uiPriority w:val="99"/>
    <w:rPr>
      <w:sz w:val="21"/>
      <w:szCs w:val="21"/>
    </w:rPr>
  </w:style>
  <w:style w:type="paragraph" w:customStyle="1" w:styleId="35">
    <w:name w:val="样式26"/>
    <w:basedOn w:val="36"/>
    <w:unhideWhenUsed/>
    <w:qFormat/>
    <w:uiPriority w:val="0"/>
    <w:pPr>
      <w:tabs>
        <w:tab w:val="left" w:pos="0"/>
        <w:tab w:val="left" w:pos="360"/>
        <w:tab w:val="left" w:pos="540"/>
        <w:tab w:val="left" w:pos="567"/>
      </w:tabs>
    </w:pPr>
  </w:style>
  <w:style w:type="paragraph" w:customStyle="1" w:styleId="36">
    <w:name w:val="样式21"/>
    <w:basedOn w:val="1"/>
    <w:unhideWhenUsed/>
    <w:qFormat/>
    <w:uiPriority w:val="0"/>
    <w:pPr>
      <w:tabs>
        <w:tab w:val="left" w:pos="360"/>
        <w:tab w:val="left" w:pos="567"/>
      </w:tabs>
      <w:ind w:hanging="992"/>
    </w:pPr>
  </w:style>
  <w:style w:type="character" w:customStyle="1" w:styleId="37">
    <w:name w:val="页眉 Char"/>
    <w:basedOn w:val="30"/>
    <w:link w:val="24"/>
    <w:qFormat/>
    <w:uiPriority w:val="99"/>
    <w:rPr>
      <w:sz w:val="18"/>
      <w:szCs w:val="18"/>
    </w:rPr>
  </w:style>
  <w:style w:type="character" w:customStyle="1" w:styleId="38">
    <w:name w:val="页脚 Char"/>
    <w:basedOn w:val="30"/>
    <w:link w:val="23"/>
    <w:qFormat/>
    <w:uiPriority w:val="99"/>
    <w:rPr>
      <w:sz w:val="18"/>
      <w:szCs w:val="18"/>
    </w:rPr>
  </w:style>
  <w:style w:type="character" w:customStyle="1" w:styleId="39">
    <w:name w:val="批注文字 Char"/>
    <w:basedOn w:val="30"/>
    <w:link w:val="20"/>
    <w:qFormat/>
    <w:uiPriority w:val="99"/>
    <w:rPr>
      <w:rFonts w:ascii="Times New Roman" w:hAnsi="Times New Roman" w:eastAsia="宋体" w:cs="Times New Roman"/>
      <w:szCs w:val="24"/>
    </w:rPr>
  </w:style>
  <w:style w:type="character" w:customStyle="1" w:styleId="40">
    <w:name w:val="正文文本 Char"/>
    <w:basedOn w:val="30"/>
    <w:link w:val="11"/>
    <w:qFormat/>
    <w:uiPriority w:val="99"/>
    <w:rPr>
      <w:rFonts w:ascii="Times New Roman" w:hAnsi="Times New Roman" w:eastAsia="宋体" w:cs="Times New Roman"/>
      <w:kern w:val="0"/>
      <w:sz w:val="18"/>
      <w:szCs w:val="18"/>
    </w:rPr>
  </w:style>
  <w:style w:type="character" w:customStyle="1" w:styleId="41">
    <w:name w:val="正文文本缩进 2 Char"/>
    <w:basedOn w:val="30"/>
    <w:link w:val="21"/>
    <w:qFormat/>
    <w:uiPriority w:val="0"/>
    <w:rPr>
      <w:rFonts w:ascii="Times New Roman" w:hAnsi="Times New Roman" w:eastAsia="宋体" w:cs="Times New Roman"/>
      <w:sz w:val="24"/>
      <w:szCs w:val="24"/>
    </w:rPr>
  </w:style>
  <w:style w:type="character" w:customStyle="1" w:styleId="42">
    <w:name w:val="批注框文本 Char"/>
    <w:basedOn w:val="30"/>
    <w:link w:val="22"/>
    <w:semiHidden/>
    <w:qFormat/>
    <w:uiPriority w:val="99"/>
    <w:rPr>
      <w:rFonts w:ascii="Times New Roman" w:hAnsi="Times New Roman" w:eastAsia="宋体" w:cs="Times New Roman"/>
      <w:sz w:val="18"/>
      <w:szCs w:val="18"/>
    </w:rPr>
  </w:style>
  <w:style w:type="character" w:customStyle="1" w:styleId="43">
    <w:name w:val="普通(网站) Char1"/>
    <w:link w:val="25"/>
    <w:qFormat/>
    <w:locked/>
    <w:uiPriority w:val="0"/>
    <w:rPr>
      <w:rFonts w:ascii="宋体" w:hAnsi="宋体" w:eastAsia="宋体" w:cs="Times New Roman"/>
      <w:kern w:val="0"/>
      <w:sz w:val="24"/>
      <w:szCs w:val="20"/>
    </w:rPr>
  </w:style>
  <w:style w:type="character" w:customStyle="1" w:styleId="44">
    <w:name w:val="标题 Char"/>
    <w:basedOn w:val="30"/>
    <w:link w:val="26"/>
    <w:qFormat/>
    <w:uiPriority w:val="10"/>
    <w:rPr>
      <w:rFonts w:asciiTheme="majorHAnsi" w:hAnsiTheme="majorHAnsi" w:eastAsiaTheme="majorEastAsia" w:cstheme="majorBidi"/>
      <w:b/>
      <w:bCs/>
      <w:sz w:val="32"/>
      <w:szCs w:val="32"/>
    </w:rPr>
  </w:style>
  <w:style w:type="character" w:customStyle="1" w:styleId="45">
    <w:name w:val="批注主题 Char"/>
    <w:basedOn w:val="39"/>
    <w:link w:val="27"/>
    <w:semiHidden/>
    <w:qFormat/>
    <w:uiPriority w:val="99"/>
    <w:rPr>
      <w:rFonts w:ascii="Times New Roman" w:hAnsi="Times New Roman" w:eastAsia="宋体" w:cs="Times New Roman"/>
      <w:b/>
      <w:bCs/>
      <w:szCs w:val="24"/>
    </w:rPr>
  </w:style>
  <w:style w:type="paragraph" w:styleId="46">
    <w:name w:val="List Paragraph"/>
    <w:basedOn w:val="1"/>
    <w:qFormat/>
    <w:uiPriority w:val="99"/>
    <w:pPr>
      <w:ind w:firstLine="420" w:firstLineChars="200"/>
    </w:pPr>
  </w:style>
  <w:style w:type="paragraph" w:customStyle="1" w:styleId="47">
    <w:name w:val="_Style 3"/>
    <w:basedOn w:val="1"/>
    <w:qFormat/>
    <w:uiPriority w:val="0"/>
    <w:pPr>
      <w:spacing w:after="160" w:line="240" w:lineRule="exact"/>
    </w:pPr>
    <w:rPr>
      <w:szCs w:val="20"/>
    </w:rPr>
  </w:style>
  <w:style w:type="paragraph" w:customStyle="1" w:styleId="48">
    <w:name w:val="1 Char Char Char Char Char Char Char Char Char Char"/>
    <w:basedOn w:val="1"/>
    <w:qFormat/>
    <w:uiPriority w:val="0"/>
    <w:rPr>
      <w:rFonts w:ascii="Courier New" w:hAnsi="Courier New" w:eastAsia="仿宋_GB2312" w:cs="Courier New"/>
      <w:kern w:val="0"/>
      <w:sz w:val="24"/>
      <w:szCs w:val="20"/>
    </w:rPr>
  </w:style>
  <w:style w:type="paragraph" w:customStyle="1" w:styleId="49">
    <w:name w:val="正文 New"/>
    <w:basedOn w:val="1"/>
    <w:qFormat/>
    <w:uiPriority w:val="0"/>
    <w:rPr>
      <w:szCs w:val="21"/>
    </w:rPr>
  </w:style>
  <w:style w:type="paragraph" w:customStyle="1" w:styleId="50">
    <w:name w:val="表格"/>
    <w:basedOn w:val="1"/>
    <w:next w:val="1"/>
    <w:qFormat/>
    <w:uiPriority w:val="0"/>
    <w:pPr>
      <w:adjustRightInd w:val="0"/>
      <w:snapToGrid w:val="0"/>
      <w:spacing w:beforeLines="10" w:afterLines="10" w:line="256" w:lineRule="auto"/>
      <w:jc w:val="center"/>
    </w:pPr>
    <w:rPr>
      <w:rFonts w:ascii="宋体" w:hAnsi="宋体" w:cs="宋体"/>
      <w:kern w:val="0"/>
      <w:szCs w:val="21"/>
    </w:rPr>
  </w:style>
  <w:style w:type="paragraph" w:customStyle="1" w:styleId="51">
    <w:name w:val="BodyText1I2"/>
    <w:basedOn w:val="1"/>
    <w:qFormat/>
    <w:uiPriority w:val="0"/>
    <w:pPr>
      <w:spacing w:after="120" w:line="240" w:lineRule="auto"/>
      <w:ind w:left="420" w:leftChars="200" w:firstLine="420" w:firstLineChars="200"/>
      <w:jc w:val="both"/>
    </w:pPr>
    <w:rPr>
      <w:szCs w:val="22"/>
    </w:rPr>
  </w:style>
  <w:style w:type="character" w:customStyle="1" w:styleId="52">
    <w:name w:val="普通(网站) Char"/>
    <w:qFormat/>
    <w:locked/>
    <w:uiPriority w:val="0"/>
    <w:rPr>
      <w:rFonts w:ascii="宋体" w:hAnsi="宋体" w:eastAsia="宋体"/>
      <w:sz w:val="24"/>
    </w:rPr>
  </w:style>
  <w:style w:type="paragraph" w:customStyle="1" w:styleId="53">
    <w:name w:val="正文加粗"/>
    <w:basedOn w:val="1"/>
    <w:qFormat/>
    <w:uiPriority w:val="0"/>
    <w:pPr>
      <w:jc w:val="both"/>
    </w:pPr>
    <w:rPr>
      <w:b/>
    </w:rPr>
  </w:style>
  <w:style w:type="paragraph" w:customStyle="1" w:styleId="54">
    <w:name w:val="表内加粗"/>
    <w:basedOn w:val="1"/>
    <w:qFormat/>
    <w:uiPriority w:val="0"/>
    <w:pPr>
      <w:spacing w:line="240" w:lineRule="auto"/>
      <w:jc w:val="center"/>
    </w:pPr>
    <w:rPr>
      <w:b/>
      <w:bCs/>
    </w:rPr>
  </w:style>
  <w:style w:type="paragraph" w:customStyle="1" w:styleId="55">
    <w:name w:val="表内文字"/>
    <w:basedOn w:val="1"/>
    <w:qFormat/>
    <w:uiPriority w:val="0"/>
    <w:pPr>
      <w:spacing w:line="240" w:lineRule="auto"/>
      <w:ind w:left="-96" w:leftChars="-40" w:right="-96" w:rightChars="-40"/>
      <w:jc w:val="center"/>
    </w:pPr>
    <w:rPr>
      <w:szCs w:val="21"/>
    </w:rPr>
  </w:style>
  <w:style w:type="paragraph" w:customStyle="1" w:styleId="56">
    <w:name w:val="备注"/>
    <w:basedOn w:val="55"/>
    <w:qFormat/>
    <w:uiPriority w:val="0"/>
    <w:pPr>
      <w:ind w:firstLine="1440" w:firstLineChars="200"/>
      <w:jc w:val="left"/>
    </w:pPr>
  </w:style>
  <w:style w:type="paragraph" w:customStyle="1" w:styleId="57">
    <w:name w:val="表头"/>
    <w:basedOn w:val="1"/>
    <w:qFormat/>
    <w:uiPriority w:val="0"/>
    <w:pPr>
      <w:tabs>
        <w:tab w:val="left" w:pos="0"/>
        <w:tab w:val="left" w:pos="1200"/>
        <w:tab w:val="left" w:pos="1620"/>
      </w:tabs>
      <w:jc w:val="center"/>
    </w:pPr>
    <w:rPr>
      <w:b/>
      <w:bCs/>
    </w:rPr>
  </w:style>
  <w:style w:type="paragraph" w:customStyle="1" w:styleId="58">
    <w:name w:val="表格文字"/>
    <w:basedOn w:val="59"/>
    <w:next w:val="1"/>
    <w:qFormat/>
    <w:uiPriority w:val="0"/>
    <w:pPr>
      <w:adjustRightInd w:val="0"/>
      <w:snapToGrid w:val="0"/>
      <w:spacing w:line="240" w:lineRule="auto"/>
    </w:pPr>
    <w:rPr>
      <w:rFonts w:ascii="Times New Roman" w:hAnsi="Times New Roman"/>
      <w:kern w:val="44"/>
      <w:szCs w:val="20"/>
    </w:rPr>
  </w:style>
  <w:style w:type="paragraph" w:styleId="59">
    <w:name w:val="No Spacing"/>
    <w:basedOn w:val="1"/>
    <w:next w:val="1"/>
    <w:qFormat/>
    <w:uiPriority w:val="1"/>
    <w:pPr>
      <w:widowControl w:val="0"/>
      <w:jc w:val="center"/>
    </w:pPr>
    <w:rPr>
      <w:rFonts w:ascii="Calibri" w:hAnsi="Calibri"/>
      <w:szCs w:val="22"/>
    </w:rPr>
  </w:style>
  <w:style w:type="paragraph" w:customStyle="1" w:styleId="60">
    <w:name w:val="表1表2"/>
    <w:basedOn w:val="1"/>
    <w:qFormat/>
    <w:uiPriority w:val="0"/>
    <w:pPr>
      <w:autoSpaceDE w:val="0"/>
      <w:autoSpaceDN w:val="0"/>
      <w:adjustRightInd w:val="0"/>
      <w:jc w:val="center"/>
      <w:textAlignment w:val="center"/>
    </w:pPr>
    <w:rPr>
      <w:rFonts w:eastAsia="仿宋体"/>
      <w:kern w:val="0"/>
      <w:sz w:val="24"/>
      <w:szCs w:val="20"/>
    </w:rPr>
  </w:style>
  <w:style w:type="paragraph" w:customStyle="1" w:styleId="61">
    <w:name w:val="正文111"/>
    <w:basedOn w:val="1"/>
    <w:qFormat/>
    <w:uiPriority w:val="0"/>
    <w:pPr>
      <w:ind w:firstLine="420" w:firstLineChars="200"/>
    </w:pPr>
  </w:style>
  <w:style w:type="paragraph" w:customStyle="1" w:styleId="62">
    <w:name w:val="p0"/>
    <w:basedOn w:val="1"/>
    <w:qFormat/>
    <w:uiPriority w:val="0"/>
    <w:rPr>
      <w:rFonts w:ascii="Calibri" w:hAnsi="Calibri"/>
      <w:kern w:val="0"/>
      <w:szCs w:val="21"/>
    </w:rPr>
  </w:style>
  <w:style w:type="paragraph" w:customStyle="1" w:styleId="63">
    <w:name w:val="C正文"/>
    <w:basedOn w:val="1"/>
    <w:qFormat/>
    <w:uiPriority w:val="0"/>
    <w:pPr>
      <w:spacing w:line="520" w:lineRule="exact"/>
      <w:ind w:firstLine="480" w:firstLineChars="200"/>
    </w:pPr>
    <w:rPr>
      <w:sz w:val="24"/>
    </w:rPr>
  </w:style>
  <w:style w:type="paragraph" w:customStyle="1" w:styleId="64">
    <w:name w:val="正文_2"/>
    <w:qFormat/>
    <w:uiPriority w:val="99"/>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C74CE-F0E2-4467-9E77-1A5D90812689}">
  <ds:schemaRefs/>
</ds:datastoreItem>
</file>

<file path=docProps/app.xml><?xml version="1.0" encoding="utf-8"?>
<Properties xmlns="http://schemas.openxmlformats.org/officeDocument/2006/extended-properties" xmlns:vt="http://schemas.openxmlformats.org/officeDocument/2006/docPropsVTypes">
  <Template>Normal</Template>
  <Pages>34</Pages>
  <Words>3373</Words>
  <Characters>19231</Characters>
  <Lines>160</Lines>
  <Paragraphs>45</Paragraphs>
  <TotalTime>0</TotalTime>
  <ScaleCrop>false</ScaleCrop>
  <LinksUpToDate>false</LinksUpToDate>
  <CharactersWithSpaces>22559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2021-09-23T07:56:00Z</dcterms:created>
  <dc:creator>Administrator</dc:creator>
  <cp:lastModifiedBy>簌簌比</cp:lastModifiedBy>
  <cp:lastPrinted>2021-09-28T02:48:00Z</cp:lastPrinted>
  <dcterms:modified xsi:type="dcterms:W3CDTF">2022-01-13T00:31:31Z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BBB333F523A64CC5BEC562B107BFDDB1</vt:lpwstr>
  </property>
</Properties>
</file>