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关于《国电电力清新七星岗风电场工程建设项目</w:t>
      </w:r>
    </w:p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环境影响报告表》的批复</w:t>
      </w: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国电电力广东新能源开发有限公司清新分公司：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你公司报批的《国电电力清新七星岗风电场工程建设项目环境影响报告表》（以下简称“报告表”）等材料收悉。根据《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中华人民共和国环境影响评价法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《建设项目环境保护管理条例》及有关法律、法规规定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一、国电电力清新七星岗风电场工程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选址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位于清远市清新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禾云镇、龙颈镇、浸潭镇的佛市村、桂湖村、五马村交界山脊上（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º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'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22.95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º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'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16.510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）。项目总占地面积12252.65m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vertAlign w:val="super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，总投资38420万元，其中环保投资209.1万元。项目调整后，主要工程建设内容为：风力发电机组及变压系统、集电线路、风电场道路、110KV 升压站等，装机容量为45MW，安装5台单机容量为4MW和5台单机容量为5MW 的风力发电机组，预计年上网电量为12639万kW•h；新建升压站1座，升压变电站主要布置有生产综合楼、附属楼、35kv预制仓、二次预制仓、SVG预制仓、SVG降压变、出线构架、主变和事故油池等。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根据报告表的评价结论，在全面落实报告表提出的各项污染防治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和环境风险防范措施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确保各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污染物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稳定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达标排放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且符合总量控制要求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的前提下，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项目按照报告表中所列性质、规模、地点、采用的生产工艺和防治污染、防止生态破坏的措施进行建设，从生态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环境保护角度可行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项目应按报告表内容组织实施，建设和运营中还应重点做好以下工作：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严格落实水污染防治措施。施工期间，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合理规划施工进度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施工现场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采取措施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减少水土流失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施工废水经过收集处理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回用；施工人员的生活污水依托化粪池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一体化处理设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备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处理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后回用于厂区内绿化，不外排。运营期间，加强对道路、边坡和导流设施的维护，避免水土流失造成下游水体污染。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落实大气污染防治措施。施工现场应设置符合要求的围档，并采取封闭、喷淋及表面覆盖等防尘措施，严格管理运输车辆驶出作业场所前必须完成除泥和冲洗作业，同时加强对运输车辆和施工机械的定期维护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严格落实噪声污染防治措施。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施工期间应采取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有效措施减少噪声对周边环境和群众的不良影响，施工厂界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执行《建筑施工场界环境噪声排放标准》（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GB12523-2011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）的要求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，营运期间升压站场界执行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《工业企业厂界环境噪声排放标准》（GB12348-2008）1类标准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）固体废弃物要分类并及时规范处理，执行《一般工业固废贮存和填埋污染控制标准》(GB18599-2020)、《危险废物贮存污染控制标准》（GB18597-2001）及2013年修改单要求。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）对产生工频电磁辐射主要来源的变压器、断路器、电流电压护感器等电器设备须进行适当屏蔽，电磁辐射执行《电磁环境控制限值》（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GB8702-2014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）中频率为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0.05k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Hz的公众暴露控制限值要求，即电场强度4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V/m、磁感应强度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μT。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经批准后，建设项目的性质、规模、地点、采用的生产工艺或者防治污染、防止生态破坏的措施发生重大变动的，建设单位应当重新报批建设项目的环境影响评价文件。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、项目建设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严格执行配套建设的环境保护设施与主体工程同时设计、同时施工、同时投产使用的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环境保护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三同时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制度。项目竣工后，建设单位必须按照规定程序办理环境保护竣工验收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验收合格后，项目方可正式投入生产。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该项目建设和运行过程中如涉及规划、土地利用、建设、水务、消防、安全等问题，应遵照相关法律法规要求到相应的行政主管部门办理有关手续。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、以后国家或地方颁布新标准、行业新规定时，按新标准、新规定执行。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/>
        <w:jc w:val="righ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清远市生态环境局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/>
        <w:jc w:val="righ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2022年3月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80F39"/>
    <w:rsid w:val="00040FC6"/>
    <w:rsid w:val="00047AF6"/>
    <w:rsid w:val="00190066"/>
    <w:rsid w:val="002144EA"/>
    <w:rsid w:val="00227939"/>
    <w:rsid w:val="00452748"/>
    <w:rsid w:val="00461E3F"/>
    <w:rsid w:val="00584FD1"/>
    <w:rsid w:val="0063419F"/>
    <w:rsid w:val="00A5507E"/>
    <w:rsid w:val="00BF1146"/>
    <w:rsid w:val="00D73B11"/>
    <w:rsid w:val="00FE2C36"/>
    <w:rsid w:val="01216C84"/>
    <w:rsid w:val="01980EED"/>
    <w:rsid w:val="01BC08FE"/>
    <w:rsid w:val="022B31FA"/>
    <w:rsid w:val="024833B1"/>
    <w:rsid w:val="03B1055A"/>
    <w:rsid w:val="04635465"/>
    <w:rsid w:val="047E0E97"/>
    <w:rsid w:val="04A50D75"/>
    <w:rsid w:val="04D774A8"/>
    <w:rsid w:val="055C6268"/>
    <w:rsid w:val="05EA6A22"/>
    <w:rsid w:val="062B20B3"/>
    <w:rsid w:val="06FF7C5E"/>
    <w:rsid w:val="08A56F27"/>
    <w:rsid w:val="09FA3311"/>
    <w:rsid w:val="0A1F0E3D"/>
    <w:rsid w:val="0DE327D3"/>
    <w:rsid w:val="0E982D96"/>
    <w:rsid w:val="0EC94362"/>
    <w:rsid w:val="10524C52"/>
    <w:rsid w:val="108D7E70"/>
    <w:rsid w:val="110F27D0"/>
    <w:rsid w:val="11A90203"/>
    <w:rsid w:val="11E555C4"/>
    <w:rsid w:val="125B16E7"/>
    <w:rsid w:val="12E910F0"/>
    <w:rsid w:val="138A6357"/>
    <w:rsid w:val="13DC7523"/>
    <w:rsid w:val="143D7D79"/>
    <w:rsid w:val="15E8642F"/>
    <w:rsid w:val="16145A49"/>
    <w:rsid w:val="165732A4"/>
    <w:rsid w:val="16F12A6A"/>
    <w:rsid w:val="18DC0501"/>
    <w:rsid w:val="19935284"/>
    <w:rsid w:val="19CA78A1"/>
    <w:rsid w:val="1AD96011"/>
    <w:rsid w:val="1FD81177"/>
    <w:rsid w:val="1FD945EA"/>
    <w:rsid w:val="22770814"/>
    <w:rsid w:val="229B1C8E"/>
    <w:rsid w:val="249B365A"/>
    <w:rsid w:val="249E00E0"/>
    <w:rsid w:val="261C1C23"/>
    <w:rsid w:val="267625C1"/>
    <w:rsid w:val="26AE716C"/>
    <w:rsid w:val="26B2493E"/>
    <w:rsid w:val="27642545"/>
    <w:rsid w:val="28D7522E"/>
    <w:rsid w:val="291D22B1"/>
    <w:rsid w:val="2954446C"/>
    <w:rsid w:val="2A4A4052"/>
    <w:rsid w:val="2B38229C"/>
    <w:rsid w:val="2B800985"/>
    <w:rsid w:val="2BCA6E69"/>
    <w:rsid w:val="2D5444F1"/>
    <w:rsid w:val="2E3454A3"/>
    <w:rsid w:val="2E852ACB"/>
    <w:rsid w:val="30267F56"/>
    <w:rsid w:val="31895B43"/>
    <w:rsid w:val="31990B83"/>
    <w:rsid w:val="31D44FFF"/>
    <w:rsid w:val="32785946"/>
    <w:rsid w:val="34252304"/>
    <w:rsid w:val="376F6F45"/>
    <w:rsid w:val="38405F4B"/>
    <w:rsid w:val="385E0AA8"/>
    <w:rsid w:val="3A216413"/>
    <w:rsid w:val="3AC23523"/>
    <w:rsid w:val="3B4E14F1"/>
    <w:rsid w:val="3BF12432"/>
    <w:rsid w:val="3D2964D9"/>
    <w:rsid w:val="3DE75766"/>
    <w:rsid w:val="3E11241C"/>
    <w:rsid w:val="3E59409B"/>
    <w:rsid w:val="3FF87354"/>
    <w:rsid w:val="406575C3"/>
    <w:rsid w:val="43A675AF"/>
    <w:rsid w:val="45332489"/>
    <w:rsid w:val="48CD305D"/>
    <w:rsid w:val="4D36393D"/>
    <w:rsid w:val="4E2F226A"/>
    <w:rsid w:val="4E9972F5"/>
    <w:rsid w:val="502943B6"/>
    <w:rsid w:val="50C0147B"/>
    <w:rsid w:val="534C3E4D"/>
    <w:rsid w:val="567F2386"/>
    <w:rsid w:val="56F22483"/>
    <w:rsid w:val="578A054B"/>
    <w:rsid w:val="58081CFB"/>
    <w:rsid w:val="581B149A"/>
    <w:rsid w:val="59BB5131"/>
    <w:rsid w:val="5AE64C80"/>
    <w:rsid w:val="5B5B0305"/>
    <w:rsid w:val="5BA74225"/>
    <w:rsid w:val="5BBB00E7"/>
    <w:rsid w:val="5C357C5F"/>
    <w:rsid w:val="5D091B59"/>
    <w:rsid w:val="5D1170B9"/>
    <w:rsid w:val="5D1668AE"/>
    <w:rsid w:val="610C29EC"/>
    <w:rsid w:val="62F23F5F"/>
    <w:rsid w:val="63746C40"/>
    <w:rsid w:val="64362B02"/>
    <w:rsid w:val="65DC05D9"/>
    <w:rsid w:val="65DC4E64"/>
    <w:rsid w:val="65E637B9"/>
    <w:rsid w:val="66717D3C"/>
    <w:rsid w:val="668350A5"/>
    <w:rsid w:val="66B2315D"/>
    <w:rsid w:val="66C96FBE"/>
    <w:rsid w:val="66FE6CC3"/>
    <w:rsid w:val="67315085"/>
    <w:rsid w:val="679F1661"/>
    <w:rsid w:val="68596275"/>
    <w:rsid w:val="69EF461D"/>
    <w:rsid w:val="6AC06552"/>
    <w:rsid w:val="6AEF3635"/>
    <w:rsid w:val="6B9F1464"/>
    <w:rsid w:val="6BA46DE6"/>
    <w:rsid w:val="6C5C40AA"/>
    <w:rsid w:val="6C8D5649"/>
    <w:rsid w:val="6CA80F39"/>
    <w:rsid w:val="6DFD36FA"/>
    <w:rsid w:val="6F054B09"/>
    <w:rsid w:val="70146855"/>
    <w:rsid w:val="7062595F"/>
    <w:rsid w:val="7182628F"/>
    <w:rsid w:val="725358B1"/>
    <w:rsid w:val="757F2223"/>
    <w:rsid w:val="759B4F81"/>
    <w:rsid w:val="765C1B07"/>
    <w:rsid w:val="77314B60"/>
    <w:rsid w:val="77756778"/>
    <w:rsid w:val="79082ED9"/>
    <w:rsid w:val="7C0D1681"/>
    <w:rsid w:val="7EB8118F"/>
    <w:rsid w:val="7ED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tabs>
        <w:tab w:val="left" w:pos="58"/>
      </w:tabs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</w:rPr>
  </w:style>
  <w:style w:type="paragraph" w:customStyle="1" w:styleId="3">
    <w:name w:val="纯文本1"/>
    <w:basedOn w:val="1"/>
    <w:qFormat/>
    <w:uiPriority w:val="0"/>
    <w:pPr>
      <w:tabs>
        <w:tab w:val="left" w:pos="58"/>
      </w:tabs>
      <w:adjustRightInd w:val="0"/>
      <w:textAlignment w:val="baseline"/>
    </w:pPr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1359</Words>
  <Characters>1503</Characters>
  <Lines>15</Lines>
  <Paragraphs>4</Paragraphs>
  <TotalTime>0</TotalTime>
  <ScaleCrop>false</ScaleCrop>
  <LinksUpToDate>false</LinksUpToDate>
  <CharactersWithSpaces>1564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2022-03-07T07:47:00Z</dcterms:created>
  <dc:creator>Administrator</dc:creator>
  <cp:lastModifiedBy>小喇叭</cp:lastModifiedBy>
  <cp:lastPrinted>2022-03-25T02:28:00Z</cp:lastPrinted>
  <dcterms:modified xsi:type="dcterms:W3CDTF">2022-03-31T03:34:31Z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FD8E69A6A19E477EA86C37AA7420B99E</vt:lpwstr>
  </property>
</Properties>
</file>