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关于《广东裕泰新材料有限公司塑料薄膜建设项目</w:t>
      </w:r>
    </w:p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环境影响报告表》的批复</w:t>
      </w:r>
    </w:p>
    <w:p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广东裕泰新材料有限公司：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的《广东裕泰新材料有限公司塑料薄膜建设项目环境影响报告表》（以下简称“报告表”）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等材料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收悉。根据《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中华人民共和国环境影响评价法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《建设项目环境保护管理条例》及有关法律、法规规定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经研究，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一、广东裕泰新材料有限公司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选址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位于清远市清新区禾云镇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广州花都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清新）产业转移工业园C-6-10号地块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，中心地理位置为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北纬23°53′59.601″，东经112°54′7.951″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，总占地面积66602.70m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，总投资25000万元，其中环保投资500万元。项目主要从事塑料薄膜生产及塑料薄膜印刷，年产PVC塑料薄膜10万吨（其中PVC印刷膜2万吨）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分三期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根据报告表的评价结论，在全面落实报告表提出的各项污染防治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和环境风险防范措施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确保各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稳定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达标排放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且符合总量控制要求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的前提下，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项目按照报告表中所列性质、规模、地点、采用的生产工艺和防治污染、防止生态破坏的措施进行建设，从生态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环境保护角度可行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项目应按报告表内容组织实施，建设和运营中还应重点做好以下工作：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严格落实水污染防治措施。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生活污水经三级化粪池处理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、食堂含油废水经隔油隔渣池处理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达到广东省地方标准《水污染物排放标准》（DB44/26-2001）第二时段三级标准和禾云污水处理厂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>设计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进水标准较严者的要求后，经管网排入禾云污水处理厂处理。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/>
          <w:color w:val="FF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严格落实大气污染防治措施。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压延、发泡、贴合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印刷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生产线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及油墨调配间均采取密闭措施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压延、发泡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贴合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工序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产生的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非甲烷总烃和颗粒物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执行广东省地方标准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《大气污染物排放限值》（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DB44/27-2001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）第二时段二级排放限值；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印刷生产线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油墨调配间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产生的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VOCs和甲苯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广东省地方标准《印刷行业挥发性有机化合物排放标准》（DB44 /815-2010）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凹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版印刷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第Ⅱ时段排放限值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燃气导热油炉燃烧废气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的颗粒物、二氧化硫等污染物排放浓度及烟气黑度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执行广东省地方标准《锅炉大气污染排放标准》（DB44/765-2019）中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表2新建锅炉大气污染物排放限值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的“燃气锅炉”相关要求，氮氧化物排放浓度控制在50mg/ m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以内；食堂油烟废气执行《饮食业油烟排放标准（试行）》（GB18483-2001）中型规模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限值要求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厂界无组织排放有机废气：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非甲烷总烃和颗粒物执行广东省地方标准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《大气污染物排放限值》（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DB44/27-2001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）第二时段无组织排放监控浓度限值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；VOCs和甲苯执行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广东省地方标准《印刷行业挥发性有机化合物排放标准》（DB44 /815-2010）无组织排放监控点浓度限值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臭气浓度执行《恶臭污染</w:t>
      </w:r>
      <w:r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物排放标准》（GB 14554-93）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厂界二级新扩改建标准限值要求。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厂区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无组织排放有机废气：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eastAsia="zh-CN"/>
        </w:rPr>
        <w:t>非甲烷总烃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《挥发性有机物无组织排放控制标准》(GB38722-2019)附录A表A.1 无组织特别排放限值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噪声污染防治措施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项目西侧厂界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《工业企业厂界环境噪声排放标准》(GB12348-2008)的4类标准，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厂界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GB12348-2008的3类标准。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固体废弃物要分类并及时规范处理，固体废物执行《一般工业固体废物贮存和填埋污染控制标准(GB18599-2020)》、《危险废物贮存污染控制标准》(GB18597-2001)及其2013年修改单的有关规定要求和《广东省固体废物污染环境防治条例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）项目总量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：VOCs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12.467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t/a（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一期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总量控制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4.986t/a，二期总量控制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4.986t/a，三期总量控制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2.495t/a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氮氧化物3.208t/a（一期总量控制指标1.211t/a，二期总量控制指标1.211t/a，三期总量控制指标0.606t/a）。项目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建设内容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待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广东清远经济开发区规划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环境影响报告书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取得广东省生态环境厅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符合园区VOCs总量控制指标要求后方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严格执行排污许可管理制度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，未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依法办理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排污许可手续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不得排放污染物。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、项目建设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严格执行配套建设的环境保护设施与主体工程同时设计、同时施工、同时投产使用的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三同时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制度。项目竣工后，建设单位必须按照规定程序办理环境保护竣工验收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该项目建设和运行过程中如涉及规划、土地利用、建设、水务、消防、安全等问题，应遵照相关法律法规要求到相应的行政主管部门办理有关手续。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00" w:firstLineChars="200"/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清远市生态环境局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/>
        <w:jc w:val="righ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2022年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0F39"/>
    <w:rsid w:val="00040FC6"/>
    <w:rsid w:val="00047AF6"/>
    <w:rsid w:val="00190066"/>
    <w:rsid w:val="002144EA"/>
    <w:rsid w:val="00227939"/>
    <w:rsid w:val="00452748"/>
    <w:rsid w:val="00461E3F"/>
    <w:rsid w:val="00584FD1"/>
    <w:rsid w:val="0063419F"/>
    <w:rsid w:val="00BF1146"/>
    <w:rsid w:val="00D73B11"/>
    <w:rsid w:val="00FE2C36"/>
    <w:rsid w:val="01216C84"/>
    <w:rsid w:val="01980EED"/>
    <w:rsid w:val="01BC08FE"/>
    <w:rsid w:val="022B31FA"/>
    <w:rsid w:val="024833B1"/>
    <w:rsid w:val="03B1055A"/>
    <w:rsid w:val="04635465"/>
    <w:rsid w:val="047E0E97"/>
    <w:rsid w:val="04A50D75"/>
    <w:rsid w:val="055C6268"/>
    <w:rsid w:val="05EA6A22"/>
    <w:rsid w:val="062B20B3"/>
    <w:rsid w:val="06FF7C5E"/>
    <w:rsid w:val="08A56F27"/>
    <w:rsid w:val="09FA3311"/>
    <w:rsid w:val="0A1F0E3D"/>
    <w:rsid w:val="0DE327D3"/>
    <w:rsid w:val="0E982D96"/>
    <w:rsid w:val="0EC94362"/>
    <w:rsid w:val="10524C52"/>
    <w:rsid w:val="108D7E70"/>
    <w:rsid w:val="110F27D0"/>
    <w:rsid w:val="11E555C4"/>
    <w:rsid w:val="125B16E7"/>
    <w:rsid w:val="12E910F0"/>
    <w:rsid w:val="138A6357"/>
    <w:rsid w:val="13DC7523"/>
    <w:rsid w:val="143D7D79"/>
    <w:rsid w:val="15E8642F"/>
    <w:rsid w:val="16145A49"/>
    <w:rsid w:val="165732A4"/>
    <w:rsid w:val="16F12A6A"/>
    <w:rsid w:val="18DC0501"/>
    <w:rsid w:val="19935284"/>
    <w:rsid w:val="19CA78A1"/>
    <w:rsid w:val="1AD96011"/>
    <w:rsid w:val="1FD81177"/>
    <w:rsid w:val="1FD945EA"/>
    <w:rsid w:val="22770814"/>
    <w:rsid w:val="229B1C8E"/>
    <w:rsid w:val="249E00E0"/>
    <w:rsid w:val="261C1C23"/>
    <w:rsid w:val="267625C1"/>
    <w:rsid w:val="26AE716C"/>
    <w:rsid w:val="26B2493E"/>
    <w:rsid w:val="27642545"/>
    <w:rsid w:val="28D7522E"/>
    <w:rsid w:val="291D22B1"/>
    <w:rsid w:val="2954446C"/>
    <w:rsid w:val="2B800985"/>
    <w:rsid w:val="2BCA6E69"/>
    <w:rsid w:val="2D5444F1"/>
    <w:rsid w:val="2E3454A3"/>
    <w:rsid w:val="30267F56"/>
    <w:rsid w:val="31895B43"/>
    <w:rsid w:val="31990B83"/>
    <w:rsid w:val="31D44FFF"/>
    <w:rsid w:val="34252304"/>
    <w:rsid w:val="376F6F45"/>
    <w:rsid w:val="3A216413"/>
    <w:rsid w:val="3AC23523"/>
    <w:rsid w:val="3BF12432"/>
    <w:rsid w:val="3D2964D9"/>
    <w:rsid w:val="3DE75766"/>
    <w:rsid w:val="3E11241C"/>
    <w:rsid w:val="3E59409B"/>
    <w:rsid w:val="3FF87354"/>
    <w:rsid w:val="406575C3"/>
    <w:rsid w:val="43A675AF"/>
    <w:rsid w:val="45332489"/>
    <w:rsid w:val="48CD305D"/>
    <w:rsid w:val="4E2F226A"/>
    <w:rsid w:val="4E9972F5"/>
    <w:rsid w:val="534C3E4D"/>
    <w:rsid w:val="567F2386"/>
    <w:rsid w:val="56F22483"/>
    <w:rsid w:val="578A054B"/>
    <w:rsid w:val="58081CFB"/>
    <w:rsid w:val="581B149A"/>
    <w:rsid w:val="5977685A"/>
    <w:rsid w:val="59BB5131"/>
    <w:rsid w:val="5AE64C80"/>
    <w:rsid w:val="5B5B0305"/>
    <w:rsid w:val="5BA74225"/>
    <w:rsid w:val="5BBB00E7"/>
    <w:rsid w:val="5C357C5F"/>
    <w:rsid w:val="5D091B59"/>
    <w:rsid w:val="5D1170B9"/>
    <w:rsid w:val="5D1668AE"/>
    <w:rsid w:val="610C29EC"/>
    <w:rsid w:val="62F23F5F"/>
    <w:rsid w:val="63746C40"/>
    <w:rsid w:val="64362B02"/>
    <w:rsid w:val="65DC05D9"/>
    <w:rsid w:val="65DC4E64"/>
    <w:rsid w:val="65E637B9"/>
    <w:rsid w:val="66717D3C"/>
    <w:rsid w:val="668350A5"/>
    <w:rsid w:val="66B2315D"/>
    <w:rsid w:val="66C96FBE"/>
    <w:rsid w:val="66FE6CC3"/>
    <w:rsid w:val="67315085"/>
    <w:rsid w:val="68596275"/>
    <w:rsid w:val="69EF461D"/>
    <w:rsid w:val="6AC06552"/>
    <w:rsid w:val="6AEF3635"/>
    <w:rsid w:val="6B9F1464"/>
    <w:rsid w:val="6BA46DE6"/>
    <w:rsid w:val="6C5C40AA"/>
    <w:rsid w:val="6C8D5649"/>
    <w:rsid w:val="6CA80F39"/>
    <w:rsid w:val="6DFD36FA"/>
    <w:rsid w:val="6F054B09"/>
    <w:rsid w:val="70146855"/>
    <w:rsid w:val="7182628F"/>
    <w:rsid w:val="725358B1"/>
    <w:rsid w:val="757F2223"/>
    <w:rsid w:val="759B4F81"/>
    <w:rsid w:val="765C1B07"/>
    <w:rsid w:val="77314B60"/>
    <w:rsid w:val="77756778"/>
    <w:rsid w:val="7C0D1681"/>
    <w:rsid w:val="7ED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3">
    <w:name w:val="纯文本1"/>
    <w:basedOn w:val="1"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327</Words>
  <Characters>1868</Characters>
  <Lines>15</Lines>
  <Paragraphs>4</Paragraphs>
  <TotalTime>1</TotalTime>
  <ScaleCrop>false</ScaleCrop>
  <LinksUpToDate>false</LinksUpToDate>
  <CharactersWithSpaces>2191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2022-03-07T07:47:00Z</dcterms:created>
  <dc:creator>Administrator</dc:creator>
  <cp:lastModifiedBy>Administrator</cp:lastModifiedBy>
  <cp:lastPrinted>2022-03-25T02:28:00Z</cp:lastPrinted>
  <dcterms:modified xsi:type="dcterms:W3CDTF">2022-04-02T00:38:22Z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FD8E69A6A19E477EA86C37AA7420B99E</vt:lpwstr>
  </property>
</Properties>
</file>