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sz w:val="44"/>
          <w:szCs w:val="44"/>
        </w:rPr>
      </w:pPr>
      <w:r>
        <w:rPr>
          <w:rFonts w:hint="eastAsia" w:ascii="黑体" w:hAnsi="黑体" w:eastAsia="黑体" w:cs="方正小标宋简体"/>
          <w:sz w:val="44"/>
          <w:szCs w:val="44"/>
        </w:rPr>
        <w:t>2016年山塘镇人民政府部门预算</w:t>
      </w:r>
      <w:bookmarkStart w:id="0" w:name="_GoBack"/>
      <w:bookmarkEnd w:id="0"/>
      <w:r>
        <w:rPr>
          <w:rFonts w:hint="eastAsia" w:ascii="黑体" w:hAnsi="黑体" w:eastAsia="黑体" w:cs="方正小标宋简体"/>
          <w:sz w:val="44"/>
          <w:szCs w:val="44"/>
        </w:rPr>
        <w:t>情况说明（汇总）</w:t>
      </w:r>
    </w:p>
    <w:p>
      <w:pPr>
        <w:rPr>
          <w:rFonts w:ascii="仿宋_GB2312" w:hAnsi="黑体" w:eastAsia="仿宋_GB2312" w:cs="黑体"/>
          <w:sz w:val="44"/>
          <w:szCs w:val="44"/>
        </w:rPr>
      </w:pPr>
    </w:p>
    <w:p>
      <w:pPr>
        <w:widowControl w:val="0"/>
        <w:numPr>
          <w:ilvl w:val="0"/>
          <w:numId w:val="1"/>
        </w:numPr>
        <w:adjustRightInd/>
        <w:snapToGrid/>
        <w:spacing w:after="0"/>
        <w:ind w:firstLine="643" w:firstLineChars="200"/>
        <w:jc w:val="both"/>
        <w:rPr>
          <w:rFonts w:ascii="仿宋_GB2312" w:hAnsi="黑体" w:eastAsia="仿宋_GB2312" w:cs="黑体"/>
          <w:b/>
          <w:sz w:val="32"/>
          <w:szCs w:val="32"/>
        </w:rPr>
      </w:pPr>
      <w:r>
        <w:rPr>
          <w:rFonts w:hint="eastAsia" w:ascii="仿宋_GB2312" w:hAnsi="黑体" w:eastAsia="仿宋_GB2312" w:cs="黑体"/>
          <w:b/>
          <w:sz w:val="32"/>
          <w:szCs w:val="32"/>
        </w:rPr>
        <w:t>主要职责</w:t>
      </w:r>
    </w:p>
    <w:p>
      <w:pPr>
        <w:pStyle w:val="8"/>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（一）贯彻执行党和国家各项路线方针政策，制定并实施本行政区域的经济社会发展规划，实行政务公开，严格依法行政，提高行政效率。</w:t>
      </w:r>
    </w:p>
    <w:p>
      <w:pPr>
        <w:pStyle w:val="8"/>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（二）发展和完善农业社会化服务体系，扶持和发展特色经济、优势产业，引导推进新型农村经济合作组织和农业产业化发展，大力发展现代农业；组织引导农村富余劳动力转移和就业，提高农村城镇化水平。</w:t>
      </w:r>
    </w:p>
    <w:p>
      <w:pPr>
        <w:pStyle w:val="8"/>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（三）按规定权限管理或协助上级政府部门管理本行政区域的政治、经济、教育、科技、文化、卫生、体育事业、人口计生以及农业资源开发、生态环境、社会 、村镇规划、公用设施建设等工作，改善群众生产生活条件，提高人民群众生活水平。</w:t>
      </w:r>
    </w:p>
    <w:p>
      <w:pPr>
        <w:pStyle w:val="8"/>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（四）负责本行政区域的社会治安综合治理和信访维稳事务，维护良好的社会秩序，维护社会和谐稳定。</w:t>
      </w:r>
    </w:p>
    <w:p>
      <w:pPr>
        <w:pStyle w:val="8"/>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（五）指导村（居）民自治活动，保障人民群众合法权益。</w:t>
      </w:r>
    </w:p>
    <w:p>
      <w:pPr>
        <w:pStyle w:val="8"/>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六）按规定权限负责或协助上级部门抓好农田水利、镇村道路、供水、供电等基础设施建设，改善群众生产生活条件和镇村整体面貌；大力发展就业、社会保障服务和教育、科技、文化、卫生等镇村公益事业，提高公共服务水平。</w:t>
      </w:r>
    </w:p>
    <w:p>
      <w:pPr>
        <w:pStyle w:val="8"/>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（七）负责本行政区域的社会主义民主法制建设，以及物质文明、精神文明和政治文明建设。</w:t>
      </w:r>
    </w:p>
    <w:p>
      <w:pPr>
        <w:pStyle w:val="8"/>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（八）配合上级有关部门抓好驻镇单位管理，监督、指导镇属事业单位开展各项工作。</w:t>
      </w:r>
    </w:p>
    <w:p>
      <w:pPr>
        <w:ind w:firstLine="640" w:firstLineChars="200"/>
        <w:jc w:val="both"/>
        <w:rPr>
          <w:rFonts w:ascii="仿宋_GB2312" w:hAnsi="仿宋_GB2312" w:eastAsia="仿宋_GB2312" w:cs="仿宋_GB2312"/>
          <w:sz w:val="32"/>
          <w:szCs w:val="32"/>
        </w:rPr>
      </w:pPr>
      <w:r>
        <w:rPr>
          <w:rFonts w:hint="eastAsia" w:ascii="仿宋_GB2312" w:hAnsi="Calibri" w:eastAsia="仿宋_GB2312" w:cs="Times New Roman"/>
          <w:sz w:val="32"/>
          <w:szCs w:val="32"/>
        </w:rPr>
        <w:t>（九）承办上级党委、人民政府交办的其他事项。</w:t>
      </w:r>
    </w:p>
    <w:p>
      <w:pPr>
        <w:jc w:val="both"/>
        <w:rPr>
          <w:rFonts w:ascii="仿宋_GB2312" w:hAnsi="黑体" w:eastAsia="仿宋_GB2312" w:cs="黑体"/>
          <w:b/>
          <w:sz w:val="32"/>
          <w:szCs w:val="32"/>
        </w:rPr>
      </w:pPr>
      <w:r>
        <w:rPr>
          <w:rFonts w:hint="eastAsia" w:ascii="仿宋_GB2312" w:hAnsi="黑体" w:eastAsia="仿宋_GB2312" w:cs="黑体"/>
          <w:b/>
          <w:sz w:val="32"/>
          <w:szCs w:val="32"/>
        </w:rPr>
        <w:t xml:space="preserve">    二、机构设置</w:t>
      </w:r>
    </w:p>
    <w:p>
      <w:pPr>
        <w:widowControl w:val="0"/>
        <w:numPr>
          <w:ilvl w:val="0"/>
          <w:numId w:val="2"/>
        </w:numPr>
        <w:adjustRightInd/>
        <w:snapToGrid/>
        <w:spacing w:after="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本部门预算为汇总预算，包括：山塘镇人民政府本级预算，以及纳入编制范围的下属单位预算。下属单位具体包括：山塘 镇人力资源和社会保障服务所和山塘镇农业综合服务中心。</w:t>
      </w:r>
    </w:p>
    <w:p>
      <w:pPr>
        <w:spacing w:line="560" w:lineRule="exact"/>
        <w:ind w:firstLine="640" w:firstLineChars="200"/>
        <w:rPr>
          <w:rFonts w:ascii="仿宋_GB2312" w:hAnsi="黑体" w:eastAsia="仿宋_GB2312" w:cs="黑体"/>
          <w:sz w:val="32"/>
          <w:szCs w:val="32"/>
        </w:rPr>
      </w:pPr>
      <w:r>
        <w:rPr>
          <w:rFonts w:hint="eastAsia" w:ascii="仿宋_GB2312" w:hAnsi="仿宋_GB2312" w:eastAsia="仿宋_GB2312" w:cs="仿宋_GB2312"/>
          <w:sz w:val="32"/>
          <w:szCs w:val="32"/>
        </w:rPr>
        <w:t>（二）本部门内设机构、人员构成情况：</w:t>
      </w:r>
      <w:r>
        <w:rPr>
          <w:rFonts w:hint="eastAsia" w:ascii="仿宋_GB2312" w:hAnsi="Calibri" w:eastAsia="仿宋_GB2312" w:cs="Times New Roman"/>
          <w:sz w:val="32"/>
          <w:szCs w:val="32"/>
        </w:rPr>
        <w:t>镇机关内设6个综合办公室，3个镇直属事业单位。纳入2016部门预算编制的在编在职人数为79人，其中行政（工勤）编63人，参照公务员管理编6人，事业编制10人。</w:t>
      </w:r>
    </w:p>
    <w:p>
      <w:pPr>
        <w:spacing w:line="560" w:lineRule="exact"/>
        <w:ind w:firstLine="643" w:firstLineChars="200"/>
        <w:jc w:val="both"/>
        <w:rPr>
          <w:rFonts w:ascii="仿宋_GB2312" w:hAnsi="黑体" w:eastAsia="仿宋_GB2312" w:cs="黑体"/>
          <w:b/>
          <w:sz w:val="32"/>
          <w:szCs w:val="32"/>
        </w:rPr>
      </w:pPr>
      <w:r>
        <w:rPr>
          <w:rFonts w:hint="eastAsia" w:ascii="仿宋_GB2312" w:hAnsi="黑体" w:eastAsia="仿宋_GB2312" w:cs="黑体"/>
          <w:b/>
          <w:sz w:val="32"/>
          <w:szCs w:val="32"/>
        </w:rPr>
        <w:t>三、部门预算收支增减变化情况</w:t>
      </w:r>
    </w:p>
    <w:p>
      <w:pPr>
        <w:spacing w:line="560" w:lineRule="exact"/>
        <w:ind w:firstLine="640" w:firstLineChars="200"/>
        <w:jc w:val="both"/>
        <w:rPr>
          <w:rFonts w:ascii="仿宋_GB2312" w:hAnsi="黑体" w:eastAsia="仿宋_GB2312" w:cs="黑体"/>
          <w:sz w:val="32"/>
          <w:szCs w:val="32"/>
        </w:rPr>
      </w:pPr>
      <w:r>
        <w:rPr>
          <w:rFonts w:hint="eastAsia" w:ascii="仿宋_GB2312" w:hAnsi="仿宋_GB2312" w:eastAsia="仿宋_GB2312" w:cs="仿宋_GB2312"/>
          <w:sz w:val="32"/>
          <w:szCs w:val="32"/>
        </w:rPr>
        <w:t>2016年本部门收入预算1,794.47万元，比上年减少20.06万元，下降1.11%，主要原因是2015年部门预算收入预算增加了普通小学教育支出，2016年无该项安排。支出预算1,794.47万元，比上年减少20.06万元，下降1.11%，主要原因是2015年部门预算支出安排了普通小学教育支出，2016年无该项安排。</w:t>
      </w:r>
    </w:p>
    <w:p>
      <w:pPr>
        <w:widowControl w:val="0"/>
        <w:adjustRightInd/>
        <w:snapToGrid/>
        <w:spacing w:after="0"/>
        <w:ind w:firstLine="643" w:firstLineChars="200"/>
        <w:jc w:val="both"/>
        <w:rPr>
          <w:rFonts w:ascii="仿宋_GB2312" w:hAnsi="黑体" w:eastAsia="仿宋_GB2312" w:cs="黑体"/>
          <w:b/>
          <w:sz w:val="32"/>
          <w:szCs w:val="32"/>
        </w:rPr>
      </w:pPr>
      <w:r>
        <w:rPr>
          <w:rFonts w:hint="eastAsia" w:ascii="仿宋_GB2312" w:hAnsi="黑体" w:eastAsia="仿宋_GB2312" w:cs="黑体"/>
          <w:b/>
          <w:sz w:val="32"/>
          <w:szCs w:val="32"/>
        </w:rPr>
        <w:t>四、“三公”经费安排情况说明</w:t>
      </w:r>
    </w:p>
    <w:p>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2016年本部门“三公”经费预算安排43万元，与上年保持不变。其中：因公出国（境）费0万元，与上年保持不变；公务用车购置及运行费35万元，与上年保持不变；公务接待费8万元，与上年保持不变。</w:t>
      </w:r>
    </w:p>
    <w:p>
      <w:pPr>
        <w:pStyle w:val="8"/>
        <w:numPr>
          <w:ilvl w:val="0"/>
          <w:numId w:val="3"/>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机关运行经费安排情况</w:t>
      </w:r>
    </w:p>
    <w:p>
      <w:pPr>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2016年，本部门机关运行经费安排1,304.04元，比上年增加199.07万元，增长18.02%，主要原因是2016年提高了人员经费的标准。其中：办公费19.06，印刷费1.54，邮电费8.09，会议费3，办公用房水电费15.27，公务用车运行维护费35等。</w:t>
      </w:r>
    </w:p>
    <w:p>
      <w:pPr>
        <w:pStyle w:val="8"/>
        <w:numPr>
          <w:ilvl w:val="0"/>
          <w:numId w:val="3"/>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政府采购情况</w:t>
      </w:r>
    </w:p>
    <w:p>
      <w:pPr>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2016年本部门未安排政府采购预算。</w:t>
      </w:r>
    </w:p>
    <w:p>
      <w:pPr>
        <w:pStyle w:val="8"/>
        <w:numPr>
          <w:ilvl w:val="0"/>
          <w:numId w:val="3"/>
        </w:numPr>
        <w:ind w:left="0"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国有资产占用情况</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截至2015年12月31日，本部门占有使用国有资产净值为933.11万元。</w:t>
      </w:r>
    </w:p>
    <w:p>
      <w:pPr>
        <w:pStyle w:val="8"/>
        <w:numPr>
          <w:ilvl w:val="0"/>
          <w:numId w:val="3"/>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预算绩效信息公开情况</w:t>
      </w:r>
    </w:p>
    <w:p>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2016年，本部门暂未安排预算绩效信息公开的有关工作。</w:t>
      </w:r>
    </w:p>
    <w:p>
      <w:pPr>
        <w:pStyle w:val="8"/>
        <w:numPr>
          <w:ilvl w:val="0"/>
          <w:numId w:val="3"/>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名词解释</w:t>
      </w:r>
    </w:p>
    <w:p>
      <w:pPr>
        <w:pStyle w:val="8"/>
        <w:spacing w:line="288" w:lineRule="auto"/>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（一）财政拨款收入：指财政当年拨付的资金事业收入。</w:t>
      </w:r>
    </w:p>
    <w:p>
      <w:pPr>
        <w:pStyle w:val="8"/>
        <w:spacing w:line="288" w:lineRule="auto"/>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（二）事业收入：指事业单位开展专业业务活动及辅动所取得的收入。</w:t>
      </w:r>
    </w:p>
    <w:p>
      <w:pPr>
        <w:pStyle w:val="8"/>
        <w:spacing w:line="288" w:lineRule="auto"/>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（三）经营收入：指事业单位在专业业务活动及其辅助活动之外开展非独立核算经营活动取得的收入。</w:t>
      </w:r>
    </w:p>
    <w:p>
      <w:pPr>
        <w:pStyle w:val="8"/>
        <w:ind w:firstLine="640"/>
        <w:rPr>
          <w:rFonts w:ascii="仿宋_GB2312" w:hAnsi="楷体_GB2312" w:eastAsia="仿宋_GB2312" w:cs="楷体_GB2312"/>
          <w:sz w:val="32"/>
          <w:szCs w:val="32"/>
          <w:highlight w:val="lightGray"/>
        </w:rPr>
      </w:pPr>
      <w:r>
        <w:rPr>
          <w:rFonts w:hint="eastAsia" w:ascii="仿宋_GB2312" w:hAnsi="Calibri" w:eastAsia="仿宋_GB2312" w:cs="Times New Roman"/>
          <w:sz w:val="32"/>
          <w:szCs w:val="32"/>
        </w:rPr>
        <w:t>（四）其他收入：指除上述“财政拨款收入”、“事业收入”、“经营收入”等以外的收入。主要是非本级财政拨款、存款利息收入、事业单位固定资产出租收入等。</w:t>
      </w:r>
    </w:p>
    <w:p>
      <w:pPr>
        <w:pStyle w:val="8"/>
        <w:spacing w:line="288" w:lineRule="auto"/>
        <w:ind w:firstLine="640"/>
        <w:rPr>
          <w:rFonts w:ascii="仿宋_GB2312" w:hAnsi="宋体" w:eastAsia="仿宋_GB2312" w:cs="宋体"/>
          <w:kern w:val="0"/>
          <w:sz w:val="32"/>
          <w:szCs w:val="32"/>
        </w:rPr>
      </w:pPr>
      <w:r>
        <w:rPr>
          <w:rFonts w:hint="eastAsia" w:ascii="仿宋_GB2312" w:hAnsi="Calibri" w:eastAsia="仿宋_GB2312" w:cs="Times New Roman"/>
          <w:sz w:val="32"/>
          <w:szCs w:val="32"/>
        </w:rPr>
        <w:t>（五）“三公”经费：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firstLine="640" w:firstLineChars="200"/>
        <w:jc w:val="both"/>
        <w:rPr>
          <w:rFonts w:ascii="仿宋_GB2312" w:hAnsi="Calibri" w:eastAsia="仿宋_GB2312" w:cs="Times New Roman"/>
          <w:sz w:val="32"/>
          <w:szCs w:val="32"/>
        </w:rPr>
      </w:pPr>
      <w:r>
        <w:rPr>
          <w:rFonts w:hint="eastAsia" w:ascii="仿宋_GB2312" w:hAnsi="Calibri" w:eastAsia="仿宋_GB2312" w:cs="Times New Roman"/>
          <w:sz w:val="32"/>
          <w:szCs w:val="32"/>
        </w:rPr>
        <w:t>（六）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after="0" w:line="20" w:lineRule="exact"/>
        <w:jc w:val="both"/>
        <w:rPr>
          <w:rFonts w:ascii="仿宋_GB2312" w:eastAsia="仿宋_GB231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763B7"/>
    <w:multiLevelType w:val="multilevel"/>
    <w:tmpl w:val="59C763B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5F2BFF"/>
    <w:multiLevelType w:val="singleLevel"/>
    <w:tmpl w:val="5A5F2BFF"/>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KdWFs3YRqZY7Chnxis+YD41GdII=" w:salt="9k05HVwCEby82DmsQmbdmw=="/>
  <w:defaultTabStop w:val="720"/>
  <w:characterSpacingControl w:val="doNotCompress"/>
  <w:compat>
    <w:useFELayout/>
    <w:compatSetting w:name="compatibilityMode" w:uri="http://schemas.microsoft.com/office/word" w:val="12"/>
  </w:compat>
  <w:rsids>
    <w:rsidRoot w:val="00D31D50"/>
    <w:rsid w:val="00034348"/>
    <w:rsid w:val="000C357A"/>
    <w:rsid w:val="000E7140"/>
    <w:rsid w:val="00121D59"/>
    <w:rsid w:val="0014146A"/>
    <w:rsid w:val="001E520C"/>
    <w:rsid w:val="00262C43"/>
    <w:rsid w:val="002D1D35"/>
    <w:rsid w:val="00323B43"/>
    <w:rsid w:val="003D37D8"/>
    <w:rsid w:val="00426133"/>
    <w:rsid w:val="00430BDF"/>
    <w:rsid w:val="00430EF9"/>
    <w:rsid w:val="004358AB"/>
    <w:rsid w:val="00474682"/>
    <w:rsid w:val="00507846"/>
    <w:rsid w:val="005757E7"/>
    <w:rsid w:val="005C4C01"/>
    <w:rsid w:val="0060768C"/>
    <w:rsid w:val="0063592F"/>
    <w:rsid w:val="007048FA"/>
    <w:rsid w:val="00781CC9"/>
    <w:rsid w:val="008B7726"/>
    <w:rsid w:val="00B91DA5"/>
    <w:rsid w:val="00B9699E"/>
    <w:rsid w:val="00C1594A"/>
    <w:rsid w:val="00C34DC1"/>
    <w:rsid w:val="00CB5AA8"/>
    <w:rsid w:val="00D31D50"/>
    <w:rsid w:val="00D93C17"/>
    <w:rsid w:val="00E1515A"/>
    <w:rsid w:val="00E64A3F"/>
    <w:rsid w:val="00F37326"/>
    <w:rsid w:val="00FA081B"/>
    <w:rsid w:val="3D6B4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 w:type="paragraph" w:styleId="8">
    <w:name w:val="List Paragraph"/>
    <w:basedOn w:val="1"/>
    <w:unhideWhenUsed/>
    <w:qFormat/>
    <w:uiPriority w:val="99"/>
    <w:pPr>
      <w:widowControl w:val="0"/>
      <w:adjustRightInd/>
      <w:snapToGrid/>
      <w:spacing w:after="0"/>
      <w:ind w:firstLine="420" w:firstLineChars="200"/>
      <w:jc w:val="both"/>
    </w:pPr>
    <w:rPr>
      <w:rFonts w:asciiTheme="minorHAnsi" w:hAnsiTheme="minorHAnsi" w:eastAsiaTheme="minorEastAsia"/>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280</Words>
  <Characters>1596</Characters>
  <Lines>13</Lines>
  <Paragraphs>3</Paragraphs>
  <TotalTime>0</TotalTime>
  <ScaleCrop>false</ScaleCrop>
  <LinksUpToDate>false</LinksUpToDate>
  <CharactersWithSpaces>1873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地平线</cp:lastModifiedBy>
  <dcterms:modified xsi:type="dcterms:W3CDTF">2018-04-09T04:01:50Z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