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清新区审计局部门</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清新区审计局概况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清新区审计局概况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贯彻执行国家、省和市有关审计的方针、政策和法律法规，拟订我区审计监督的地方规范性文件，制定并组织实施审计工作发展规划、专业领域审计工作规划和年度审计工作计划，对直接审计、调查和核查的事项依法进行审计评价，作出审计决定或提出审计建议。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负责对区本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监督被审计单位整改的责任。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区人民政府、市审计局提出年度区本级预算执行和其他财政收支情况的审计结果报告，受区人民政府委托向区人大常委会提出区本级预算执行和其他财政收支情况的审计工作报告、审计发现问题的纠正和处理结果报告。向区人民政府、市审计局报告对其他事项的审计和专项审计调查情况及结果，依法向社会公布审计结果。向区人民政府有关部门和镇一级人民政府通报审计情况和审计结果</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（四）直接审计下列事项，出具审计报告，在法定职权范围内做出审计决定或向有关主管机关提出处理处罚的建议。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1．区本级财政预算执行情况和其他财政收支，区本级各部门（含直属单位和政府派出机构）预算的执行情况、决算和其他财政收支。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2．镇级人民政府预算的执行情况、决算及其他财政收支，财政转移支付资金。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3．使用区财政资金的事业单位和社会团体的财务收支。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4．区人民政府投资和以区人民政府投资为主体的建设项目的预算执行情况和决算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5．区属国有企业、地方金融机构以及区人民政府规定的区属国有资产占控股或主导地位的企业的资产、负债和损益。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6．区人民政府部门、镇人民政府管理和其他单位受区人民政府及其部门委托管理的社会保障基金、社会捐赠资金以及其他有关基金、资金的财务收支。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7．审计署、省审计厅、市审计局授权审计的国家、省、市驻清新单位和中央、省、市直属企事业单位的财务收支和经济效益，以及国际组织、国际金融机构和外国政府贷款、援助项目的财务收支。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8．法律法规规定应当由区审计局审计的其他事项。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（五）按规定对镇党政主要负责人和区委区政府部门主要负责人及依法属于区审计局审计监督对象的其他单位主要负责人实施经济责任审计。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（六）组织实施对财经法律、法规、规章、政策和宏观调控措施执行情况、财政预算管理或国有资产管理使用等与区本级财政收支有关的特定事项进行专项审计调查。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（七）依法检查审计决定执行情况，督促纠正和处理审计发现的问题，依法办理被审计单位对审计决定提请行政复议、行政诉讼或区人民政府裁决中的有关事项，协助配合有关部门查处相关重大案件。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（八）指导和监督内部审计工作和农村集体经济审计工作，核查社会审计机构对依法属于审计监督对象的单位出具的相关审计报告。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（九）组织审计区驻外机构的财务收支，依法通过适当方式组织审计区属企业的境外资产、负债和损益。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（十）组织开展审计方面的对外交流，推广和指导信息技术在审计领域的应用，建设广东省审计信息系统清新子系统。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（十一）承办区人民政府和上级审计机关交办的其他事项。</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(一）本部门无下属单位，部门预算为局本级预算。</w:t>
      </w:r>
    </w:p>
    <w:p>
      <w:pPr>
        <w:numPr>
          <w:ilvl w:val="0"/>
          <w:numId w:val="4"/>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本部门内设机构、人员构成情况：办公室、财金行事审计股、经济责任审计股、经贸基建审计股</w:t>
      </w:r>
    </w:p>
    <w:p>
      <w:pPr>
        <w:numPr>
          <w:ilvl w:val="0"/>
          <w:numId w:val="0"/>
        </w:numPr>
        <w:ind w:firstLine="440" w:firstLineChars="1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880" w:firstLineChars="2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880" w:firstLineChars="2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880" w:firstLineChars="2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880" w:firstLineChars="2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880" w:firstLineChars="2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2200" w:firstLineChars="5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第二部分2017年部门预算表</w:t>
      </w:r>
    </w:p>
    <w:p>
      <w:pPr>
        <w:numPr>
          <w:ilvl w:val="0"/>
          <w:numId w:val="0"/>
        </w:numPr>
        <w:jc w:val="right"/>
      </w:pPr>
      <w:r>
        <w:rPr>
          <w:rFonts w:hint="eastAsia"/>
          <w:lang w:eastAsia="zh-CN"/>
        </w:rPr>
        <w:t>表</w:t>
      </w:r>
      <w:r>
        <w:rPr>
          <w:rFonts w:hint="eastAsia"/>
          <w:lang w:val="en-US" w:eastAsia="zh-CN"/>
        </w:rPr>
        <w:t>1</w:t>
      </w:r>
    </w:p>
    <w:p>
      <w:pPr>
        <w:numPr>
          <w:ilvl w:val="0"/>
          <w:numId w:val="0"/>
        </w:numPr>
        <w:jc w:val="center"/>
      </w:pPr>
      <w:r>
        <w:drawing>
          <wp:inline distT="0" distB="0" distL="114300" distR="114300">
            <wp:extent cx="7611745" cy="527113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611745" cy="5271135"/>
                    </a:xfrm>
                    <a:prstGeom prst="rect">
                      <a:avLst/>
                    </a:prstGeom>
                    <a:noFill/>
                    <a:ln w="9525">
                      <a:noFill/>
                    </a:ln>
                  </pic:spPr>
                </pic:pic>
              </a:graphicData>
            </a:graphic>
          </wp:inline>
        </w:drawing>
      </w:r>
    </w:p>
    <w:p>
      <w:pPr>
        <w:jc w:val="both"/>
      </w:pPr>
    </w:p>
    <w:p>
      <w:pPr>
        <w:jc w:val="right"/>
        <w:rPr>
          <w:rFonts w:hint="eastAsia"/>
          <w:lang w:val="en-US" w:eastAsia="zh-CN"/>
        </w:rPr>
      </w:pPr>
      <w:r>
        <w:rPr>
          <w:rFonts w:hint="eastAsia"/>
          <w:lang w:val="en-US" w:eastAsia="zh-CN"/>
        </w:rPr>
        <w:t>表2</w:t>
      </w:r>
    </w:p>
    <w:p>
      <w:pPr>
        <w:jc w:val="both"/>
        <w:rPr>
          <w:rFonts w:hint="eastAsia"/>
          <w:lang w:val="en-US" w:eastAsia="zh-CN"/>
        </w:rPr>
      </w:pPr>
    </w:p>
    <w:p>
      <w:pPr>
        <w:jc w:val="both"/>
        <w:rPr>
          <w:rFonts w:hint="eastAsia"/>
          <w:lang w:val="en-US" w:eastAsia="zh-CN"/>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861425" cy="2252345"/>
            <wp:effectExtent l="0" t="0" r="1587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861425" cy="2252345"/>
                    </a:xfrm>
                    <a:prstGeom prst="rect">
                      <a:avLst/>
                    </a:prstGeom>
                    <a:noFill/>
                    <a:ln w="9525">
                      <a:noFill/>
                    </a:ln>
                  </pic:spPr>
                </pic:pic>
              </a:graphicData>
            </a:graphic>
          </wp:inline>
        </w:drawing>
      </w:r>
    </w:p>
    <w:p>
      <w:pPr>
        <w:jc w:val="right"/>
        <w:rPr>
          <w:rFonts w:hint="eastAsia"/>
          <w:lang w:val="en-US" w:eastAsia="zh-CN"/>
        </w:rPr>
      </w:pPr>
      <w:r>
        <w:rPr>
          <w:rFonts w:hint="eastAsia"/>
          <w:lang w:eastAsia="zh-CN"/>
        </w:rPr>
        <w:t>表</w:t>
      </w:r>
      <w:r>
        <w:rPr>
          <w:rFonts w:hint="eastAsia"/>
          <w:lang w:val="en-US" w:eastAsia="zh-CN"/>
        </w:rPr>
        <w:t>3</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134350" cy="62103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8134350" cy="6210300"/>
                    </a:xfrm>
                    <a:prstGeom prst="rect">
                      <a:avLst/>
                    </a:prstGeom>
                    <a:noFill/>
                    <a:ln w="9525">
                      <a:noFill/>
                    </a:ln>
                  </pic:spPr>
                </pic:pic>
              </a:graphicData>
            </a:graphic>
          </wp:inline>
        </w:drawing>
      </w:r>
    </w:p>
    <w:p>
      <w:pPr>
        <w:jc w:val="left"/>
        <w:rPr>
          <w:rFonts w:hint="eastAsia"/>
          <w:lang w:val="en-US" w:eastAsia="zh-CN"/>
        </w:rPr>
        <w:sectPr>
          <w:pgSz w:w="16838" w:h="11906" w:orient="landscape"/>
          <w:pgMar w:top="720" w:right="720" w:bottom="720" w:left="720" w:header="851" w:footer="992" w:gutter="0"/>
          <w:cols w:space="425" w:num="1"/>
          <w:docGrid w:type="lines" w:linePitch="312" w:charSpace="0"/>
        </w:sectPr>
      </w:pPr>
    </w:p>
    <w:p>
      <w:pPr>
        <w:jc w:val="both"/>
      </w:pPr>
    </w:p>
    <w:p>
      <w:pPr>
        <w:jc w:val="right"/>
        <w:rPr>
          <w:rFonts w:hint="eastAsia"/>
          <w:lang w:val="en-US" w:eastAsia="zh-CN"/>
        </w:rPr>
      </w:pPr>
      <w:r>
        <w:rPr>
          <w:rFonts w:hint="eastAsia"/>
          <w:lang w:eastAsia="zh-CN"/>
        </w:rPr>
        <w:t>表</w:t>
      </w:r>
      <w:r>
        <w:rPr>
          <w:rFonts w:hint="eastAsia"/>
          <w:lang w:val="en-US" w:eastAsia="zh-CN"/>
        </w:rPr>
        <w:t>4</w:t>
      </w:r>
    </w:p>
    <w:p>
      <w:pPr>
        <w:jc w:val="left"/>
        <w:rPr>
          <w:rFonts w:hint="eastAsia"/>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267825" cy="486727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9267825" cy="486727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543925" cy="479107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8543925" cy="479107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center"/>
      </w:pPr>
      <w:r>
        <w:drawing>
          <wp:inline distT="0" distB="0" distL="114300" distR="114300">
            <wp:extent cx="5267960" cy="8830310"/>
            <wp:effectExtent l="0" t="0" r="8890"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5267960" cy="8830310"/>
                    </a:xfrm>
                    <a:prstGeom prst="rect">
                      <a:avLst/>
                    </a:prstGeom>
                    <a:noFill/>
                    <a:ln w="9525">
                      <a:noFill/>
                    </a:ln>
                  </pic:spPr>
                </pic:pic>
              </a:graphicData>
            </a:graphic>
          </wp:inline>
        </w:drawing>
      </w:r>
    </w:p>
    <w:p>
      <w:pPr>
        <w:jc w:val="both"/>
      </w:pPr>
    </w:p>
    <w:p>
      <w:pPr>
        <w:jc w:val="both"/>
      </w:pPr>
    </w:p>
    <w:p>
      <w:pPr>
        <w:keepNext w:val="0"/>
        <w:keepLines w:val="0"/>
        <w:widowControl/>
        <w:suppressLineNumbers w:val="0"/>
        <w:jc w:val="left"/>
      </w:pPr>
      <w:r>
        <w:rPr>
          <w:rFonts w:hint="eastAsia"/>
          <w:lang w:eastAsia="zh-CN"/>
        </w:rPr>
        <w:tab/>
      </w:r>
      <w:r>
        <w:rPr>
          <w:rFonts w:ascii="宋体" w:hAnsi="宋体" w:eastAsia="宋体" w:cs="宋体"/>
          <w:kern w:val="0"/>
          <w:sz w:val="24"/>
          <w:szCs w:val="24"/>
          <w:lang w:val="en-US" w:eastAsia="zh-CN" w:bidi="ar"/>
        </w:rPr>
        <w:drawing>
          <wp:inline distT="0" distB="0" distL="114300" distR="114300">
            <wp:extent cx="8391525" cy="3876675"/>
            <wp:effectExtent l="0" t="0" r="9525"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0"/>
                    <a:stretch>
                      <a:fillRect/>
                    </a:stretch>
                  </pic:blipFill>
                  <pic:spPr>
                    <a:xfrm>
                      <a:off x="0" y="0"/>
                      <a:ext cx="8391525" cy="3876675"/>
                    </a:xfrm>
                    <a:prstGeom prst="rect">
                      <a:avLst/>
                    </a:prstGeom>
                    <a:noFill/>
                    <a:ln w="9525">
                      <a:noFill/>
                    </a:ln>
                  </pic:spPr>
                </pic:pic>
              </a:graphicData>
            </a:graphic>
          </wp:inline>
        </w:drawing>
      </w:r>
    </w:p>
    <w:p>
      <w:pPr>
        <w:tabs>
          <w:tab w:val="left" w:pos="2134"/>
        </w:tabs>
        <w:jc w:val="left"/>
        <w:rPr>
          <w:rFonts w:hint="eastAsia" w:eastAsiaTheme="minorEastAsia"/>
          <w:lang w:eastAsia="zh-CN"/>
        </w:rPr>
      </w:pPr>
    </w:p>
    <w:p>
      <w:pPr>
        <w:jc w:val="right"/>
      </w:pPr>
    </w:p>
    <w:p>
      <w:pPr>
        <w:jc w:val="right"/>
      </w:pPr>
    </w:p>
    <w:p>
      <w:pPr>
        <w:jc w:val="right"/>
      </w:pPr>
    </w:p>
    <w:p>
      <w:pPr>
        <w:jc w:val="both"/>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jc w:val="both"/>
      </w:pPr>
    </w:p>
    <w:p>
      <w:pPr>
        <w:jc w:val="both"/>
      </w:pPr>
    </w:p>
    <w:p>
      <w:pPr>
        <w:jc w:val="both"/>
      </w:pP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248525" cy="2981325"/>
            <wp:effectExtent l="0" t="0" r="9525" b="952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1"/>
                    <a:stretch>
                      <a:fillRect/>
                    </a:stretch>
                  </pic:blipFill>
                  <pic:spPr>
                    <a:xfrm>
                      <a:off x="0" y="0"/>
                      <a:ext cx="7248525" cy="29813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04800" cy="304800"/>
            <wp:effectExtent l="0" t="0" r="0" b="0"/>
            <wp:docPr id="1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56"/>
                    <pic:cNvPicPr>
                      <a:picLocks noChangeAspect="1"/>
                    </pic:cNvPicPr>
                  </pic:nvPicPr>
                  <pic:blipFill>
                    <a:blip r:embed="rId12"/>
                    <a:stretch>
                      <a:fillRect/>
                    </a:stretch>
                  </pic:blipFill>
                  <pic:spPr>
                    <a:xfrm>
                      <a:off x="0" y="0"/>
                      <a:ext cx="304800" cy="304800"/>
                    </a:xfrm>
                    <a:prstGeom prst="rect">
                      <a:avLst/>
                    </a:prstGeom>
                    <a:noFill/>
                    <a:ln w="9525">
                      <a:noFill/>
                    </a:ln>
                  </pic:spPr>
                </pic:pic>
              </a:graphicData>
            </a:graphic>
          </wp:inline>
        </w:drawing>
      </w:r>
    </w:p>
    <w:p>
      <w:pPr>
        <w:jc w:val="both"/>
      </w:pPr>
    </w:p>
    <w:tbl>
      <w:tblPr>
        <w:tblStyle w:val="5"/>
        <w:tblW w:w="7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7725" w:type="dxa"/>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7725" w:type="dxa"/>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jc w:val="both"/>
      </w:pPr>
    </w:p>
    <w:p>
      <w:pPr>
        <w:jc w:val="both"/>
      </w:pPr>
    </w:p>
    <w:p>
      <w:pPr>
        <w:jc w:val="both"/>
      </w:pPr>
    </w:p>
    <w:p>
      <w:pPr>
        <w:jc w:val="both"/>
      </w:pPr>
    </w:p>
    <w:p>
      <w:pPr>
        <w:jc w:val="both"/>
      </w:pPr>
      <w:r>
        <w:drawing>
          <wp:inline distT="0" distB="0" distL="114300" distR="114300">
            <wp:extent cx="5274310" cy="1480185"/>
            <wp:effectExtent l="0" t="0" r="2540"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5274310" cy="148018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rFonts w:hint="eastAsia" w:eastAsiaTheme="minorEastAsia"/>
          <w:lang w:val="en-US" w:eastAsia="zh-CN"/>
        </w:rPr>
      </w:pPr>
      <w:r>
        <w:rPr>
          <w:rFonts w:hint="eastAsia"/>
          <w:lang w:val="en-US" w:eastAsia="zh-CN"/>
        </w:rPr>
        <w:t xml:space="preserve">   </w:t>
      </w:r>
    </w:p>
    <w:p>
      <w:pPr>
        <w:jc w:val="both"/>
      </w:pPr>
    </w:p>
    <w:p>
      <w:pPr>
        <w:jc w:val="both"/>
      </w:pPr>
    </w:p>
    <w:p>
      <w:pPr>
        <w:jc w:val="both"/>
      </w:pPr>
    </w:p>
    <w:p>
      <w:pPr>
        <w:jc w:val="both"/>
      </w:pPr>
    </w:p>
    <w:p>
      <w:pPr>
        <w:jc w:val="both"/>
      </w:pPr>
    </w:p>
    <w:p>
      <w:pPr>
        <w:jc w:val="both"/>
      </w:pPr>
    </w:p>
    <w:p>
      <w:pPr>
        <w:jc w:val="both"/>
      </w:pPr>
    </w:p>
    <w:p>
      <w:pPr>
        <w:jc w:val="right"/>
        <w:rPr>
          <w:rFonts w:hint="eastAsia" w:eastAsiaTheme="minorEastAsia"/>
          <w:lang w:eastAsia="zh-CN"/>
        </w:rPr>
      </w:pPr>
      <w:bookmarkStart w:id="0" w:name="_GoBack"/>
      <w:r>
        <w:rPr>
          <w:rFonts w:hint="eastAsia"/>
          <w:lang w:eastAsia="zh-CN"/>
        </w:rPr>
        <w:t>表</w:t>
      </w:r>
      <w:r>
        <w:rPr>
          <w:rFonts w:hint="eastAsia"/>
          <w:lang w:val="en-US" w:eastAsia="zh-CN"/>
        </w:rPr>
        <w:t>10</w:t>
      </w:r>
    </w:p>
    <w:bookmarkEnd w:id="0"/>
    <w:p>
      <w:pPr>
        <w:jc w:val="both"/>
      </w:pPr>
    </w:p>
    <w:p>
      <w:pPr>
        <w:jc w:val="both"/>
      </w:pPr>
    </w:p>
    <w:p>
      <w:pPr>
        <w:jc w:val="both"/>
      </w:pPr>
    </w:p>
    <w:p>
      <w:pPr>
        <w:jc w:val="both"/>
      </w:pPr>
      <w:r>
        <w:drawing>
          <wp:inline distT="0" distB="0" distL="114300" distR="114300">
            <wp:extent cx="8199755" cy="1895475"/>
            <wp:effectExtent l="0" t="0" r="1079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8199755" cy="189547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115300" cy="1857375"/>
            <wp:effectExtent l="0" t="0" r="0" b="9525"/>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5"/>
                    <a:stretch>
                      <a:fillRect/>
                    </a:stretch>
                  </pic:blipFill>
                  <pic:spPr>
                    <a:xfrm>
                      <a:off x="0" y="0"/>
                      <a:ext cx="8115300" cy="1857375"/>
                    </a:xfrm>
                    <a:prstGeom prst="rect">
                      <a:avLst/>
                    </a:prstGeom>
                    <a:noFill/>
                    <a:ln w="9525">
                      <a:noFill/>
                    </a:ln>
                  </pic:spPr>
                </pic:pic>
              </a:graphicData>
            </a:graphic>
          </wp:inline>
        </w:drawing>
      </w:r>
    </w:p>
    <w:p>
      <w:pPr>
        <w:jc w:val="both"/>
      </w:pPr>
    </w:p>
    <w:p>
      <w:pPr>
        <w:jc w:val="both"/>
      </w:pPr>
      <w:r>
        <w:drawing>
          <wp:inline distT="0" distB="0" distL="114300" distR="114300">
            <wp:extent cx="5273675" cy="1814195"/>
            <wp:effectExtent l="0" t="0" r="3175" b="1460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6"/>
                    <a:stretch>
                      <a:fillRect/>
                    </a:stretch>
                  </pic:blipFill>
                  <pic:spPr>
                    <a:xfrm>
                      <a:off x="0" y="0"/>
                      <a:ext cx="5273675" cy="181419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384.33万元，比上年增加59.2万元，增长18.2%，主要原因是2017年预计增加两名科员，相应的人员经费增加，财政拨款增加；支出预算384.33万元，比上年增加59.2万元，增长18.2%，主要原因是人员增加，公用经费，工资福利增加，工资较上年也有所增长。</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11.5万元，比上年减少4万元，下降25.8%，主要原因是本单位厉行节约，积极响应八项规定减少公务接待。公务用车运行费5.5万元，与上年保持一致；公务接待费6万元，比上年减少4万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256.67万元，比上年增加27.33万元，增长11.9%，主要原因本年度增加两名科员，公用经费，工资福利增加。其中：商品和服务支出55万元（包含办公费、印刷费、邮电费、差旅费、会议费、福利费、日常维修费等），公务用车运行维护费5.5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2017年本年度无进行政府采购预算安排。</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2016年12月31日，本部门占有使用国有资产总体情况为在用，分布构成情况为：主要是实物资产。资产数据情况为：现有110.41万元，资产变动情况为：较上年增加了2.55万元（主要原因是：购买固定资产电脑一批）。</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2017年，本部门没有推进预算绩效信息公开的有关工作情况。</w:t>
      </w: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楷体_GB2312" w:hAnsi="楷体_GB2312" w:eastAsia="楷体_GB2312" w:cs="楷体_GB2312"/>
          <w:sz w:val="32"/>
          <w:szCs w:val="32"/>
          <w:highlight w:val="lightGray"/>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（一）商品和服务支出：反映单位购买商品和服务的支出，不包括用于购置固定资产、战略性和应急性物资储备等资本性支出。</w:t>
      </w:r>
    </w:p>
    <w:p>
      <w:pPr>
        <w:ind w:firstLine="636"/>
        <w:rPr>
          <w:rFonts w:hint="eastAsia" w:ascii="仿宋_GB2312" w:hAnsi="宋体" w:eastAsia="仿宋_GB2312" w:cs="宋体"/>
          <w:sz w:val="32"/>
          <w:szCs w:val="32"/>
          <w:lang w:eastAsia="zh-CN"/>
        </w:rPr>
      </w:pPr>
      <w:r>
        <w:rPr>
          <w:rFonts w:hint="eastAsia" w:ascii="仿宋_GB2312" w:hAnsi="仿宋_GB2312" w:eastAsia="仿宋_GB2312" w:cs="仿宋_GB2312"/>
          <w:sz w:val="32"/>
          <w:szCs w:val="32"/>
          <w:highlight w:val="none"/>
          <w:lang w:val="en-US" w:eastAsia="zh-CN"/>
        </w:rPr>
        <w:t>（二）审计经济责任联席会议：每年年初举行，旨在对上年度</w:t>
      </w:r>
      <w:r>
        <w:rPr>
          <w:rFonts w:hint="eastAsia" w:ascii="仿宋_GB2312" w:hAnsi="宋体" w:eastAsia="仿宋_GB2312" w:cs="宋体"/>
          <w:sz w:val="32"/>
          <w:szCs w:val="32"/>
        </w:rPr>
        <w:t>经济责任审计工作</w:t>
      </w:r>
      <w:r>
        <w:rPr>
          <w:rFonts w:hint="eastAsia" w:ascii="仿宋_GB2312" w:hAnsi="宋体" w:eastAsia="仿宋_GB2312" w:cs="宋体"/>
          <w:sz w:val="32"/>
          <w:szCs w:val="32"/>
          <w:lang w:eastAsia="zh-CN"/>
        </w:rPr>
        <w:t>进行</w:t>
      </w:r>
      <w:r>
        <w:rPr>
          <w:rFonts w:hint="eastAsia" w:ascii="仿宋_GB2312" w:hAnsi="宋体" w:eastAsia="仿宋_GB2312" w:cs="宋体"/>
          <w:sz w:val="32"/>
          <w:szCs w:val="32"/>
        </w:rPr>
        <w:t>总结及</w:t>
      </w:r>
      <w:r>
        <w:rPr>
          <w:rFonts w:hint="eastAsia" w:ascii="仿宋_GB2312" w:hAnsi="宋体" w:eastAsia="仿宋_GB2312" w:cs="宋体"/>
          <w:sz w:val="32"/>
          <w:szCs w:val="32"/>
          <w:lang w:eastAsia="zh-CN"/>
        </w:rPr>
        <w:t>推进今年</w:t>
      </w:r>
      <w:r>
        <w:rPr>
          <w:rFonts w:hint="eastAsia" w:ascii="仿宋_GB2312" w:hAnsi="宋体" w:eastAsia="仿宋_GB2312" w:cs="宋体"/>
          <w:sz w:val="32"/>
          <w:szCs w:val="32"/>
        </w:rPr>
        <w:t>工作计划</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贯彻</w:t>
      </w:r>
      <w:r>
        <w:rPr>
          <w:rFonts w:hint="eastAsia" w:ascii="仿宋_GB2312" w:hAnsi="宋体" w:eastAsia="仿宋_GB2312" w:cs="宋体"/>
          <w:sz w:val="32"/>
          <w:szCs w:val="32"/>
          <w:lang w:eastAsia="zh-CN"/>
        </w:rPr>
        <w:t>新的经济责任</w:t>
      </w:r>
      <w:r>
        <w:rPr>
          <w:rFonts w:hint="eastAsia" w:ascii="仿宋_GB2312" w:hAnsi="宋体" w:eastAsia="仿宋_GB2312" w:cs="宋体"/>
          <w:sz w:val="32"/>
          <w:szCs w:val="32"/>
        </w:rPr>
        <w:t>文件精神</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讨论通过</w:t>
      </w:r>
      <w:r>
        <w:rPr>
          <w:rFonts w:hint="eastAsia" w:ascii="仿宋_GB2312" w:hAnsi="宋体" w:eastAsia="仿宋_GB2312" w:cs="宋体"/>
          <w:sz w:val="32"/>
          <w:szCs w:val="32"/>
          <w:lang w:eastAsia="zh-CN"/>
        </w:rPr>
        <w:t>今年</w:t>
      </w:r>
      <w:r>
        <w:rPr>
          <w:rFonts w:hint="eastAsia" w:ascii="仿宋_GB2312" w:hAnsi="宋体" w:eastAsia="仿宋_GB2312" w:cs="宋体"/>
          <w:sz w:val="32"/>
          <w:szCs w:val="32"/>
        </w:rPr>
        <w:t>经济责任审计项目计划名单</w:t>
      </w:r>
      <w:r>
        <w:rPr>
          <w:rFonts w:hint="eastAsia" w:ascii="仿宋_GB2312" w:hAnsi="宋体" w:eastAsia="仿宋_GB2312" w:cs="宋体"/>
          <w:sz w:val="32"/>
          <w:szCs w:val="32"/>
          <w:lang w:eastAsia="zh-CN"/>
        </w:rPr>
        <w:t>并</w:t>
      </w:r>
      <w:r>
        <w:rPr>
          <w:rFonts w:hint="eastAsia" w:ascii="仿宋_GB2312" w:hAnsi="宋体" w:eastAsia="仿宋_GB2312" w:cs="宋体"/>
          <w:sz w:val="32"/>
          <w:szCs w:val="32"/>
        </w:rPr>
        <w:t>讨论经济责任审计工作遇到的普遍性问题</w:t>
      </w:r>
      <w:r>
        <w:rPr>
          <w:rFonts w:hint="eastAsia" w:ascii="仿宋_GB2312" w:hAnsi="宋体" w:eastAsia="仿宋_GB2312" w:cs="宋体"/>
          <w:sz w:val="32"/>
          <w:szCs w:val="32"/>
          <w:lang w:eastAsia="zh-CN"/>
        </w:rPr>
        <w:t>。成员单位包括纪委、组织部、编制委员会、财政局、人社局及本单位。</w:t>
      </w:r>
    </w:p>
    <w:p>
      <w:pPr>
        <w:ind w:firstLine="640" w:firstLineChars="200"/>
        <w:jc w:val="left"/>
        <w:rPr>
          <w:rFonts w:hint="eastAsia" w:ascii="仿宋_GB2312" w:hAnsi="仿宋_GB2312" w:eastAsia="仿宋_GB2312" w:cs="仿宋_GB2312"/>
          <w:sz w:val="32"/>
          <w:szCs w:val="32"/>
          <w:highlight w:val="none"/>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92758"/>
    <w:multiLevelType w:val="singleLevel"/>
    <w:tmpl w:val="81A92758"/>
    <w:lvl w:ilvl="0" w:tentative="0">
      <w:start w:val="2"/>
      <w:numFmt w:val="chineseCounting"/>
      <w:suff w:val="nothing"/>
      <w:lvlText w:val="（%1）"/>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6EB7"/>
    <w:rsid w:val="13016A31"/>
    <w:rsid w:val="15701167"/>
    <w:rsid w:val="20EE6A13"/>
    <w:rsid w:val="36E602DD"/>
    <w:rsid w:val="3FD612A7"/>
    <w:rsid w:val="4FBC0D32"/>
    <w:rsid w:val="50CB6A87"/>
    <w:rsid w:val="5C684D7F"/>
    <w:rsid w:val="5F4261D4"/>
    <w:rsid w:val="608A3D9B"/>
    <w:rsid w:val="60E37A9B"/>
    <w:rsid w:val="66D06120"/>
    <w:rsid w:val="6876638D"/>
    <w:rsid w:val="6D9B07DA"/>
    <w:rsid w:val="7A3D118F"/>
    <w:rsid w:val="7C1B304A"/>
    <w:rsid w:val="7F69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NUL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张明燕</cp:lastModifiedBy>
  <cp:lastPrinted>2018-02-09T07:39:00Z</cp:lastPrinted>
  <dcterms:modified xsi:type="dcterms:W3CDTF">2018-03-30T10:35:41Z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