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清新区社会保险基金管理局部门预算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清新区社会保险基金管理局概况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清新区社会保险基金管理局概况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清新区社会保险基金管理区为参照公务员管理的公益一类正科级事业单位，主要职责为：</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⑴贯彻执行党和国家有关社会保险的路线、方针、政策和法律、法规。</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⑵负责辖区内参保单位和个人养老、工伤、生育、失业、医疗保险基金的管理、审核、拨付工作。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⑶承办辖区参保单位社会保险登记、变更、注销。职工保险关系转移，灵活就业人员参保、续保工作。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⑷审核参保职工待遇享受条件、计算其待遇，按时足额发放各类社会保险金。</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⑸负责参保单位和个人养老、工伤、生育、失业、医疗保险的日常管理工作；负责社会保险数据、信息的处理和管理，参保个人帐户的建立和管理。</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⑹为参保单位和个人、提供有关养老、工伤、生育、失业、医疗保险的政策宣传咨询服务，受理群众来信来访。</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⑺负责完成区委、区政府和上级部门交办的其它工作事项。</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新区社会保险基金管理局为参照公务员管理的公益一类正科级事业单位，根据上述职责，区社会保险基金管理局设8个职能科室：（一）办公室;（二）社会保险关系股;（三）社会保险稽核股;（四）待遇计发股;（五）医疗保险股;（六）信息系统管理股;（七）城乡居民保险股;（八）财务股。本部门无下属单位，部门预算为局本级预算。</w:t>
      </w: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lang w:val="en-US" w:eastAsia="zh-CN"/>
        </w:rPr>
        <w:t>本部门人员构成情况：</w:t>
      </w:r>
      <w:r>
        <w:rPr>
          <w:rFonts w:hint="eastAsia" w:ascii="仿宋_GB2312" w:eastAsia="仿宋_GB2312"/>
          <w:sz w:val="32"/>
          <w:szCs w:val="32"/>
        </w:rPr>
        <w:t>2017年，区社保局人员编制为45人，其中：公务员39名，后勤服务人员6名（其中工勤4名，白编2名）。实有人员为73人，其中：公务员33名，后勤服务人员6名，退休干部10名，以上人员全部由财政全额供给，另外24名临聘人员由单位经费自理。</w:t>
      </w: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pStyle w:val="4"/>
        <w:snapToGrid w:val="0"/>
        <w:spacing w:before="0" w:beforeLines="0" w:beforeAutospacing="0" w:after="0" w:afterLines="0" w:afterAutospacing="0" w:line="640" w:lineRule="exact"/>
        <w:ind w:firstLine="640" w:firstLineChars="200"/>
        <w:jc w:val="both"/>
        <w:rPr>
          <w:rFonts w:hint="eastAsia" w:ascii="仿宋_GB2312" w:eastAsia="仿宋_GB2312"/>
          <w:sz w:val="32"/>
          <w:szCs w:val="32"/>
        </w:rPr>
      </w:pPr>
    </w:p>
    <w:p>
      <w:pPr>
        <w:ind w:firstLine="64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tbl>
      <w:tblPr>
        <w:tblStyle w:val="3"/>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37"/>
        <w:gridCol w:w="1180"/>
        <w:gridCol w:w="579"/>
        <w:gridCol w:w="1738"/>
        <w:gridCol w:w="603"/>
        <w:gridCol w:w="932"/>
        <w:gridCol w:w="366"/>
        <w:gridCol w:w="930"/>
        <w:gridCol w:w="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66" w:type="dxa"/>
          <w:trHeight w:val="390" w:hRule="atLeast"/>
        </w:trPr>
        <w:tc>
          <w:tcPr>
            <w:tcW w:w="1737" w:type="dxa"/>
            <w:shd w:val="clear" w:color="auto" w:fill="auto"/>
            <w:vAlign w:val="center"/>
          </w:tcPr>
          <w:p>
            <w:pPr>
              <w:rPr>
                <w:rFonts w:hint="eastAsia" w:ascii="宋体" w:hAnsi="宋体" w:eastAsia="宋体" w:cs="宋体"/>
                <w:i w:val="0"/>
                <w:color w:val="000000"/>
                <w:sz w:val="22"/>
                <w:szCs w:val="22"/>
                <w:u w:val="none"/>
              </w:rPr>
            </w:pPr>
          </w:p>
        </w:tc>
        <w:tc>
          <w:tcPr>
            <w:tcW w:w="1759" w:type="dxa"/>
            <w:gridSpan w:val="2"/>
            <w:shd w:val="clear" w:color="auto" w:fill="auto"/>
            <w:vAlign w:val="center"/>
          </w:tcPr>
          <w:p>
            <w:pPr>
              <w:rPr>
                <w:rFonts w:hint="eastAsia" w:ascii="宋体" w:hAnsi="宋体" w:eastAsia="宋体" w:cs="宋体"/>
                <w:i w:val="0"/>
                <w:color w:val="000000"/>
                <w:sz w:val="22"/>
                <w:szCs w:val="22"/>
                <w:u w:val="none"/>
              </w:rPr>
            </w:pPr>
          </w:p>
        </w:tc>
        <w:tc>
          <w:tcPr>
            <w:tcW w:w="1738" w:type="dxa"/>
            <w:shd w:val="clear" w:color="auto" w:fill="auto"/>
            <w:vAlign w:val="center"/>
          </w:tcPr>
          <w:p>
            <w:pPr>
              <w:rPr>
                <w:rFonts w:hint="eastAsia" w:ascii="宋体" w:hAnsi="宋体" w:eastAsia="宋体" w:cs="宋体"/>
                <w:i w:val="0"/>
                <w:color w:val="000000"/>
                <w:sz w:val="22"/>
                <w:szCs w:val="22"/>
                <w:u w:val="none"/>
              </w:rPr>
            </w:pPr>
          </w:p>
        </w:tc>
        <w:tc>
          <w:tcPr>
            <w:tcW w:w="1535"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表1</w:t>
            </w:r>
          </w:p>
        </w:tc>
        <w:tc>
          <w:tcPr>
            <w:tcW w:w="1296"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495" w:hRule="atLeast"/>
        </w:trPr>
        <w:tc>
          <w:tcPr>
            <w:tcW w:w="6769"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收支总体情况表</w:t>
            </w:r>
          </w:p>
        </w:tc>
        <w:tc>
          <w:tcPr>
            <w:tcW w:w="1296"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523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1535"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1296"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3496"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3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759"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c>
          <w:tcPr>
            <w:tcW w:w="173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5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c>
          <w:tcPr>
            <w:tcW w:w="129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一、基本支出</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512.37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二、财政专户拨款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二、项目支出</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三、事业单位经营支出</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本年收入合计</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本年支出合计</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四、对附属单位补助支出</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五、上缴上级支出</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六、用事业基金弥补收支总额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六、结转下年</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收入总计</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支出总计</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6" w:type="dxa"/>
          <w:trHeight w:val="390" w:hRule="atLeast"/>
        </w:trPr>
        <w:tc>
          <w:tcPr>
            <w:tcW w:w="6769"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注：财政拨款收支情况包括一般公共预算、政府性基金预算、国有资本经营预算拨款收支情况。</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296"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shd w:val="clear" w:color="auto" w:fill="auto"/>
            <w:vAlign w:val="bottom"/>
          </w:tcPr>
          <w:p>
            <w:pPr>
              <w:rPr>
                <w:rFonts w:hint="eastAsia" w:ascii="Arial" w:hAnsi="Arial" w:cs="Arial"/>
                <w:i w:val="0"/>
                <w:color w:val="000000"/>
                <w:sz w:val="20"/>
                <w:szCs w:val="20"/>
                <w:u w:val="none"/>
              </w:rPr>
            </w:pPr>
          </w:p>
        </w:tc>
        <w:tc>
          <w:tcPr>
            <w:tcW w:w="2920" w:type="dxa"/>
            <w:gridSpan w:val="3"/>
            <w:shd w:val="clear" w:color="auto" w:fill="auto"/>
            <w:vAlign w:val="bottom"/>
          </w:tcPr>
          <w:p>
            <w:pPr>
              <w:rPr>
                <w:rFonts w:hint="default" w:ascii="Arial" w:hAnsi="Arial" w:cs="Arial"/>
                <w:i w:val="0"/>
                <w:color w:val="000000"/>
                <w:sz w:val="20"/>
                <w:szCs w:val="20"/>
                <w:u w:val="none"/>
              </w:rPr>
            </w:pPr>
          </w:p>
        </w:tc>
        <w:tc>
          <w:tcPr>
            <w:tcW w:w="1298"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表2</w:t>
            </w:r>
          </w:p>
        </w:tc>
        <w:tc>
          <w:tcPr>
            <w:tcW w:w="1296"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35"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收入总体情况表</w:t>
            </w:r>
          </w:p>
        </w:tc>
        <w:tc>
          <w:tcPr>
            <w:tcW w:w="1296" w:type="dxa"/>
            <w:gridSpan w:val="2"/>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37" w:type="dxa"/>
            <w:gridSpan w:val="5"/>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1298"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1296"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一、预算拨款</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一般公共预算拨款</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基金预算拨款</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二、财政专户拨款</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教育收费</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其他财政收入拨款</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三、其他资金</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事业收入</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事业单位经营收入</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其他收入</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  年  收  入  合  计</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六、用事业基金弥补收支总额</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1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收    入    总    计</w:t>
            </w:r>
          </w:p>
        </w:tc>
        <w:tc>
          <w:tcPr>
            <w:tcW w:w="42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ascii="楷体_GB2312" w:hAnsi="楷体_GB2312" w:eastAsia="楷体_GB2312" w:cs="楷体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pPr>
    </w:p>
    <w:p>
      <w:pPr>
        <w:jc w:val="both"/>
        <w:rPr>
          <w:rFonts w:hint="eastAsia"/>
          <w:lang w:val="en-US" w:eastAsia="zh-CN"/>
        </w:rPr>
      </w:pPr>
    </w:p>
    <w:p>
      <w:pPr>
        <w:jc w:val="both"/>
      </w:pPr>
    </w:p>
    <w:p>
      <w:pPr>
        <w:jc w:val="both"/>
      </w:pPr>
    </w:p>
    <w:p>
      <w:pPr>
        <w:jc w:val="both"/>
      </w:pPr>
    </w:p>
    <w:p>
      <w:pPr>
        <w:jc w:val="both"/>
      </w:pPr>
    </w:p>
    <w:p>
      <w:pPr>
        <w:jc w:val="both"/>
      </w:pPr>
    </w:p>
    <w:tbl>
      <w:tblPr>
        <w:tblStyle w:val="3"/>
        <w:tblW w:w="7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46"/>
        <w:gridCol w:w="3633"/>
        <w:gridCol w:w="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646" w:type="dxa"/>
            <w:shd w:val="clear" w:color="auto" w:fill="auto"/>
            <w:vAlign w:val="bottom"/>
          </w:tcPr>
          <w:p>
            <w:pPr>
              <w:rPr>
                <w:rFonts w:hint="eastAsia" w:ascii="Arial" w:hAnsi="Arial" w:cs="Arial"/>
                <w:i w:val="0"/>
                <w:color w:val="000000"/>
                <w:sz w:val="20"/>
                <w:szCs w:val="20"/>
                <w:u w:val="none"/>
              </w:rPr>
            </w:pPr>
          </w:p>
        </w:tc>
        <w:tc>
          <w:tcPr>
            <w:tcW w:w="3633" w:type="dxa"/>
            <w:shd w:val="clear" w:color="auto" w:fill="auto"/>
            <w:vAlign w:val="bottom"/>
          </w:tcPr>
          <w:p>
            <w:pPr>
              <w:rPr>
                <w:rFonts w:hint="default" w:ascii="Arial" w:hAnsi="Arial" w:cs="Arial"/>
                <w:i w:val="0"/>
                <w:color w:val="000000"/>
                <w:sz w:val="20"/>
                <w:szCs w:val="20"/>
                <w:u w:val="none"/>
              </w:rPr>
            </w:pPr>
          </w:p>
        </w:tc>
        <w:tc>
          <w:tcPr>
            <w:tcW w:w="444"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723"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279"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444"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一、基本支出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工资福利支出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一般商品和服务支出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对个人和家庭的补助</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其他资本性支出等</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二、项目支出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日常运转类项目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政府购买服务类项目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科技研发类项目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基本建设类项目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补助企事业类项目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信息化运维类项目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信息系统建设类项目</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三、事业单位经营支出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  年  支  出  合  计</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四、对附属单位补助支出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五、上缴上级支出</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六、结转下年</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64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支    出    总    计</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r>
    </w:tbl>
    <w:p>
      <w:pPr>
        <w:jc w:val="both"/>
        <w:sectPr>
          <w:pgSz w:w="11906" w:h="16838"/>
          <w:pgMar w:top="1440" w:right="1800" w:bottom="1440" w:left="1800" w:header="851" w:footer="992" w:gutter="0"/>
          <w:cols w:space="425" w:num="1"/>
          <w:docGrid w:type="lines" w:linePitch="312" w:charSpace="0"/>
        </w:sectPr>
      </w:pP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74"/>
        <w:gridCol w:w="2094"/>
        <w:gridCol w:w="2074"/>
        <w:gridCol w:w="2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074" w:type="dxa"/>
            <w:shd w:val="clear" w:color="auto" w:fill="auto"/>
            <w:vAlign w:val="center"/>
          </w:tcPr>
          <w:p>
            <w:pPr>
              <w:rPr>
                <w:rFonts w:hint="eastAsia" w:ascii="宋体" w:hAnsi="宋体" w:eastAsia="宋体" w:cs="宋体"/>
                <w:i w:val="0"/>
                <w:color w:val="000000"/>
                <w:sz w:val="22"/>
                <w:szCs w:val="22"/>
                <w:u w:val="none"/>
              </w:rPr>
            </w:pPr>
          </w:p>
        </w:tc>
        <w:tc>
          <w:tcPr>
            <w:tcW w:w="2094" w:type="dxa"/>
            <w:shd w:val="clear" w:color="auto" w:fill="auto"/>
            <w:vAlign w:val="center"/>
          </w:tcPr>
          <w:p>
            <w:pPr>
              <w:rPr>
                <w:rFonts w:hint="eastAsia" w:ascii="宋体" w:hAnsi="宋体" w:eastAsia="宋体" w:cs="宋体"/>
                <w:i w:val="0"/>
                <w:color w:val="000000"/>
                <w:sz w:val="22"/>
                <w:szCs w:val="22"/>
                <w:u w:val="none"/>
              </w:rPr>
            </w:pPr>
          </w:p>
        </w:tc>
        <w:tc>
          <w:tcPr>
            <w:tcW w:w="2074" w:type="dxa"/>
            <w:shd w:val="clear" w:color="auto" w:fill="auto"/>
            <w:vAlign w:val="center"/>
          </w:tcPr>
          <w:p>
            <w:pPr>
              <w:rPr>
                <w:rFonts w:hint="eastAsia" w:ascii="宋体" w:hAnsi="宋体" w:eastAsia="宋体" w:cs="宋体"/>
                <w:i w:val="0"/>
                <w:color w:val="000000"/>
                <w:sz w:val="22"/>
                <w:szCs w:val="22"/>
                <w:u w:val="none"/>
              </w:rPr>
            </w:pPr>
          </w:p>
        </w:tc>
        <w:tc>
          <w:tcPr>
            <w:tcW w:w="209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24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209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4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c>
          <w:tcPr>
            <w:tcW w:w="207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20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本年收入合计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本年支出合计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r>
    </w:tbl>
    <w:p>
      <w:pPr>
        <w:jc w:val="both"/>
      </w:pPr>
    </w:p>
    <w:p>
      <w:pPr>
        <w:jc w:val="both"/>
      </w:pPr>
    </w:p>
    <w:p>
      <w:pPr>
        <w:jc w:val="both"/>
      </w:pPr>
    </w:p>
    <w:tbl>
      <w:tblPr>
        <w:tblStyle w:val="3"/>
        <w:tblW w:w="81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62"/>
        <w:gridCol w:w="1317"/>
        <w:gridCol w:w="2518"/>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2" w:type="dxa"/>
            <w:shd w:val="clear" w:color="auto" w:fill="auto"/>
            <w:vAlign w:val="bottom"/>
          </w:tcPr>
          <w:p>
            <w:pPr>
              <w:rPr>
                <w:rFonts w:hint="eastAsia" w:ascii="Arial" w:hAnsi="Arial" w:cs="Arial"/>
                <w:i w:val="0"/>
                <w:color w:val="000000"/>
                <w:sz w:val="20"/>
                <w:szCs w:val="20"/>
                <w:u w:val="none"/>
              </w:rPr>
            </w:pPr>
          </w:p>
        </w:tc>
        <w:tc>
          <w:tcPr>
            <w:tcW w:w="1317" w:type="dxa"/>
            <w:shd w:val="clear" w:color="auto" w:fill="auto"/>
            <w:vAlign w:val="bottom"/>
          </w:tcPr>
          <w:p>
            <w:pPr>
              <w:rPr>
                <w:rFonts w:hint="default" w:ascii="Arial" w:hAnsi="Arial" w:cs="Arial"/>
                <w:i w:val="0"/>
                <w:color w:val="000000"/>
                <w:sz w:val="20"/>
                <w:szCs w:val="20"/>
                <w:u w:val="none"/>
              </w:rPr>
            </w:pPr>
          </w:p>
        </w:tc>
        <w:tc>
          <w:tcPr>
            <w:tcW w:w="2518" w:type="dxa"/>
            <w:shd w:val="clear" w:color="auto" w:fill="auto"/>
            <w:vAlign w:val="bottom"/>
          </w:tcPr>
          <w:p>
            <w:pPr>
              <w:rPr>
                <w:rFonts w:hint="default" w:ascii="Arial" w:hAnsi="Arial" w:cs="Arial"/>
                <w:i w:val="0"/>
                <w:color w:val="000000"/>
                <w:sz w:val="20"/>
                <w:szCs w:val="20"/>
                <w:u w:val="none"/>
              </w:rPr>
            </w:pPr>
          </w:p>
        </w:tc>
        <w:tc>
          <w:tcPr>
            <w:tcW w:w="1632"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129"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497"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1632"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功能科目名称</w:t>
            </w:r>
          </w:p>
        </w:tc>
        <w:tc>
          <w:tcPr>
            <w:tcW w:w="5467" w:type="dxa"/>
            <w:gridSpan w:val="3"/>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7"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518"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632"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    计</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655.11</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512.37</w:t>
            </w:r>
          </w:p>
        </w:tc>
        <w:tc>
          <w:tcPr>
            <w:tcW w:w="163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[208]社会保障和就业支出</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609.65</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466.90</w:t>
            </w:r>
          </w:p>
        </w:tc>
        <w:tc>
          <w:tcPr>
            <w:tcW w:w="163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[2080109]社会保险经办机构</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546.96</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412.90</w:t>
            </w:r>
          </w:p>
        </w:tc>
        <w:tc>
          <w:tcPr>
            <w:tcW w:w="163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[2080501]归口管理的行政单位离退休</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62.69</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54.00</w:t>
            </w:r>
          </w:p>
        </w:tc>
        <w:tc>
          <w:tcPr>
            <w:tcW w:w="163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[210]医疗卫生与计划生育支出</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1632"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[2101101]行政单位医疗</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1632"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[221]住房保障支出</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1632"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[2210201]住房公积金</w:t>
            </w:r>
          </w:p>
        </w:tc>
        <w:tc>
          <w:tcPr>
            <w:tcW w:w="1317"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251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1632"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sectPr>
          <w:pgSz w:w="11906" w:h="16838"/>
          <w:pgMar w:top="1440" w:right="1800" w:bottom="1440" w:left="1800" w:header="851" w:footer="992" w:gutter="0"/>
          <w:cols w:space="425" w:num="1"/>
          <w:docGrid w:type="lines" w:linePitch="312" w:charSpace="0"/>
        </w:sectPr>
      </w:pPr>
    </w:p>
    <w:tbl>
      <w:tblPr>
        <w:tblStyle w:val="3"/>
        <w:tblW w:w="7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54"/>
        <w:gridCol w:w="3454"/>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454" w:type="dxa"/>
            <w:shd w:val="clear" w:color="auto" w:fill="auto"/>
            <w:vAlign w:val="bottom"/>
          </w:tcPr>
          <w:p>
            <w:pPr>
              <w:rPr>
                <w:rFonts w:hint="eastAsia" w:ascii="Arial" w:hAnsi="Arial" w:cs="Arial"/>
                <w:i w:val="0"/>
                <w:color w:val="000000"/>
                <w:sz w:val="20"/>
                <w:szCs w:val="20"/>
                <w:u w:val="none"/>
              </w:rPr>
            </w:pPr>
          </w:p>
        </w:tc>
        <w:tc>
          <w:tcPr>
            <w:tcW w:w="3454" w:type="dxa"/>
            <w:shd w:val="clear" w:color="auto" w:fill="auto"/>
            <w:vAlign w:val="bottom"/>
          </w:tcPr>
          <w:p>
            <w:pPr>
              <w:rPr>
                <w:rFonts w:hint="default" w:ascii="Arial" w:hAnsi="Arial" w:cs="Arial"/>
                <w:i w:val="0"/>
                <w:color w:val="000000"/>
                <w:sz w:val="20"/>
                <w:szCs w:val="20"/>
                <w:u w:val="none"/>
              </w:rPr>
            </w:pPr>
          </w:p>
        </w:tc>
        <w:tc>
          <w:tcPr>
            <w:tcW w:w="78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693"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90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78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政府预算支出经济分类</w:t>
            </w:r>
          </w:p>
        </w:tc>
        <w:tc>
          <w:tcPr>
            <w:tcW w:w="345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部门预算支出经济科目</w:t>
            </w:r>
          </w:p>
        </w:tc>
        <w:tc>
          <w:tcPr>
            <w:tcW w:w="78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    计</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[501]机关工资福利支出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[301]工资福利支出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[50101]工资奖金津补贴</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[30101]基本工资</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[50101]工资奖金津补贴</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[30102]津贴补贴</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[50101]工资奖金津补贴</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[30103]奖金</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[50102]社会保障缴费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[30104]其他社会保障缴费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[50103]住房公积金</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[30106]伙食补助费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[50199]其他工资福利支出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[30199]其他工资福利支出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[502]机关商品和服务支出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[302]商品和服务支出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[30201]办公费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[30202]印刷费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[30204]手续费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[30205]水费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[30206]电费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[30207]邮电费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[30209]物业管理费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[30211]差旅费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[30214]租赁费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[30228]工会经费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[30229]福利费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[30239]其他交通费用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[50202]会议费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[30215]会议费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[50203]培训费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[30216]培训费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[50205]委托业务费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[30203]咨询费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[50205]委托业务费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[30226]劳务费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[50205]委托业务费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[30227]委托业务费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[50206]公务接待费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[30217]公务接待费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[50207]因公出国（境）费用</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[30212]因公出国（境）费用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[50208]公务用车运行维护费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[30231]公务用车运行维护费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[50209]维修（护）费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[30239]其他交通费用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[50299]其他商品和服务支出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[30299]其他商品和服务支出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[503]机关资本性支出（一）</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[50306]设备购置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[31002]办公设备购置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[505]对事业单位经常性补助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[303]对个人和家庭的补助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[30304]抚恤金</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[30305]生活补助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[30307]医疗费补助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[30309]奖励金</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[30301]离休费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[50501]工资福利支出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[30302]退休费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[505]对事业单位经常性补助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[30399]其他对个人和家庭的补助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[50502]商品和服务支出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[30311]住房公积金</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[50502]商品和服务支出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[509]对个人和家庭的补助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[50901]社会福利和救助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[50901]社会福利和救助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[50901]社会福利和救助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[50901]社会福利和救助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[50905]离退休费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[50905]离退休费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[50999]其他对个人和家庭的补助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7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54"/>
        <w:gridCol w:w="3454"/>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454" w:type="dxa"/>
            <w:shd w:val="clear" w:color="auto" w:fill="auto"/>
            <w:vAlign w:val="bottom"/>
          </w:tcPr>
          <w:p>
            <w:pPr>
              <w:rPr>
                <w:rFonts w:hint="eastAsia" w:ascii="Arial" w:hAnsi="Arial" w:cs="Arial"/>
                <w:i w:val="0"/>
                <w:color w:val="000000"/>
                <w:sz w:val="20"/>
                <w:szCs w:val="20"/>
                <w:u w:val="none"/>
              </w:rPr>
            </w:pPr>
          </w:p>
        </w:tc>
        <w:tc>
          <w:tcPr>
            <w:tcW w:w="3454" w:type="dxa"/>
            <w:shd w:val="clear" w:color="auto" w:fill="auto"/>
            <w:vAlign w:val="bottom"/>
          </w:tcPr>
          <w:p>
            <w:pPr>
              <w:rPr>
                <w:rFonts w:hint="default" w:ascii="Arial" w:hAnsi="Arial" w:cs="Arial"/>
                <w:i w:val="0"/>
                <w:color w:val="000000"/>
                <w:sz w:val="20"/>
                <w:szCs w:val="20"/>
                <w:u w:val="none"/>
              </w:rPr>
            </w:pPr>
          </w:p>
        </w:tc>
        <w:tc>
          <w:tcPr>
            <w:tcW w:w="78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693"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90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78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政府预算支出经济分类</w:t>
            </w:r>
          </w:p>
        </w:tc>
        <w:tc>
          <w:tcPr>
            <w:tcW w:w="345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部门预算支出经济科目</w:t>
            </w:r>
          </w:p>
        </w:tc>
        <w:tc>
          <w:tcPr>
            <w:tcW w:w="78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合    计</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[501]机关工资福利支出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[301]工资福利支出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[50199]其他工资福利支出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[30106]伙食补助费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[50199]其他工资福利支出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[30199]其他工资福利支出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[502]机关商品和服务支出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[302]商品和服务支出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[30201]办公费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[30202]印刷费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[30204]手续费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[30205]水费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[30206]电费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[30207]邮电费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[30209]物业管理费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[30211]差旅费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[30214]租赁费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[50201]办公经费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[30239]其他交通费用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[50202]会议费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[30215]会议费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[50203]培训费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[30216]培训费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[50205]委托业务费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[30203]咨询费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[50205]委托业务费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[30226]劳务费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[50206]公务接待费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[30217]公务接待费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[50208]公务用车运行维护费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[30231]公务用车运行维护费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[50209]维修（护）费</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[30213]维修（护）费</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[50299]其他商品和服务支出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[30299]其他商品和服务支出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[503]机关资本性支出（一）</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[50301]房屋建筑物购建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[31001]房屋建筑物购建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[50303]公务用车购置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[31013]公务用车购置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[50306]设备购置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[31002]办公设备购置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[50306]设备购置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[31003]专用设备购置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[50306]设备购置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[31007]信息网络及软件购置更新</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[50307]大型修缮</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[31006]大型修缮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[50399]其他资本性支出</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[31099]其他资本性支出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[509]对个人和家庭的补助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[303]对个人和家庭的补助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[50901]社会福利和救助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[30307]医疗费补助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[50999]其他对个人和家庭的补助</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[30399]其他对个人和家庭的补助</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142.74</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7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16"/>
        <w:gridCol w:w="3561"/>
        <w:gridCol w:w="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716" w:type="dxa"/>
            <w:shd w:val="clear" w:color="auto" w:fill="auto"/>
            <w:vAlign w:val="bottom"/>
          </w:tcPr>
          <w:p>
            <w:pPr>
              <w:rPr>
                <w:rFonts w:hint="eastAsia" w:ascii="Arial" w:hAnsi="Arial" w:cs="Arial"/>
                <w:i w:val="0"/>
                <w:color w:val="000000"/>
                <w:sz w:val="20"/>
                <w:szCs w:val="20"/>
                <w:u w:val="none"/>
              </w:rPr>
            </w:pPr>
          </w:p>
        </w:tc>
        <w:tc>
          <w:tcPr>
            <w:tcW w:w="3561" w:type="dxa"/>
            <w:shd w:val="clear" w:color="auto" w:fill="auto"/>
            <w:vAlign w:val="bottom"/>
          </w:tcPr>
          <w:p>
            <w:pPr>
              <w:rPr>
                <w:rFonts w:hint="default" w:ascii="Arial" w:hAnsi="Arial" w:cs="Arial"/>
                <w:i w:val="0"/>
                <w:color w:val="000000"/>
                <w:sz w:val="20"/>
                <w:szCs w:val="20"/>
                <w:u w:val="none"/>
              </w:rPr>
            </w:pPr>
          </w:p>
        </w:tc>
        <w:tc>
          <w:tcPr>
            <w:tcW w:w="44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723"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277"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44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行政经费</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其中：（一）因公出国（境）支出</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（二）公务用车购置及运行维护支出</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1.公务用车购置</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2.公务用车运行维护费</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（三）公务接待费支出</w:t>
            </w: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71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0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0" w:hRule="atLeast"/>
        </w:trPr>
        <w:tc>
          <w:tcPr>
            <w:tcW w:w="7723" w:type="dxa"/>
            <w:gridSpan w:val="3"/>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7723" w:type="dxa"/>
            <w:gridSpan w:val="3"/>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15"/>
        <w:gridCol w:w="1292"/>
        <w:gridCol w:w="2602"/>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15" w:type="dxa"/>
            <w:shd w:val="clear" w:color="auto" w:fill="auto"/>
            <w:vAlign w:val="bottom"/>
          </w:tcPr>
          <w:p>
            <w:pPr>
              <w:rPr>
                <w:rFonts w:hint="eastAsia" w:ascii="Arial" w:hAnsi="Arial" w:cs="Arial"/>
                <w:i w:val="0"/>
                <w:color w:val="000000"/>
                <w:sz w:val="20"/>
                <w:szCs w:val="20"/>
                <w:u w:val="none"/>
              </w:rPr>
            </w:pPr>
          </w:p>
        </w:tc>
        <w:tc>
          <w:tcPr>
            <w:tcW w:w="1292" w:type="dxa"/>
            <w:shd w:val="clear" w:color="auto" w:fill="auto"/>
            <w:vAlign w:val="bottom"/>
          </w:tcPr>
          <w:p>
            <w:pPr>
              <w:rPr>
                <w:rFonts w:hint="default" w:ascii="Arial" w:hAnsi="Arial" w:cs="Arial"/>
                <w:i w:val="0"/>
                <w:color w:val="000000"/>
                <w:sz w:val="20"/>
                <w:szCs w:val="20"/>
                <w:u w:val="none"/>
              </w:rPr>
            </w:pPr>
          </w:p>
        </w:tc>
        <w:tc>
          <w:tcPr>
            <w:tcW w:w="2602" w:type="dxa"/>
            <w:shd w:val="clear" w:color="auto" w:fill="auto"/>
            <w:vAlign w:val="bottom"/>
          </w:tcPr>
          <w:p>
            <w:pPr>
              <w:rPr>
                <w:rFonts w:hint="default" w:ascii="Arial" w:hAnsi="Arial" w:cs="Arial"/>
                <w:i w:val="0"/>
                <w:color w:val="000000"/>
                <w:sz w:val="20"/>
                <w:szCs w:val="20"/>
                <w:u w:val="none"/>
              </w:rPr>
            </w:pPr>
          </w:p>
        </w:tc>
        <w:tc>
          <w:tcPr>
            <w:tcW w:w="171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128"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2017年政府性基金预算支出情况表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6409"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171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1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功能科目名称</w:t>
            </w:r>
          </w:p>
        </w:tc>
        <w:tc>
          <w:tcPr>
            <w:tcW w:w="56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1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15"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2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8128"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注：如该部门无政府性基金安排的支出，则本表为空。同时按照财政部有关要求，以空表呈报省人代会审议。</w:t>
            </w:r>
          </w:p>
        </w:tc>
      </w:tr>
    </w:tbl>
    <w:p>
      <w:pPr>
        <w:jc w:val="both"/>
      </w:pPr>
    </w:p>
    <w:p>
      <w:pPr>
        <w:jc w:val="both"/>
      </w:pPr>
    </w:p>
    <w:p>
      <w:pPr>
        <w:jc w:val="both"/>
      </w:pP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1031"/>
        <w:gridCol w:w="690"/>
        <w:gridCol w:w="690"/>
        <w:gridCol w:w="705"/>
        <w:gridCol w:w="1958"/>
        <w:gridCol w:w="615"/>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995" w:type="dxa"/>
            <w:shd w:val="clear" w:color="auto" w:fill="auto"/>
            <w:vAlign w:val="bottom"/>
          </w:tcPr>
          <w:p>
            <w:pPr>
              <w:rPr>
                <w:rFonts w:hint="eastAsia" w:ascii="Arial" w:hAnsi="Arial" w:cs="Arial"/>
                <w:i w:val="0"/>
                <w:color w:val="000000"/>
                <w:sz w:val="20"/>
                <w:szCs w:val="20"/>
                <w:u w:val="none"/>
              </w:rPr>
            </w:pPr>
          </w:p>
        </w:tc>
        <w:tc>
          <w:tcPr>
            <w:tcW w:w="1031" w:type="dxa"/>
            <w:shd w:val="clear" w:color="auto" w:fill="auto"/>
            <w:vAlign w:val="bottom"/>
          </w:tcPr>
          <w:p>
            <w:pPr>
              <w:rPr>
                <w:rFonts w:hint="default" w:ascii="Arial" w:hAnsi="Arial" w:cs="Arial"/>
                <w:i w:val="0"/>
                <w:color w:val="000000"/>
                <w:sz w:val="20"/>
                <w:szCs w:val="20"/>
                <w:u w:val="none"/>
              </w:rPr>
            </w:pPr>
          </w:p>
        </w:tc>
        <w:tc>
          <w:tcPr>
            <w:tcW w:w="690" w:type="dxa"/>
            <w:shd w:val="clear" w:color="auto" w:fill="auto"/>
            <w:vAlign w:val="bottom"/>
          </w:tcPr>
          <w:p>
            <w:pPr>
              <w:rPr>
                <w:rFonts w:hint="default" w:ascii="Arial" w:hAnsi="Arial" w:cs="Arial"/>
                <w:i w:val="0"/>
                <w:color w:val="000000"/>
                <w:sz w:val="20"/>
                <w:szCs w:val="20"/>
                <w:u w:val="none"/>
              </w:rPr>
            </w:pPr>
          </w:p>
        </w:tc>
        <w:tc>
          <w:tcPr>
            <w:tcW w:w="690" w:type="dxa"/>
            <w:shd w:val="clear" w:color="auto" w:fill="auto"/>
            <w:vAlign w:val="bottom"/>
          </w:tcPr>
          <w:p>
            <w:pPr>
              <w:rPr>
                <w:rFonts w:hint="default" w:ascii="Arial" w:hAnsi="Arial" w:cs="Arial"/>
                <w:i w:val="0"/>
                <w:color w:val="000000"/>
                <w:sz w:val="20"/>
                <w:szCs w:val="20"/>
                <w:u w:val="none"/>
              </w:rPr>
            </w:pPr>
          </w:p>
        </w:tc>
        <w:tc>
          <w:tcPr>
            <w:tcW w:w="705" w:type="dxa"/>
            <w:shd w:val="clear" w:color="auto" w:fill="auto"/>
            <w:vAlign w:val="bottom"/>
          </w:tcPr>
          <w:p>
            <w:pPr>
              <w:rPr>
                <w:rFonts w:hint="default" w:ascii="Arial" w:hAnsi="Arial" w:cs="Arial"/>
                <w:i w:val="0"/>
                <w:color w:val="000000"/>
                <w:sz w:val="20"/>
                <w:szCs w:val="20"/>
                <w:u w:val="none"/>
              </w:rPr>
            </w:pPr>
          </w:p>
        </w:tc>
        <w:tc>
          <w:tcPr>
            <w:tcW w:w="1958" w:type="dxa"/>
            <w:shd w:val="clear" w:color="auto" w:fill="auto"/>
            <w:vAlign w:val="bottom"/>
          </w:tcPr>
          <w:p>
            <w:pPr>
              <w:rPr>
                <w:rFonts w:hint="default" w:ascii="Arial" w:hAnsi="Arial" w:cs="Arial"/>
                <w:i w:val="0"/>
                <w:color w:val="000000"/>
                <w:sz w:val="20"/>
                <w:szCs w:val="20"/>
                <w:u w:val="none"/>
              </w:rPr>
            </w:pPr>
          </w:p>
        </w:tc>
        <w:tc>
          <w:tcPr>
            <w:tcW w:w="615" w:type="dxa"/>
            <w:shd w:val="clear" w:color="auto" w:fill="auto"/>
            <w:vAlign w:val="bottom"/>
          </w:tcPr>
          <w:p>
            <w:pPr>
              <w:rPr>
                <w:rFonts w:hint="default" w:ascii="Arial" w:hAnsi="Arial" w:cs="Arial"/>
                <w:i w:val="0"/>
                <w:color w:val="000000"/>
                <w:sz w:val="20"/>
                <w:szCs w:val="20"/>
                <w:u w:val="none"/>
              </w:rPr>
            </w:pPr>
          </w:p>
        </w:tc>
        <w:tc>
          <w:tcPr>
            <w:tcW w:w="65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2017年部门预算基本支出预算表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7069"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615" w:type="dxa"/>
            <w:shd w:val="clear" w:color="auto" w:fill="auto"/>
            <w:vAlign w:val="center"/>
          </w:tcPr>
          <w:p>
            <w:pPr>
              <w:rPr>
                <w:rFonts w:hint="eastAsia" w:ascii="宋体" w:hAnsi="宋体" w:eastAsia="宋体" w:cs="宋体"/>
                <w:i w:val="0"/>
                <w:color w:val="000000"/>
                <w:sz w:val="20"/>
                <w:szCs w:val="20"/>
                <w:u w:val="none"/>
              </w:rPr>
            </w:pPr>
          </w:p>
        </w:tc>
        <w:tc>
          <w:tcPr>
            <w:tcW w:w="65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支出项目类别（资金使用单位）</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4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财政专户拨款</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9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7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1958"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512.37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512.37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512.37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1"/>
        <w:gridCol w:w="843"/>
        <w:gridCol w:w="634"/>
        <w:gridCol w:w="634"/>
        <w:gridCol w:w="673"/>
        <w:gridCol w:w="1587"/>
        <w:gridCol w:w="585"/>
        <w:gridCol w:w="58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611" w:type="dxa"/>
            <w:shd w:val="clear" w:color="auto" w:fill="auto"/>
            <w:vAlign w:val="center"/>
          </w:tcPr>
          <w:p>
            <w:pPr>
              <w:jc w:val="center"/>
              <w:rPr>
                <w:rFonts w:hint="eastAsia" w:ascii="宋体" w:hAnsi="宋体" w:eastAsia="宋体" w:cs="宋体"/>
                <w:i w:val="0"/>
                <w:color w:val="000000"/>
                <w:sz w:val="20"/>
                <w:szCs w:val="20"/>
                <w:u w:val="none"/>
              </w:rPr>
            </w:pPr>
          </w:p>
        </w:tc>
        <w:tc>
          <w:tcPr>
            <w:tcW w:w="843" w:type="dxa"/>
            <w:shd w:val="clear" w:color="auto" w:fill="auto"/>
            <w:vAlign w:val="center"/>
          </w:tcPr>
          <w:p>
            <w:pPr>
              <w:jc w:val="center"/>
              <w:rPr>
                <w:rFonts w:hint="eastAsia" w:ascii="宋体" w:hAnsi="宋体" w:eastAsia="宋体" w:cs="宋体"/>
                <w:i w:val="0"/>
                <w:color w:val="000000"/>
                <w:sz w:val="20"/>
                <w:szCs w:val="20"/>
                <w:u w:val="none"/>
              </w:rPr>
            </w:pPr>
          </w:p>
        </w:tc>
        <w:tc>
          <w:tcPr>
            <w:tcW w:w="634" w:type="dxa"/>
            <w:shd w:val="clear" w:color="auto" w:fill="auto"/>
            <w:vAlign w:val="center"/>
          </w:tcPr>
          <w:p>
            <w:pPr>
              <w:jc w:val="center"/>
              <w:rPr>
                <w:rFonts w:hint="eastAsia" w:ascii="宋体" w:hAnsi="宋体" w:eastAsia="宋体" w:cs="宋体"/>
                <w:i w:val="0"/>
                <w:color w:val="000000"/>
                <w:sz w:val="20"/>
                <w:szCs w:val="20"/>
                <w:u w:val="none"/>
              </w:rPr>
            </w:pPr>
          </w:p>
        </w:tc>
        <w:tc>
          <w:tcPr>
            <w:tcW w:w="634" w:type="dxa"/>
            <w:shd w:val="clear" w:color="auto" w:fill="auto"/>
            <w:vAlign w:val="center"/>
          </w:tcPr>
          <w:p>
            <w:pPr>
              <w:jc w:val="center"/>
              <w:rPr>
                <w:rFonts w:hint="eastAsia" w:ascii="宋体" w:hAnsi="宋体" w:eastAsia="宋体" w:cs="宋体"/>
                <w:i w:val="0"/>
                <w:color w:val="000000"/>
                <w:sz w:val="20"/>
                <w:szCs w:val="20"/>
                <w:u w:val="none"/>
              </w:rPr>
            </w:pPr>
          </w:p>
        </w:tc>
        <w:tc>
          <w:tcPr>
            <w:tcW w:w="673" w:type="dxa"/>
            <w:shd w:val="clear" w:color="auto" w:fill="auto"/>
            <w:vAlign w:val="center"/>
          </w:tcPr>
          <w:p>
            <w:pPr>
              <w:jc w:val="center"/>
              <w:rPr>
                <w:rFonts w:hint="eastAsia" w:ascii="宋体" w:hAnsi="宋体" w:eastAsia="宋体" w:cs="宋体"/>
                <w:i w:val="0"/>
                <w:color w:val="000000"/>
                <w:sz w:val="20"/>
                <w:szCs w:val="20"/>
                <w:u w:val="none"/>
              </w:rPr>
            </w:pPr>
          </w:p>
        </w:tc>
        <w:tc>
          <w:tcPr>
            <w:tcW w:w="1587" w:type="dxa"/>
            <w:shd w:val="clear" w:color="auto" w:fill="auto"/>
            <w:vAlign w:val="center"/>
          </w:tcPr>
          <w:p>
            <w:pPr>
              <w:jc w:val="center"/>
              <w:rPr>
                <w:rFonts w:hint="eastAsia" w:ascii="宋体" w:hAnsi="宋体" w:eastAsia="宋体" w:cs="宋体"/>
                <w:i w:val="0"/>
                <w:color w:val="000000"/>
                <w:sz w:val="20"/>
                <w:szCs w:val="20"/>
                <w:u w:val="none"/>
              </w:rPr>
            </w:pPr>
          </w:p>
        </w:tc>
        <w:tc>
          <w:tcPr>
            <w:tcW w:w="585" w:type="dxa"/>
            <w:shd w:val="clear" w:color="auto" w:fill="auto"/>
            <w:vAlign w:val="center"/>
          </w:tcPr>
          <w:p>
            <w:pPr>
              <w:jc w:val="center"/>
              <w:rPr>
                <w:rFonts w:hint="eastAsia" w:ascii="宋体" w:hAnsi="宋体" w:eastAsia="宋体" w:cs="宋体"/>
                <w:i w:val="0"/>
                <w:color w:val="000000"/>
                <w:sz w:val="20"/>
                <w:szCs w:val="20"/>
                <w:u w:val="none"/>
              </w:rPr>
            </w:pPr>
          </w:p>
        </w:tc>
        <w:tc>
          <w:tcPr>
            <w:tcW w:w="586" w:type="dxa"/>
            <w:shd w:val="clear" w:color="auto" w:fill="auto"/>
            <w:vAlign w:val="center"/>
          </w:tcPr>
          <w:p>
            <w:pPr>
              <w:jc w:val="center"/>
              <w:rPr>
                <w:rFonts w:hint="eastAsia" w:ascii="宋体" w:hAnsi="宋体" w:eastAsia="宋体" w:cs="宋体"/>
                <w:i w:val="0"/>
                <w:color w:val="000000"/>
                <w:sz w:val="20"/>
                <w:szCs w:val="20"/>
                <w:u w:val="none"/>
              </w:rPr>
            </w:pPr>
          </w:p>
        </w:tc>
        <w:tc>
          <w:tcPr>
            <w:tcW w:w="118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2017年部门预算项目支出及其他支出预算表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5982" w:type="dxa"/>
            <w:gridSpan w:val="6"/>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单位名称：清远市清新区社会保险基金管理局</w:t>
            </w:r>
          </w:p>
        </w:tc>
        <w:tc>
          <w:tcPr>
            <w:tcW w:w="585" w:type="dxa"/>
            <w:shd w:val="clear" w:color="auto" w:fill="auto"/>
            <w:vAlign w:val="center"/>
          </w:tcPr>
          <w:p>
            <w:pPr>
              <w:jc w:val="center"/>
              <w:rPr>
                <w:rFonts w:hint="eastAsia" w:ascii="宋体" w:hAnsi="宋体" w:eastAsia="宋体" w:cs="宋体"/>
                <w:i w:val="0"/>
                <w:color w:val="000000"/>
                <w:sz w:val="20"/>
                <w:szCs w:val="20"/>
                <w:u w:val="none"/>
              </w:rPr>
            </w:pPr>
          </w:p>
        </w:tc>
        <w:tc>
          <w:tcPr>
            <w:tcW w:w="586" w:type="dxa"/>
            <w:shd w:val="clear" w:color="auto" w:fill="auto"/>
            <w:vAlign w:val="center"/>
          </w:tcPr>
          <w:p>
            <w:pPr>
              <w:jc w:val="center"/>
              <w:rPr>
                <w:rFonts w:hint="eastAsia" w:ascii="宋体" w:hAnsi="宋体" w:eastAsia="宋体" w:cs="宋体"/>
                <w:i w:val="0"/>
                <w:color w:val="000000"/>
                <w:sz w:val="20"/>
                <w:szCs w:val="20"/>
                <w:u w:val="none"/>
              </w:rPr>
            </w:pPr>
          </w:p>
        </w:tc>
        <w:tc>
          <w:tcPr>
            <w:tcW w:w="118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支出项目类别（资金使用单位）</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3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财政专户拨款</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142.74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bl>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pStyle w:val="4"/>
        <w:snapToGrid w:val="0"/>
        <w:spacing w:before="0" w:beforeLines="0" w:beforeAutospacing="0" w:after="0" w:afterLines="0" w:afterAutospacing="0" w:line="64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年财政预算拨款收入</w:t>
      </w:r>
      <w:r>
        <w:rPr>
          <w:rFonts w:hint="eastAsia" w:ascii="仿宋" w:hAnsi="仿宋" w:eastAsia="仿宋" w:cs="仿宋"/>
          <w:color w:val="000000"/>
          <w:sz w:val="32"/>
          <w:szCs w:val="32"/>
          <w:lang w:val="en-US" w:eastAsia="zh-CN"/>
        </w:rPr>
        <w:t>655.11</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655.11</w:t>
      </w:r>
      <w:r>
        <w:rPr>
          <w:rFonts w:hint="eastAsia" w:ascii="仿宋" w:hAnsi="仿宋" w:eastAsia="仿宋" w:cs="仿宋"/>
          <w:color w:val="000000"/>
          <w:sz w:val="32"/>
          <w:szCs w:val="32"/>
        </w:rPr>
        <w:t>万元；财政预算拨款支出</w:t>
      </w:r>
      <w:r>
        <w:rPr>
          <w:rFonts w:hint="eastAsia" w:ascii="仿宋" w:hAnsi="仿宋" w:eastAsia="仿宋" w:cs="仿宋"/>
          <w:color w:val="000000"/>
          <w:sz w:val="32"/>
          <w:szCs w:val="32"/>
          <w:lang w:val="en-US" w:eastAsia="zh-CN"/>
        </w:rPr>
        <w:t>655.11</w:t>
      </w:r>
      <w:r>
        <w:rPr>
          <w:rFonts w:hint="eastAsia" w:ascii="仿宋" w:hAnsi="仿宋" w:eastAsia="仿宋" w:cs="仿宋"/>
          <w:color w:val="000000"/>
          <w:sz w:val="32"/>
          <w:szCs w:val="32"/>
        </w:rPr>
        <w:t>万元，其中一般公共预算财政拨款支出</w:t>
      </w:r>
      <w:r>
        <w:rPr>
          <w:rFonts w:hint="eastAsia" w:ascii="仿宋" w:hAnsi="仿宋" w:eastAsia="仿宋" w:cs="仿宋"/>
          <w:color w:val="000000"/>
          <w:sz w:val="32"/>
          <w:szCs w:val="32"/>
          <w:lang w:val="en-US" w:eastAsia="zh-CN"/>
        </w:rPr>
        <w:t>655.11</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年预算增加</w:t>
      </w:r>
      <w:r>
        <w:rPr>
          <w:rFonts w:hint="eastAsia" w:ascii="仿宋" w:hAnsi="仿宋" w:eastAsia="仿宋" w:cs="仿宋"/>
          <w:color w:val="000000"/>
          <w:sz w:val="32"/>
          <w:szCs w:val="32"/>
          <w:lang w:val="en-US" w:eastAsia="zh-CN"/>
        </w:rPr>
        <w:t>57.53</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512.37</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年预算增加</w:t>
      </w:r>
      <w:r>
        <w:rPr>
          <w:rFonts w:hint="eastAsia" w:ascii="仿宋" w:hAnsi="仿宋" w:eastAsia="仿宋" w:cs="仿宋"/>
          <w:color w:val="000000"/>
          <w:sz w:val="32"/>
          <w:szCs w:val="32"/>
          <w:lang w:val="en-US" w:eastAsia="zh-CN"/>
        </w:rPr>
        <w:t>14.84</w:t>
      </w:r>
      <w:r>
        <w:rPr>
          <w:rFonts w:hint="eastAsia" w:ascii="仿宋" w:hAnsi="仿宋" w:eastAsia="仿宋" w:cs="仿宋"/>
          <w:color w:val="000000"/>
          <w:sz w:val="32"/>
          <w:szCs w:val="32"/>
        </w:rPr>
        <w:t>万元，主要原因是工资上调社保公积金缴费增加等，主要用于保障本单位在职人员工资福利及社会保险缴费，离退休人员离退休费及生活补助，保障部门正常运转的各项商品服务支出；项目支出</w:t>
      </w:r>
      <w:r>
        <w:rPr>
          <w:rFonts w:hint="eastAsia" w:ascii="仿宋" w:hAnsi="仿宋" w:eastAsia="仿宋" w:cs="仿宋"/>
          <w:color w:val="000000"/>
          <w:sz w:val="32"/>
          <w:szCs w:val="32"/>
          <w:lang w:val="en-US" w:eastAsia="zh-CN"/>
        </w:rPr>
        <w:t>142.74</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年预算</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42.69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年政府性基金预算收入0万元，政府性基金预算支出 0万元。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widowControl/>
        <w:shd w:val="clear" w:color="auto" w:fill="FFFFFF"/>
        <w:spacing w:line="640" w:lineRule="exact"/>
        <w:ind w:firstLine="640" w:firstLineChars="200"/>
        <w:jc w:val="left"/>
        <w:rPr>
          <w:rFonts w:hint="eastAsia" w:ascii="仿宋" w:hAnsi="仿宋" w:eastAsia="仿宋" w:cs="仿宋"/>
          <w:color w:val="000000"/>
          <w:kern w:val="0"/>
          <w:sz w:val="32"/>
          <w:szCs w:val="32"/>
        </w:rPr>
      </w:pPr>
      <w:r>
        <w:rPr>
          <w:rFonts w:hint="eastAsia" w:ascii="仿宋_GB2312" w:hAnsi="宋体" w:eastAsia="仿宋_GB2312" w:cs="宋体"/>
          <w:color w:val="000000"/>
          <w:kern w:val="0"/>
          <w:sz w:val="32"/>
          <w:szCs w:val="32"/>
        </w:rPr>
        <w:t>2017年“三公”经费预算15.30万元，比2016年预算减少2.10万元。其中：因公出国（境）费用0万元；公务用车购置费0万元；公务用车运行维护费5.50万元，比2016年预算无增减；公务接待费5.00万元，比2016年预算减少1.00万元；会议费4.80万元，比2016年预算减少1.10万元；“三公”经费减少的主要原因是严格控制“三公”经费支出，厉行节约。</w:t>
      </w:r>
      <w:bookmarkStart w:id="0" w:name="_GoBack"/>
      <w:bookmarkEnd w:id="0"/>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机关运行经费安排54.81万元，比上年减少1.96万元，下降3.45%，主要原因是会议费与公务接待费预算减少。其中：办公费8万元，水费0.55万元，电费10.8万元，邮电费5万元，会议费4.8万元，培训费1万元，公务接待费5万元，公务车运行维护费5.5万元，其他交通费用14.16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sz w:val="32"/>
          <w:szCs w:val="32"/>
          <w:lang w:val="en-US" w:eastAsia="zh-CN"/>
        </w:rPr>
        <w:t>截至2017年12月31日，本部门占有使用国有资产总体情况为：</w:t>
      </w:r>
      <w:r>
        <w:rPr>
          <w:rFonts w:hint="eastAsia" w:ascii="仿宋" w:hAnsi="仿宋" w:eastAsia="仿宋" w:cs="仿宋"/>
          <w:b w:val="0"/>
          <w:bCs w:val="0"/>
          <w:color w:val="auto"/>
          <w:sz w:val="32"/>
          <w:szCs w:val="32"/>
          <w:highlight w:val="none"/>
          <w:shd w:val="clear" w:color="auto" w:fill="auto"/>
          <w:lang w:val="en-US" w:eastAsia="zh-CN"/>
        </w:rPr>
        <w:t>占有使用车辆情况，共有车辆1辆，其中：一般公务用车1辆。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2017年，本部门无进行预算绩效考核。</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widowControl/>
        <w:spacing w:line="48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48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三公”经费：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Aharoni">
    <w:panose1 w:val="02010803020104030203"/>
    <w:charset w:val="00"/>
    <w:family w:val="auto"/>
    <w:pitch w:val="default"/>
    <w:sig w:usb0="00000801" w:usb1="00000000" w:usb2="00000000" w:usb3="00000000" w:csb0="00000020" w:csb1="002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urier New">
    <w:panose1 w:val="02070309020205020404"/>
    <w:charset w:val="00"/>
    <w:family w:val="auto"/>
    <w:pitch w:val="default"/>
    <w:sig w:usb0="E0002AFF" w:usb1="C0007843" w:usb2="00000009" w:usb3="00000000" w:csb0="400001FF" w:csb1="FFFF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61E3A"/>
    <w:rsid w:val="08BC57DF"/>
    <w:rsid w:val="0D743027"/>
    <w:rsid w:val="13016A31"/>
    <w:rsid w:val="163E6823"/>
    <w:rsid w:val="191D0055"/>
    <w:rsid w:val="20610CA6"/>
    <w:rsid w:val="20EE6A13"/>
    <w:rsid w:val="21EB609E"/>
    <w:rsid w:val="23366E8F"/>
    <w:rsid w:val="23701EE9"/>
    <w:rsid w:val="246A7796"/>
    <w:rsid w:val="24BE527A"/>
    <w:rsid w:val="2524732F"/>
    <w:rsid w:val="2DB973C7"/>
    <w:rsid w:val="2EAA5CA2"/>
    <w:rsid w:val="2FDD40E4"/>
    <w:rsid w:val="31B07415"/>
    <w:rsid w:val="334874A9"/>
    <w:rsid w:val="36E602DD"/>
    <w:rsid w:val="3A6B382E"/>
    <w:rsid w:val="3B824510"/>
    <w:rsid w:val="40D27B07"/>
    <w:rsid w:val="4769290F"/>
    <w:rsid w:val="4A430072"/>
    <w:rsid w:val="4AB161B1"/>
    <w:rsid w:val="4CC22C4C"/>
    <w:rsid w:val="50CB6A87"/>
    <w:rsid w:val="53E81DED"/>
    <w:rsid w:val="56A02D4C"/>
    <w:rsid w:val="57B45473"/>
    <w:rsid w:val="59016744"/>
    <w:rsid w:val="5B955AC3"/>
    <w:rsid w:val="5BB95E27"/>
    <w:rsid w:val="5D4C2BC2"/>
    <w:rsid w:val="5E003479"/>
    <w:rsid w:val="5EF01DA7"/>
    <w:rsid w:val="5F2B124E"/>
    <w:rsid w:val="60E37A9B"/>
    <w:rsid w:val="648E072B"/>
    <w:rsid w:val="64ED74D5"/>
    <w:rsid w:val="656A629F"/>
    <w:rsid w:val="66D06120"/>
    <w:rsid w:val="6C01691D"/>
    <w:rsid w:val="6D1743AD"/>
    <w:rsid w:val="6D9B07DA"/>
    <w:rsid w:val="71082036"/>
    <w:rsid w:val="749E57FF"/>
    <w:rsid w:val="753D7AB9"/>
    <w:rsid w:val="764C3B09"/>
    <w:rsid w:val="7A3D118F"/>
    <w:rsid w:val="7E760379"/>
    <w:rsid w:val="7F77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