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4"/>
          <w:szCs w:val="44"/>
        </w:rPr>
      </w:pPr>
      <w:r>
        <w:rPr>
          <w:rFonts w:hint="eastAsia" w:ascii="黑体" w:hAnsi="黑体" w:eastAsia="黑体" w:cs="方正小标宋简体"/>
          <w:sz w:val="44"/>
          <w:szCs w:val="44"/>
        </w:rPr>
        <w:t>2017年山塘镇人力资源和社会保障服务所部门预算情况说明</w:t>
      </w:r>
    </w:p>
    <w:p>
      <w:pPr>
        <w:jc w:val="center"/>
        <w:rPr>
          <w:rFonts w:ascii="方正小标宋简体" w:hAnsi="方正小标宋简体" w:eastAsia="方正小标宋简体" w:cs="方正小标宋简体"/>
          <w:sz w:val="44"/>
          <w:szCs w:val="44"/>
        </w:rPr>
      </w:pPr>
    </w:p>
    <w:p>
      <w:pPr>
        <w:numPr>
          <w:ilvl w:val="0"/>
          <w:numId w:val="1"/>
        </w:numPr>
        <w:ind w:firstLine="1134"/>
        <w:rPr>
          <w:rFonts w:hint="eastAsia" w:ascii="仿宋_GB2312" w:hAnsi="黑体" w:eastAsia="仿宋_GB2312" w:cs="黑体"/>
          <w:b/>
          <w:sz w:val="32"/>
          <w:szCs w:val="32"/>
        </w:rPr>
      </w:pPr>
      <w:r>
        <w:rPr>
          <w:rFonts w:hint="eastAsia" w:ascii="仿宋_GB2312" w:hAnsi="黑体" w:eastAsia="仿宋_GB2312" w:cs="黑体"/>
          <w:b/>
          <w:sz w:val="32"/>
          <w:szCs w:val="32"/>
        </w:rPr>
        <w:t>部门主要职责</w:t>
      </w:r>
    </w:p>
    <w:p>
      <w:pPr>
        <w:pStyle w:val="7"/>
        <w:spacing w:line="560" w:lineRule="exact"/>
        <w:ind w:left="420"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（一）宣传和贯彻执行国家有关劳动保障法律法规，组织开展各项劳动</w:t>
      </w:r>
      <w:bookmarkStart w:id="0" w:name="_GoBack"/>
      <w:bookmarkEnd w:id="0"/>
      <w:r>
        <w:rPr>
          <w:rFonts w:hint="eastAsia" w:ascii="仿宋_GB2312" w:hAnsi="Calibri" w:eastAsia="仿宋_GB2312" w:cs="Times New Roman"/>
          <w:sz w:val="32"/>
          <w:szCs w:val="32"/>
        </w:rPr>
        <w:t>和社会保障服务工作。</w:t>
      </w:r>
    </w:p>
    <w:p>
      <w:pPr>
        <w:pStyle w:val="7"/>
        <w:spacing w:line="560" w:lineRule="exact"/>
        <w:ind w:left="420"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（二）建立健全农村劳动力，外出就业人员档案，组织开展就业指导，落实再就业优惠政策，为返乡创业和下岗失业人员提供再就业服务。</w:t>
      </w:r>
    </w:p>
    <w:p>
      <w:pPr>
        <w:pStyle w:val="7"/>
        <w:spacing w:line="560" w:lineRule="exact"/>
        <w:ind w:left="420"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（三）协调指导企业开展职工职业技能培训，督促、指导用人单位与职工签订劳动合同，监督用人单位执行最低工资保障制度和工资支付制度。</w:t>
      </w:r>
    </w:p>
    <w:p>
      <w:pPr>
        <w:pStyle w:val="7"/>
        <w:spacing w:line="560" w:lineRule="exact"/>
        <w:ind w:left="420"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（四）协调县社保部门开展各项社会保险费的征缴及稽核工作，开展城乡居民医疗保险参保人员日常增减变动、数据统计和管理工作。</w:t>
      </w:r>
    </w:p>
    <w:p>
      <w:pPr>
        <w:pStyle w:val="7"/>
        <w:spacing w:line="560" w:lineRule="exact"/>
        <w:ind w:left="420"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（五）协助上级劳动保障监察部门开展劳动保障监察工作，组织开展有关劳动保障政策法规等咨询服务，协调处理辖区内各类劳动 争议纠纷。</w:t>
      </w:r>
    </w:p>
    <w:p>
      <w:pPr>
        <w:pStyle w:val="7"/>
        <w:spacing w:line="560" w:lineRule="exact"/>
        <w:ind w:left="420"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（六）承办镇委、镇政府以及上级业务部门交办的其他工作。</w:t>
      </w:r>
    </w:p>
    <w:p>
      <w:pPr>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二、机构人员设置情况</w:t>
      </w:r>
    </w:p>
    <w:p>
      <w:pPr>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本单位为财政补助拨款事业单位，事业编制3人，2017年12月底本部门在职在编人数3人。</w:t>
      </w:r>
    </w:p>
    <w:p>
      <w:pPr>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三、部门预算收支增减变化情况</w:t>
      </w:r>
    </w:p>
    <w:p>
      <w:pPr>
        <w:ind w:firstLine="640" w:firstLineChars="200"/>
        <w:rPr>
          <w:rFonts w:hint="eastAsia" w:ascii="仿宋_GB2312" w:hAnsi="黑体" w:eastAsia="仿宋_GB2312" w:cs="黑体"/>
          <w:sz w:val="32"/>
          <w:szCs w:val="32"/>
        </w:rPr>
      </w:pPr>
      <w:r>
        <w:rPr>
          <w:rFonts w:hint="eastAsia" w:ascii="仿宋_GB2312" w:hAnsi="仿宋_GB2312" w:eastAsia="仿宋_GB2312" w:cs="仿宋_GB2312"/>
          <w:sz w:val="32"/>
          <w:szCs w:val="32"/>
        </w:rPr>
        <w:t>2017年本部门收入预算31.17万元，比上年增加5.82万元，增长22.96%，主要原因是2017年提高了人员经费标准。支出预算31.17万元，比上年增加5.82万元，增长22.96%，主要原因是2017年提高了人员经费的标准，工资福利支出增加。</w:t>
      </w:r>
    </w:p>
    <w:p>
      <w:pPr>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四、“三公”经费安排情况说明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2017年本部门“三公”经费预算安排0万元，与上年保持不变。</w:t>
      </w:r>
    </w:p>
    <w:p>
      <w:pPr>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五、机关运行经费安排情况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2018年，本部门机关运行经费安排2.4万元，与上年保持不变。其中：办公费1万元，印刷费2，邮电费0.3万元，办公用房水电费0.8万元等。</w:t>
      </w:r>
    </w:p>
    <w:p>
      <w:pPr>
        <w:pStyle w:val="7"/>
        <w:numPr>
          <w:ilvl w:val="0"/>
          <w:numId w:val="2"/>
        </w:numPr>
        <w:ind w:firstLineChars="0"/>
        <w:rPr>
          <w:rFonts w:hint="eastAsia" w:ascii="仿宋_GB2312" w:hAnsi="黑体" w:eastAsia="仿宋_GB2312" w:cs="黑体"/>
          <w:b/>
          <w:sz w:val="32"/>
          <w:szCs w:val="32"/>
        </w:rPr>
      </w:pPr>
      <w:r>
        <w:rPr>
          <w:rFonts w:hint="eastAsia" w:ascii="仿宋_GB2312" w:hAnsi="黑体" w:eastAsia="仿宋_GB2312" w:cs="黑体"/>
          <w:b/>
          <w:sz w:val="32"/>
          <w:szCs w:val="32"/>
        </w:rPr>
        <w:t>政府采购情况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2017年本部门未安排政府采购预算。</w:t>
      </w:r>
    </w:p>
    <w:p>
      <w:pPr>
        <w:pStyle w:val="7"/>
        <w:numPr>
          <w:ilvl w:val="0"/>
          <w:numId w:val="2"/>
        </w:numPr>
        <w:ind w:firstLineChars="0"/>
        <w:rPr>
          <w:rFonts w:hint="eastAsia" w:ascii="仿宋_GB2312" w:hAnsi="黑体" w:eastAsia="仿宋_GB2312" w:cs="黑体"/>
          <w:b/>
          <w:sz w:val="32"/>
          <w:szCs w:val="32"/>
        </w:rPr>
      </w:pPr>
      <w:r>
        <w:rPr>
          <w:rFonts w:hint="eastAsia" w:ascii="仿宋_GB2312" w:hAnsi="黑体" w:eastAsia="仿宋_GB2312" w:cs="黑体"/>
          <w:b/>
          <w:sz w:val="32"/>
          <w:szCs w:val="32"/>
        </w:rPr>
        <w:t>预算绩效信息公开情况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2017年，本部门尚未安排预算绩效评价等工作。</w:t>
      </w:r>
    </w:p>
    <w:p>
      <w:pPr>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八、名词解释</w:t>
      </w:r>
    </w:p>
    <w:p>
      <w:pPr>
        <w:spacing w:line="288"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（一）财政拨款收入：指财政当年拨付的资金事业收入。</w:t>
      </w:r>
    </w:p>
    <w:p>
      <w:pPr>
        <w:spacing w:line="288" w:lineRule="auto"/>
        <w:ind w:left="1"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（二）事业收入：指事业单位开展专业业务活动及辅动所取得的收入。</w:t>
      </w:r>
    </w:p>
    <w:p>
      <w:pPr>
        <w:spacing w:line="288" w:lineRule="auto"/>
        <w:ind w:left="1"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（三）经营收入：指事业单位在专业业务活动及其辅助活动之外开展非独立核算经营活动取得的收入。</w:t>
      </w:r>
    </w:p>
    <w:p>
      <w:pPr>
        <w:ind w:firstLine="640" w:firstLineChars="200"/>
        <w:rPr>
          <w:rFonts w:hint="eastAsia" w:ascii="仿宋_GB2312" w:hAnsi="楷体_GB2312" w:eastAsia="仿宋_GB2312" w:cs="楷体_GB2312"/>
          <w:sz w:val="32"/>
          <w:szCs w:val="32"/>
        </w:rPr>
      </w:pPr>
      <w:r>
        <w:rPr>
          <w:rFonts w:hint="eastAsia" w:ascii="仿宋_GB2312" w:hAnsi="Calibri" w:eastAsia="仿宋_GB2312" w:cs="Times New Roman"/>
          <w:sz w:val="32"/>
          <w:szCs w:val="32"/>
        </w:rPr>
        <w:t>（四）其他收入：指除上述“财政拨款收入”、“事业收入”、“经营收入”等以外的收入。主要是非本级财政拨款、存款利息收入、事业单位固定资产出租收入等。</w:t>
      </w:r>
    </w:p>
    <w:p>
      <w:pPr>
        <w:spacing w:line="288" w:lineRule="auto"/>
        <w:ind w:left="1" w:firstLine="640" w:firstLineChars="200"/>
        <w:rPr>
          <w:rFonts w:hint="eastAsia" w:ascii="仿宋_GB2312" w:hAnsi="宋体" w:eastAsia="仿宋_GB2312" w:cs="宋体"/>
          <w:kern w:val="0"/>
          <w:sz w:val="32"/>
          <w:szCs w:val="32"/>
        </w:rPr>
      </w:pPr>
      <w:r>
        <w:rPr>
          <w:rFonts w:hint="eastAsia" w:ascii="仿宋_GB2312" w:hAnsi="Calibri" w:eastAsia="仿宋_GB2312" w:cs="Times New Roman"/>
          <w:sz w:val="32"/>
          <w:szCs w:val="32"/>
        </w:rPr>
        <w:t>（五）“三公”经费：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firstLine="640" w:firstLineChars="200"/>
        <w:rPr>
          <w:rFonts w:hint="eastAsia" w:ascii="仿宋_GB2312" w:eastAsia="仿宋_GB2312"/>
          <w:sz w:val="32"/>
          <w:szCs w:val="32"/>
        </w:rPr>
      </w:pPr>
      <w:r>
        <w:rPr>
          <w:rFonts w:hint="eastAsia" w:ascii="仿宋_GB2312" w:hAnsi="Calibri" w:eastAsia="仿宋_GB2312" w:cs="Times New Roman"/>
          <w:sz w:val="32"/>
          <w:szCs w:val="32"/>
        </w:rPr>
        <w:t>（六）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A51"/>
    <w:multiLevelType w:val="singleLevel"/>
    <w:tmpl w:val="5A5F2A51"/>
    <w:lvl w:ilvl="0" w:tentative="0">
      <w:start w:val="1"/>
      <w:numFmt w:val="chineseCounting"/>
      <w:suff w:val="nothing"/>
      <w:lvlText w:val="%1、"/>
      <w:lvlJc w:val="left"/>
    </w:lvl>
  </w:abstractNum>
  <w:abstractNum w:abstractNumId="1">
    <w:nsid w:val="73ED23CE"/>
    <w:multiLevelType w:val="multilevel"/>
    <w:tmpl w:val="73ED23CE"/>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YDNjgKcJpD+HEP3SRSmLiBzLE1c=" w:salt="I6+K5/rMEl6q7tqbjkZp8g=="/>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00E4"/>
    <w:rsid w:val="00005122"/>
    <w:rsid w:val="000145A8"/>
    <w:rsid w:val="00057633"/>
    <w:rsid w:val="00086BDB"/>
    <w:rsid w:val="00096E31"/>
    <w:rsid w:val="000C35C3"/>
    <w:rsid w:val="00124317"/>
    <w:rsid w:val="001630DC"/>
    <w:rsid w:val="00171B09"/>
    <w:rsid w:val="00191DD0"/>
    <w:rsid w:val="001D20B7"/>
    <w:rsid w:val="001F10A4"/>
    <w:rsid w:val="001F1686"/>
    <w:rsid w:val="00255F03"/>
    <w:rsid w:val="002976C8"/>
    <w:rsid w:val="003102BA"/>
    <w:rsid w:val="00326D89"/>
    <w:rsid w:val="003369C4"/>
    <w:rsid w:val="00367817"/>
    <w:rsid w:val="003A1013"/>
    <w:rsid w:val="00446B19"/>
    <w:rsid w:val="00464D10"/>
    <w:rsid w:val="004913C6"/>
    <w:rsid w:val="004B30AB"/>
    <w:rsid w:val="004D4B09"/>
    <w:rsid w:val="005044A1"/>
    <w:rsid w:val="00511532"/>
    <w:rsid w:val="00651B30"/>
    <w:rsid w:val="00675236"/>
    <w:rsid w:val="007E4EBC"/>
    <w:rsid w:val="008A6BFB"/>
    <w:rsid w:val="009000E4"/>
    <w:rsid w:val="009333FD"/>
    <w:rsid w:val="00965688"/>
    <w:rsid w:val="0098668C"/>
    <w:rsid w:val="009F0572"/>
    <w:rsid w:val="009F16B5"/>
    <w:rsid w:val="00A40F1E"/>
    <w:rsid w:val="00BD411A"/>
    <w:rsid w:val="00BE0E4F"/>
    <w:rsid w:val="00C10821"/>
    <w:rsid w:val="00C42C16"/>
    <w:rsid w:val="00C6744E"/>
    <w:rsid w:val="00CC2314"/>
    <w:rsid w:val="00D66640"/>
    <w:rsid w:val="00DF1BBB"/>
    <w:rsid w:val="00E44852"/>
    <w:rsid w:val="00E774FF"/>
    <w:rsid w:val="00E87E80"/>
    <w:rsid w:val="00EB2EBD"/>
    <w:rsid w:val="00EE0337"/>
    <w:rsid w:val="00F33CCC"/>
    <w:rsid w:val="00FC3EF8"/>
    <w:rsid w:val="13016A31"/>
    <w:rsid w:val="20EE6A13"/>
    <w:rsid w:val="36E602DD"/>
    <w:rsid w:val="50CB6A87"/>
    <w:rsid w:val="60E37A9B"/>
    <w:rsid w:val="66D06120"/>
    <w:rsid w:val="6D9B07DA"/>
    <w:rsid w:val="7153514E"/>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5"/>
    <w:link w:val="2"/>
    <w:uiPriority w:val="0"/>
    <w:rPr>
      <w:rFonts w:asciiTheme="minorHAnsi" w:hAnsiTheme="minorHAnsi" w:eastAsiaTheme="minorEastAsia" w:cstheme="minorBidi"/>
      <w:kern w:val="2"/>
      <w:sz w:val="18"/>
      <w:szCs w:val="18"/>
    </w:r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1115</Characters>
  <Lines>9</Lines>
  <Paragraphs>2</Paragraphs>
  <TotalTime>0</TotalTime>
  <ScaleCrop>false</ScaleCrop>
  <LinksUpToDate>false</LinksUpToDate>
  <CharactersWithSpaces>1308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地平线</cp:lastModifiedBy>
  <cp:lastPrinted>2018-02-09T07:39:00Z</cp:lastPrinted>
  <dcterms:modified xsi:type="dcterms:W3CDTF">2018-04-09T04:31:20Z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