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2016年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清新区水政监察大队部门预算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清新区水政监察大队概况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2016年部门预算表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2016年部门预算情况说明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清新区水政监察大队概况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1、承担全水政监察管理及水利规费的征收工作。</w:t>
      </w:r>
    </w:p>
    <w:p>
      <w:p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2、组织开展水监察巡查，保护水资源、水工程防汛设施安全，参与查处违法水事案件，维护正常水事秩序。</w:t>
      </w:r>
    </w:p>
    <w:p>
      <w:p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3、承担全区河道采砂的统一管理和监督检查，部署打击违法采砂工作，组织协调依法打击非法采砂工作。</w:t>
      </w:r>
    </w:p>
    <w:p>
      <w:p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4、协调全区三防办开展江河、河道防汛清障工作，确保安全，配合市水政监察支队做好水政监察工作。</w:t>
      </w:r>
    </w:p>
    <w:p>
      <w:pPr>
        <w:snapToGrid w:val="0"/>
        <w:spacing w:line="560" w:lineRule="exact"/>
        <w:ind w:firstLine="60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rPr>
        <w:t>5、承办上级业务主管部门交办的其它工作。</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spacing w:line="288"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（一）本部门无下属单位，部门预算为清新区水政监察大队本级预算，</w:t>
      </w:r>
      <w:r>
        <w:rPr>
          <w:rFonts w:hint="eastAsia" w:ascii="仿宋_GB2312" w:hAnsi="仿宋_GB2312" w:eastAsia="仿宋_GB2312" w:cs="仿宋_GB2312"/>
          <w:color w:val="auto"/>
          <w:sz w:val="32"/>
          <w:szCs w:val="32"/>
          <w:lang w:val="en-US" w:eastAsia="zh-CN"/>
        </w:rPr>
        <w:t>本部门隶属于清新区水务局，是独立的二级预算单位，没有下属单位，</w:t>
      </w:r>
      <w:r>
        <w:rPr>
          <w:rFonts w:hint="eastAsia" w:ascii="仿宋_GB2312" w:eastAsia="仿宋_GB2312"/>
          <w:sz w:val="32"/>
          <w:szCs w:val="32"/>
          <w:lang w:eastAsia="zh-CN"/>
        </w:rPr>
        <w:t>本级预算和所属单位预算在内的汇总预算已做到最末级。</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（二）本部门内设机构、人员构成情况：本部门内设水政监察大队办公室；本单位共有8人，在职编制人员8人。</w:t>
      </w:r>
    </w:p>
    <w:p>
      <w:pPr>
        <w:ind w:firstLine="640"/>
        <w:jc w:val="left"/>
        <w:rPr>
          <w:rFonts w:hint="eastAsia" w:ascii="仿宋_GB2312" w:hAnsi="仿宋_GB2312" w:eastAsia="仿宋_GB2312" w:cs="仿宋_GB2312"/>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2016年部门预算表</w:t>
      </w:r>
    </w:p>
    <w:p>
      <w:pPr>
        <w:ind w:firstLine="640" w:firstLineChars="200"/>
        <w:jc w:val="left"/>
        <w:rPr>
          <w:rFonts w:hint="eastAsia" w:ascii="仿宋_GB2312" w:hAnsi="仿宋_GB2312" w:eastAsia="仿宋_GB2312" w:cs="仿宋_GB2312"/>
          <w:sz w:val="32"/>
          <w:szCs w:val="32"/>
          <w:highlight w:val="lightGray"/>
          <w:lang w:val="en-US" w:eastAsia="zh-CN"/>
        </w:rPr>
      </w:pPr>
      <w:r>
        <w:rPr>
          <w:rFonts w:hint="eastAsia" w:ascii="仿宋_GB2312" w:hAnsi="仿宋_GB2312" w:eastAsia="仿宋_GB2312" w:cs="仿宋_GB2312"/>
          <w:sz w:val="32"/>
          <w:szCs w:val="32"/>
          <w:highlight w:val="lightGray"/>
          <w:lang w:val="en-US" w:eastAsia="zh-CN"/>
        </w:rPr>
        <w:t>（</w:t>
      </w:r>
      <w:r>
        <w:rPr>
          <w:rFonts w:hint="eastAsia" w:ascii="楷体_GB2312" w:hAnsi="楷体_GB2312" w:eastAsia="楷体_GB2312" w:cs="楷体_GB2312"/>
          <w:b/>
          <w:bCs/>
          <w:i w:val="0"/>
          <w:iCs w:val="0"/>
          <w:sz w:val="32"/>
          <w:szCs w:val="32"/>
          <w:highlight w:val="lightGray"/>
          <w:u w:val="none"/>
          <w:lang w:val="en-US" w:eastAsia="zh-CN"/>
        </w:rPr>
        <w:t>说明</w:t>
      </w:r>
      <w:r>
        <w:rPr>
          <w:rFonts w:hint="eastAsia" w:ascii="楷体_GB2312" w:hAnsi="楷体_GB2312" w:eastAsia="楷体_GB2312" w:cs="楷体_GB2312"/>
          <w:b w:val="0"/>
          <w:bCs w:val="0"/>
          <w:i w:val="0"/>
          <w:iCs w:val="0"/>
          <w:sz w:val="32"/>
          <w:szCs w:val="32"/>
          <w:highlight w:val="lightGray"/>
          <w:u w:val="none"/>
          <w:lang w:val="en-US" w:eastAsia="zh-CN"/>
        </w:rPr>
        <w:t>：以下为表样，具体按本级财政部门批复各部门的表格公开。财预</w:t>
      </w:r>
      <w:r>
        <w:rPr>
          <w:rFonts w:hint="eastAsia" w:ascii="仿宋_GB2312" w:hAnsi="仿宋_GB2312" w:eastAsia="仿宋_GB2312" w:cs="仿宋_GB2312"/>
          <w:b w:val="0"/>
          <w:bCs w:val="0"/>
          <w:i w:val="0"/>
          <w:iCs w:val="0"/>
          <w:sz w:val="32"/>
          <w:szCs w:val="32"/>
          <w:highlight w:val="lightGray"/>
          <w:u w:val="none"/>
          <w:lang w:val="en-US" w:eastAsia="zh-CN"/>
        </w:rPr>
        <w:t>〔2016〕143号文要求至少应公开的8张表必须编制并公开，绩效目标必须有所体现并公开。</w:t>
      </w:r>
      <w:r>
        <w:rPr>
          <w:rFonts w:hint="eastAsia" w:ascii="楷体_GB2312" w:hAnsi="楷体_GB2312" w:eastAsia="楷体_GB2312" w:cs="楷体_GB2312"/>
          <w:b w:val="0"/>
          <w:bCs w:val="0"/>
          <w:i w:val="0"/>
          <w:iCs w:val="0"/>
          <w:sz w:val="32"/>
          <w:szCs w:val="32"/>
          <w:highlight w:val="lightGray"/>
          <w:u w:val="none"/>
          <w:lang w:val="en-US" w:eastAsia="zh-CN"/>
        </w:rPr>
        <w:t>必须公开表中如有表格无数据，也应以空表公开，并备注说明，如表9</w:t>
      </w:r>
      <w:r>
        <w:rPr>
          <w:rFonts w:hint="eastAsia" w:ascii="仿宋_GB2312" w:hAnsi="仿宋_GB2312" w:eastAsia="仿宋_GB2312" w:cs="仿宋_GB2312"/>
          <w:sz w:val="32"/>
          <w:szCs w:val="32"/>
          <w:highlight w:val="lightGray"/>
          <w:lang w:val="en-US" w:eastAsia="zh-CN"/>
        </w:rPr>
        <w:t>）</w:t>
      </w:r>
    </w:p>
    <w:p>
      <w:pPr>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表格另行公开于：http://zwgk.qingxin.gov.cn/info/119525</w:t>
      </w:r>
    </w:p>
    <w:p>
      <w:pPr>
        <w:jc w:val="both"/>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2016年部门预算情况说明</w:t>
      </w:r>
    </w:p>
    <w:p>
      <w:pPr>
        <w:numPr>
          <w:ilvl w:val="0"/>
          <w:numId w:val="0"/>
        </w:numPr>
        <w:ind w:firstLine="640"/>
        <w:jc w:val="both"/>
        <w:rPr>
          <w:rFonts w:hint="eastAsia"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sz w:val="32"/>
          <w:szCs w:val="32"/>
          <w:highlight w:val="lightGray"/>
          <w:lang w:val="en-US" w:eastAsia="zh-CN"/>
        </w:rPr>
        <w:t>：在以下必须公开的基本说明基础上，可根据本部门情况加以细化说明）</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2016年本部门收入预算103.68万元，比上年增加23.81万元，增长28.91%，主要原因是财政拨款收入增加。支出预算103.68万元，比上年增加23.81万元，增长28.91%，主要原因是财政拨款收入增加。</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2016年本部门“三公”经费预算安排2.42万元，与上年保持不变。其中：因公出国（境）费0万元，与上年保持不变；公务用车购置及运行费0.92万元，与上年保持不变；公务接待费1.5万元，与上年保持不变。</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本部门机关运行经费安排12.7万元，比上年增加5.5万元，增长76.39%，主要原因是车辆经费增加了5.5万元。其中：办公费1.5万元，印刷费0.1万元，邮电费0.1万元，差旅费0.3万元，会议费0万元，培训费0.1万元，福利费0万元，日常维修费0万元，专用材料及一般设备购置费0.5万元，办公用房水电费0万元，办公用房取暖费0万元，办公用房物业管理费0万元，公务用车运行维护费0.92，公务接待费1.5万元、其他商品和服务支出5.04万元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2016年本部门政府采购安排0万元，其中：货物类采购预算0万元，工程类采购预算0万元，服务类采购预算0万元等。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eastAsia="仿宋_GB2312"/>
          <w:sz w:val="32"/>
          <w:szCs w:val="32"/>
        </w:rPr>
        <w:t>截至201</w:t>
      </w:r>
      <w:r>
        <w:rPr>
          <w:rFonts w:hint="eastAsia" w:ascii="仿宋_GB2312" w:eastAsia="仿宋_GB2312"/>
          <w:sz w:val="32"/>
          <w:szCs w:val="32"/>
          <w:lang w:val="en-US" w:eastAsia="zh-CN"/>
        </w:rPr>
        <w:t>6</w:t>
      </w:r>
      <w:r>
        <w:rPr>
          <w:rFonts w:hint="eastAsia" w:ascii="仿宋_GB2312" w:eastAsia="仿宋_GB2312"/>
          <w:sz w:val="32"/>
          <w:szCs w:val="32"/>
        </w:rPr>
        <w:t>年12月31日，本部门共有车辆</w:t>
      </w:r>
      <w:r>
        <w:rPr>
          <w:rFonts w:hint="eastAsia" w:ascii="仿宋_GB2312" w:eastAsia="仿宋_GB2312"/>
          <w:sz w:val="32"/>
          <w:szCs w:val="32"/>
          <w:lang w:val="en-US" w:eastAsia="zh-CN"/>
        </w:rPr>
        <w:t>1</w:t>
      </w:r>
      <w:r>
        <w:rPr>
          <w:rFonts w:hint="eastAsia" w:ascii="仿宋_GB2312" w:eastAsia="仿宋_GB2312"/>
          <w:sz w:val="32"/>
          <w:szCs w:val="32"/>
        </w:rPr>
        <w:t>辆，一般执法执勤用车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hAnsi="宋体" w:eastAsia="仿宋_GB2312" w:cs="宋体"/>
          <w:b w:val="0"/>
          <w:bCs/>
          <w:kern w:val="0"/>
          <w:sz w:val="32"/>
          <w:szCs w:val="32"/>
        </w:rPr>
        <w:t>单位价值</w:t>
      </w:r>
      <w:r>
        <w:rPr>
          <w:rFonts w:ascii="仿宋_GB2312" w:hAnsi="宋体" w:eastAsia="仿宋_GB2312" w:cs="宋体"/>
          <w:b w:val="0"/>
          <w:bCs/>
          <w:kern w:val="0"/>
          <w:sz w:val="32"/>
          <w:szCs w:val="32"/>
        </w:rPr>
        <w:t>50万元以上通用设备</w:t>
      </w:r>
      <w:r>
        <w:rPr>
          <w:rFonts w:hint="eastAsia" w:ascii="仿宋_GB2312" w:hAnsi="宋体" w:eastAsia="仿宋_GB2312" w:cs="宋体"/>
          <w:b w:val="0"/>
          <w:bCs/>
          <w:kern w:val="0"/>
          <w:sz w:val="32"/>
          <w:szCs w:val="32"/>
          <w:lang w:val="en-US" w:eastAsia="zh-CN"/>
        </w:rPr>
        <w:t>0</w:t>
      </w:r>
      <w:r>
        <w:rPr>
          <w:rFonts w:hint="eastAsia" w:ascii="仿宋_GB2312" w:hAnsi="宋体" w:eastAsia="仿宋_GB2312" w:cs="宋体"/>
          <w:b w:val="0"/>
          <w:bCs/>
          <w:kern w:val="0"/>
          <w:sz w:val="32"/>
          <w:szCs w:val="32"/>
        </w:rPr>
        <w:t>台（套），单价</w:t>
      </w:r>
      <w:r>
        <w:rPr>
          <w:rFonts w:ascii="仿宋_GB2312" w:hAnsi="宋体" w:eastAsia="仿宋_GB2312" w:cs="宋体"/>
          <w:b w:val="0"/>
          <w:bCs/>
          <w:kern w:val="0"/>
          <w:sz w:val="32"/>
          <w:szCs w:val="32"/>
        </w:rPr>
        <w:t>100万元以上专用设备</w:t>
      </w:r>
      <w:r>
        <w:rPr>
          <w:rFonts w:hint="eastAsia" w:ascii="仿宋_GB2312" w:hAnsi="宋体" w:eastAsia="仿宋_GB2312" w:cs="宋体"/>
          <w:b w:val="0"/>
          <w:bCs/>
          <w:kern w:val="0"/>
          <w:sz w:val="32"/>
          <w:szCs w:val="32"/>
          <w:lang w:val="en-US" w:eastAsia="zh-CN"/>
        </w:rPr>
        <w:t>0</w:t>
      </w:r>
      <w:r>
        <w:rPr>
          <w:rFonts w:hint="eastAsia" w:ascii="仿宋_GB2312" w:hAnsi="宋体" w:eastAsia="仿宋_GB2312" w:cs="宋体"/>
          <w:b w:val="0"/>
          <w:bCs/>
          <w:kern w:val="0"/>
          <w:sz w:val="32"/>
          <w:szCs w:val="32"/>
        </w:rPr>
        <w:t>台（套）</w:t>
      </w:r>
      <w:r>
        <w:rPr>
          <w:rFonts w:hint="eastAsia" w:ascii="仿宋_GB2312" w:hAnsi="仿宋_GB2312" w:eastAsia="仿宋_GB2312" w:cs="仿宋_GB2312"/>
          <w:sz w:val="32"/>
          <w:szCs w:val="32"/>
          <w:lang w:val="en-US" w:eastAsia="zh-CN"/>
        </w:rPr>
        <w:t>。</w:t>
      </w:r>
    </w:p>
    <w:p>
      <w:pPr>
        <w:numPr>
          <w:ilvl w:val="0"/>
          <w:numId w:val="0"/>
        </w:numPr>
        <w:ind w:firstLine="640"/>
        <w:jc w:val="both"/>
        <w:rPr>
          <w:rFonts w:hint="eastAsia" w:ascii="楷体_GB2312" w:hAnsi="楷体_GB2312" w:eastAsia="楷体_GB2312" w:cs="楷体_GB2312"/>
          <w:b w:val="0"/>
          <w:bCs w:val="0"/>
          <w:sz w:val="32"/>
          <w:szCs w:val="32"/>
          <w:highlight w:val="lightGray"/>
          <w:lang w:val="en-US" w:eastAsia="zh-CN"/>
        </w:rPr>
      </w:pPr>
      <w:r>
        <w:rPr>
          <w:rFonts w:hint="eastAsia" w:ascii="楷体_GB2312" w:hAnsi="楷体_GB2312" w:eastAsia="楷体_GB2312" w:cs="楷体_GB2312"/>
          <w:b w:val="0"/>
          <w:bCs w:val="0"/>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b w:val="0"/>
          <w:bCs w:val="0"/>
          <w:sz w:val="32"/>
          <w:szCs w:val="32"/>
          <w:highlight w:val="lightGray"/>
          <w:lang w:val="en-US" w:eastAsia="zh-CN"/>
        </w:rPr>
        <w:t>：本项为推进性公开工作，可结合本部门实际情况，选取基础资料完备、公开条件成熟的资产项目探索公开。如占有使用车辆情况，共有车辆**辆，其中：领导干部用车*辆，一般公务用车*辆等，**年预计购置/报废*辆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2016年，本部门没有推进预算绩效信息公开的有关工作。</w:t>
      </w:r>
    </w:p>
    <w:p>
      <w:pPr>
        <w:numPr>
          <w:ilvl w:val="0"/>
          <w:numId w:val="0"/>
        </w:numPr>
        <w:ind w:firstLine="640"/>
        <w:jc w:val="both"/>
        <w:rPr>
          <w:rFonts w:hint="eastAsia"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b w:val="0"/>
          <w:bCs w:val="0"/>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b w:val="0"/>
          <w:bCs w:val="0"/>
          <w:sz w:val="32"/>
          <w:szCs w:val="32"/>
          <w:highlight w:val="lightGray"/>
          <w:lang w:val="en-US" w:eastAsia="zh-CN"/>
        </w:rPr>
        <w:t>：本项为推进性公开工作，可结合本部门实际情况简要介绍。如项目绩效目标覆盖率**；对比上年推进**工作等。）</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ind w:firstLine="640" w:firstLineChars="200"/>
        <w:jc w:val="left"/>
        <w:rPr>
          <w:rFonts w:hint="eastAsia" w:ascii="楷体_GB2312" w:hAnsi="楷体_GB2312" w:eastAsia="楷体_GB2312" w:cs="楷体_GB2312"/>
          <w:sz w:val="32"/>
          <w:szCs w:val="32"/>
          <w:highlight w:val="lightGray"/>
          <w:lang w:val="en-US" w:eastAsia="zh-CN"/>
        </w:rPr>
      </w:pP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sz w:val="32"/>
          <w:szCs w:val="32"/>
          <w:highlight w:val="lightGray"/>
          <w:lang w:val="en-US" w:eastAsia="zh-CN"/>
        </w:rPr>
        <w:t>：本项为必须公开内容，可解释本部门预算特有的较为专业的名词，或是财政预算编制方面名词。）</w:t>
      </w:r>
    </w:p>
    <w:p>
      <w:pPr>
        <w:numPr>
          <w:ilvl w:val="0"/>
          <w:numId w:val="5"/>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ind w:firstLine="640" w:firstLineChars="200"/>
        <w:jc w:val="left"/>
        <w:rPr>
          <w:rFonts w:hint="eastAsia" w:ascii="仿宋_GB2312" w:hAnsi="仿宋_GB2312" w:eastAsia="仿宋_GB2312" w:cs="仿宋_GB2312"/>
          <w:sz w:val="32"/>
          <w:szCs w:val="32"/>
          <w:highlight w:val="none"/>
          <w:lang w:val="en-US" w:eastAsia="zh-CN"/>
        </w:rPr>
      </w:pPr>
    </w:p>
    <w:p>
      <w:pPr>
        <w:ind w:firstLine="640" w:firstLineChars="200"/>
        <w:jc w:val="left"/>
        <w:rPr>
          <w:rFonts w:hint="eastAsia" w:ascii="仿宋_GB2312" w:hAnsi="仿宋_GB2312" w:eastAsia="仿宋_GB2312" w:cs="仿宋_GB2312"/>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50C1"/>
    <w:multiLevelType w:val="singleLevel"/>
    <w:tmpl w:val="5A5F50C1"/>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85713"/>
    <w:rsid w:val="0DB000B4"/>
    <w:rsid w:val="13016A31"/>
    <w:rsid w:val="181F6196"/>
    <w:rsid w:val="19BA1E2D"/>
    <w:rsid w:val="1C8F6C2D"/>
    <w:rsid w:val="1D615E34"/>
    <w:rsid w:val="20EE6A13"/>
    <w:rsid w:val="20F05CCD"/>
    <w:rsid w:val="21031DCE"/>
    <w:rsid w:val="21F630D1"/>
    <w:rsid w:val="2FFC754A"/>
    <w:rsid w:val="36E602DD"/>
    <w:rsid w:val="405007B3"/>
    <w:rsid w:val="40D70ED6"/>
    <w:rsid w:val="4A5A31A7"/>
    <w:rsid w:val="50CB6A87"/>
    <w:rsid w:val="546800A8"/>
    <w:rsid w:val="60E37A9B"/>
    <w:rsid w:val="60ED55FB"/>
    <w:rsid w:val="66D06120"/>
    <w:rsid w:val="66E77E47"/>
    <w:rsid w:val="6D9B07DA"/>
    <w:rsid w:val="713C596A"/>
    <w:rsid w:val="7691658E"/>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Administrator</cp:lastModifiedBy>
  <cp:lastPrinted>2018-09-12T08:48:05Z</cp:lastPrinted>
  <dcterms:modified xsi:type="dcterms:W3CDTF">2018-09-12T08:54:02Z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