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2017年山塘镇</w:t>
      </w:r>
    </w:p>
    <w:p>
      <w:pPr>
        <w:jc w:val="center"/>
        <w:rPr>
          <w:rFonts w:ascii="黑体" w:hAnsi="黑体" w:eastAsia="黑体" w:cs="方正小标宋简体"/>
          <w:sz w:val="44"/>
          <w:szCs w:val="44"/>
        </w:rPr>
      </w:pPr>
      <w:r>
        <w:rPr>
          <w:rFonts w:hint="eastAsia" w:ascii="黑体" w:hAnsi="黑体" w:eastAsia="黑体" w:cs="方正小标宋简体"/>
          <w:sz w:val="44"/>
          <w:szCs w:val="44"/>
        </w:rPr>
        <w:t>人民政府部门预算情况说明（汇总）</w:t>
      </w:r>
    </w:p>
    <w:p>
      <w:pPr>
        <w:jc w:val="center"/>
        <w:rPr>
          <w:rFonts w:ascii="方正小标宋简体" w:hAnsi="方正小标宋简体" w:eastAsia="方正小标宋简体" w:cs="方正小标宋简体"/>
          <w:sz w:val="44"/>
          <w:szCs w:val="44"/>
        </w:rPr>
      </w:pPr>
    </w:p>
    <w:p>
      <w:pPr>
        <w:numPr>
          <w:ilvl w:val="0"/>
          <w:numId w:val="1"/>
        </w:num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主要职责</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（一）贯彻执行党和国家各项路线方针政策，制定并实施本行政区域的经济社会发展规划，实行政务公开，严格依法行政，提高行政效率。</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w:t>
      </w:r>
      <w:bookmarkStart w:id="0" w:name="_GoBack"/>
      <w:bookmarkEnd w:id="0"/>
      <w:r>
        <w:rPr>
          <w:rFonts w:hint="eastAsia" w:ascii="仿宋_GB2312" w:hAnsi="Calibri" w:eastAsia="仿宋_GB2312" w:cs="Times New Roman"/>
          <w:sz w:val="32"/>
          <w:szCs w:val="32"/>
        </w:rPr>
        <w:t>发展和完善农业社会化服务体系，扶持和发展特色经济、优势产业，引导推进新型农村经济合作组织和农业产业化发展，大力发展现代农业；组织引导农村富余劳动力转移和就业，提高农村城镇化水平。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（三）按规定权限管理或协助上级政府部门管理本行政区域的政治、经济、教育、科技、文化、卫生、体育事业、人口计生以及农业资源开发、生态环境、社会 、村镇规划、公用设施建设等工作，改善群众生产生活条件，提高人民群众生活水平。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（四）负责本行政区域的社会治安综合治理和信访维稳事务，维护良好的社会秩序，维护社会和谐稳定。</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（五）指导村（居）民自治活动，保障人民群众合法权益。</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按规定权限负责或协助上级部门抓好农田水利、镇村道路、供水、供电等基础设施建设，改善群众生产生活条件和镇村整体面貌；大力发展就业、社会保障服务和教育、科技、文化、卫生等镇村公益事业，提高公共服务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（七）负责本行政区域的社会主义民主法制建设，以及物质文明、精神文明和政治文明建设。</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（八）配合上级有关部门抓好驻镇单位管理，监督、指导镇属事业单位开展各项工作。</w:t>
      </w:r>
    </w:p>
    <w:p>
      <w:pPr>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（九）承办上级党委、人民政府交办的其他事项。</w:t>
      </w:r>
    </w:p>
    <w:p>
      <w:pPr>
        <w:ind w:firstLine="200"/>
        <w:rPr>
          <w:rFonts w:ascii="仿宋_GB2312" w:hAnsi="黑体" w:eastAsia="仿宋_GB2312" w:cs="黑体"/>
          <w:b/>
          <w:sz w:val="32"/>
          <w:szCs w:val="32"/>
        </w:rPr>
      </w:pPr>
      <w:r>
        <w:rPr>
          <w:rFonts w:hint="eastAsia" w:ascii="仿宋_GB2312" w:hAnsi="黑体" w:eastAsia="仿宋_GB2312" w:cs="黑体"/>
          <w:b/>
          <w:sz w:val="32"/>
          <w:szCs w:val="32"/>
        </w:rPr>
        <w:t xml:space="preserve">    二、机构设置</w:t>
      </w:r>
    </w:p>
    <w:p>
      <w:pPr>
        <w:ind w:left="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（一）本部门预算为汇总预算，包括：山塘镇人民政府本级预算，以及纳入编制范围的下属单位预算。下属单位具体包括：山塘 镇人力资源和社会保障服务所和山塘镇农业综合服务中心。</w:t>
      </w:r>
    </w:p>
    <w:p>
      <w:pPr>
        <w:spacing w:line="560" w:lineRule="exact"/>
        <w:ind w:firstLine="640" w:firstLineChars="200"/>
        <w:rPr>
          <w:rFonts w:ascii="仿宋_GB2312" w:hAnsi="黑体" w:eastAsia="仿宋_GB2312" w:cs="黑体"/>
          <w:sz w:val="32"/>
          <w:szCs w:val="32"/>
        </w:rPr>
      </w:pPr>
      <w:r>
        <w:rPr>
          <w:rFonts w:hint="eastAsia" w:ascii="仿宋_GB2312" w:hAnsi="仿宋_GB2312" w:eastAsia="仿宋_GB2312" w:cs="仿宋_GB2312"/>
          <w:sz w:val="32"/>
          <w:szCs w:val="32"/>
        </w:rPr>
        <w:t>（二）本部门内设机构、人员构成情况：</w:t>
      </w:r>
      <w:r>
        <w:rPr>
          <w:rFonts w:hint="eastAsia" w:ascii="仿宋_GB2312" w:hAnsi="Calibri" w:eastAsia="仿宋_GB2312" w:cs="Times New Roman"/>
          <w:sz w:val="32"/>
          <w:szCs w:val="32"/>
        </w:rPr>
        <w:t>镇机关内设6个综合办公室，3个镇直属事业单位。纳入2017部门预算编制的在编在职人数为80人，其中行政（工勤）编63人，参照公务员管理编6人，事业编制11人。</w:t>
      </w:r>
    </w:p>
    <w:p>
      <w:pPr>
        <w:pStyle w:val="7"/>
        <w:numPr>
          <w:ilvl w:val="0"/>
          <w:numId w:val="2"/>
        </w:numPr>
        <w:ind w:firstLineChars="0"/>
        <w:rPr>
          <w:rFonts w:ascii="仿宋_GB2312" w:hAnsi="黑体" w:eastAsia="仿宋_GB2312" w:cs="黑体"/>
          <w:b/>
          <w:sz w:val="32"/>
          <w:szCs w:val="32"/>
        </w:rPr>
      </w:pPr>
      <w:r>
        <w:rPr>
          <w:rFonts w:hint="eastAsia" w:ascii="仿宋_GB2312" w:hAnsi="黑体" w:eastAsia="仿宋_GB2312" w:cs="黑体"/>
          <w:b/>
          <w:sz w:val="32"/>
          <w:szCs w:val="32"/>
        </w:rPr>
        <w:t>部门预算收支增减变化情况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收入预算1,958.40万元，比上年增加163.93万元，增长9.14%，主要原因是2017年预算在2016年的基础上增加了150万元的基本财力补助支出预算。支出预算1,958.4万元，比上年增加163.93万元，增长9.14%，主要原因是2017年预算在2016年的基础上增加了150万元的基本财力补助支出预算。</w:t>
      </w:r>
    </w:p>
    <w:p>
      <w:pPr>
        <w:ind w:firstLine="643" w:firstLineChars="200"/>
        <w:rPr>
          <w:rFonts w:ascii="仿宋_GB2312" w:hAnsi="黑体" w:eastAsia="仿宋_GB2312" w:cs="黑体"/>
          <w:b/>
          <w:sz w:val="32"/>
          <w:szCs w:val="32"/>
        </w:rPr>
      </w:pPr>
      <w:r>
        <w:rPr>
          <w:rFonts w:hint="eastAsia" w:ascii="仿宋_GB2312" w:hAnsi="仿宋_GB2312" w:eastAsia="仿宋_GB2312" w:cs="仿宋_GB2312"/>
          <w:b/>
          <w:sz w:val="32"/>
          <w:szCs w:val="32"/>
        </w:rPr>
        <w:t>四、</w:t>
      </w:r>
      <w:r>
        <w:rPr>
          <w:rFonts w:hint="eastAsia" w:ascii="仿宋_GB2312" w:hAnsi="黑体" w:eastAsia="仿宋_GB2312" w:cs="黑体"/>
          <w:b/>
          <w:sz w:val="32"/>
          <w:szCs w:val="32"/>
        </w:rPr>
        <w:t>“三公”经费安排情况说明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2017年本部门“三公”经费预算安排43万元，与上年保持不变。其中：因公出国（境）费0万元，与上年保持不变；公务用车购置及运行费35万元，与上年保持不变；公务接待费8万元，与上年保持不变。</w:t>
      </w:r>
    </w:p>
    <w:p>
      <w:pPr>
        <w:pStyle w:val="7"/>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机关运行经费安排情况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机关运行经费安排445.32万元，比上年减少88.68万元，下降16.61%，主要原因是预计2017年的纳入预算管理非税收入（计生违法罚款收入）出现一定幅度的下降。其中：办公费23.70万元，印刷费2，邮电费10.2万元，会议费3万元，办公用房水电费19.14万元，公务用车运行维护费35万元等。</w:t>
      </w:r>
    </w:p>
    <w:p>
      <w:pPr>
        <w:pStyle w:val="7"/>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政府采购情况</w:t>
      </w:r>
    </w:p>
    <w:p>
      <w:pPr>
        <w:ind w:firstLine="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2017年本部门未安排政府采购预算。</w:t>
      </w:r>
    </w:p>
    <w:p>
      <w:pPr>
        <w:pStyle w:val="7"/>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截至2016年12月31日，本部门占有使用国有资产净值为1</w:t>
      </w:r>
      <w:r>
        <w:rPr>
          <w:rFonts w:hint="eastAsia" w:ascii="仿宋_GB2312" w:eastAsia="仿宋_GB2312" w:cs="仿宋_GB2312"/>
          <w:sz w:val="32"/>
          <w:szCs w:val="32"/>
        </w:rPr>
        <w:t>,</w:t>
      </w:r>
      <w:r>
        <w:rPr>
          <w:rFonts w:hint="eastAsia" w:ascii="仿宋_GB2312" w:hAnsi="仿宋_GB2312" w:eastAsia="仿宋_GB2312" w:cs="仿宋_GB2312"/>
          <w:sz w:val="32"/>
          <w:szCs w:val="32"/>
        </w:rPr>
        <w:t>022.48万元，其中：房屋317.39万元，车辆130.44万元，其他固定资产（包括办公设备、电器设备以及办公家具等）574.65万元。</w:t>
      </w:r>
    </w:p>
    <w:p>
      <w:pPr>
        <w:pStyle w:val="7"/>
        <w:numPr>
          <w:ilvl w:val="0"/>
          <w:numId w:val="3"/>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预算绩效信息公开情况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2017年，本部门尚未安排预算绩效评价等工作。</w:t>
      </w:r>
    </w:p>
    <w:p>
      <w:p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九、名词解释</w:t>
      </w:r>
    </w:p>
    <w:p>
      <w:pPr>
        <w:spacing w:line="288"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spacing w:line="288" w:lineRule="auto"/>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（二）经营收入入：指事业单位开展专业业务活动及辅动所取得的收入。</w:t>
      </w:r>
    </w:p>
    <w:p>
      <w:pPr>
        <w:spacing w:line="288" w:lineRule="auto"/>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（三）其他收入：指事业单位在专业业务活动及其辅助活动之外开展非独立核算经营活动取得的收入。</w:t>
      </w:r>
    </w:p>
    <w:p>
      <w:pPr>
        <w:ind w:firstLine="640" w:firstLineChars="200"/>
        <w:rPr>
          <w:rFonts w:ascii="仿宋_GB2312" w:hAnsi="楷体_GB2312" w:eastAsia="仿宋_GB2312" w:cs="楷体_GB2312"/>
          <w:sz w:val="32"/>
          <w:szCs w:val="32"/>
          <w:highlight w:val="lightGray"/>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spacing w:line="288" w:lineRule="auto"/>
        <w:ind w:left="1"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firstLine="640" w:firstLineChars="200"/>
        <w:rPr>
          <w:rFonts w:ascii="仿宋_GB2312" w:eastAsia="仿宋_GB2312"/>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560" w:lineRule="exact"/>
        <w:ind w:firstLine="200"/>
        <w:rPr>
          <w:rFonts w:ascii="仿宋_GB2312" w:hAnsi="Calibri" w:eastAsia="仿宋_GB2312" w:cs="Times New Roman"/>
          <w:sz w:val="32"/>
          <w:szCs w:val="32"/>
        </w:rPr>
      </w:pPr>
    </w:p>
    <w:p>
      <w:pPr>
        <w:spacing w:line="560" w:lineRule="exact"/>
        <w:ind w:firstLine="200"/>
        <w:rPr>
          <w:rFonts w:ascii="仿宋_GB2312" w:hAnsi="Calibri" w:eastAsia="仿宋_GB2312" w:cs="Times New Roman"/>
          <w:sz w:val="32"/>
          <w:szCs w:val="32"/>
        </w:rPr>
      </w:pPr>
    </w:p>
    <w:p>
      <w:pPr>
        <w:spacing w:line="288" w:lineRule="auto"/>
        <w:ind w:firstLine="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4E52"/>
    <w:multiLevelType w:val="multilevel"/>
    <w:tmpl w:val="37D34E52"/>
    <w:lvl w:ilvl="0" w:tentative="0">
      <w:start w:val="5"/>
      <w:numFmt w:val="japaneseCounting"/>
      <w:lvlText w:val="%1、"/>
      <w:lvlJc w:val="left"/>
      <w:pPr>
        <w:ind w:left="2080" w:hanging="720"/>
      </w:pPr>
      <w:rPr>
        <w:rFonts w:hint="default"/>
      </w:rPr>
    </w:lvl>
    <w:lvl w:ilvl="1" w:tentative="0">
      <w:start w:val="1"/>
      <w:numFmt w:val="lowerLetter"/>
      <w:lvlText w:val="%2)"/>
      <w:lvlJc w:val="left"/>
      <w:pPr>
        <w:ind w:left="2200" w:hanging="420"/>
      </w:pPr>
    </w:lvl>
    <w:lvl w:ilvl="2" w:tentative="0">
      <w:start w:val="1"/>
      <w:numFmt w:val="lowerRoman"/>
      <w:lvlText w:val="%3."/>
      <w:lvlJc w:val="right"/>
      <w:pPr>
        <w:ind w:left="2620" w:hanging="420"/>
      </w:pPr>
    </w:lvl>
    <w:lvl w:ilvl="3" w:tentative="0">
      <w:start w:val="1"/>
      <w:numFmt w:val="decimal"/>
      <w:lvlText w:val="%4."/>
      <w:lvlJc w:val="left"/>
      <w:pPr>
        <w:ind w:left="3040" w:hanging="420"/>
      </w:pPr>
    </w:lvl>
    <w:lvl w:ilvl="4" w:tentative="0">
      <w:start w:val="1"/>
      <w:numFmt w:val="lowerLetter"/>
      <w:lvlText w:val="%5)"/>
      <w:lvlJc w:val="left"/>
      <w:pPr>
        <w:ind w:left="3460" w:hanging="420"/>
      </w:pPr>
    </w:lvl>
    <w:lvl w:ilvl="5" w:tentative="0">
      <w:start w:val="1"/>
      <w:numFmt w:val="lowerRoman"/>
      <w:lvlText w:val="%6."/>
      <w:lvlJc w:val="right"/>
      <w:pPr>
        <w:ind w:left="3880" w:hanging="420"/>
      </w:pPr>
    </w:lvl>
    <w:lvl w:ilvl="6" w:tentative="0">
      <w:start w:val="1"/>
      <w:numFmt w:val="decimal"/>
      <w:lvlText w:val="%7."/>
      <w:lvlJc w:val="left"/>
      <w:pPr>
        <w:ind w:left="4300" w:hanging="420"/>
      </w:pPr>
    </w:lvl>
    <w:lvl w:ilvl="7" w:tentative="0">
      <w:start w:val="1"/>
      <w:numFmt w:val="lowerLetter"/>
      <w:lvlText w:val="%8)"/>
      <w:lvlJc w:val="left"/>
      <w:pPr>
        <w:ind w:left="4720" w:hanging="420"/>
      </w:pPr>
    </w:lvl>
    <w:lvl w:ilvl="8" w:tentative="0">
      <w:start w:val="1"/>
      <w:numFmt w:val="lowerRoman"/>
      <w:lvlText w:val="%9."/>
      <w:lvlJc w:val="right"/>
      <w:pPr>
        <w:ind w:left="5140" w:hanging="420"/>
      </w:pPr>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7E15458C"/>
    <w:multiLevelType w:val="multilevel"/>
    <w:tmpl w:val="7E15458C"/>
    <w:lvl w:ilvl="0" w:tentative="0">
      <w:start w:val="3"/>
      <w:numFmt w:val="japaneseCounting"/>
      <w:lvlText w:val="%1、"/>
      <w:lvlJc w:val="left"/>
      <w:pPr>
        <w:ind w:left="1360" w:hanging="720"/>
      </w:pPr>
      <w:rPr>
        <w:rFonts w:hint="default" w:ascii="仿宋_GB2312" w:hAnsi="仿宋_GB2312" w:eastAsia="仿宋_GB2312" w:cs="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gMnBFmxuCMdEaJ0iNCqKEM/kMfc=" w:salt="De/4T+RAZrFji2pS3f99sQ=="/>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0E4"/>
    <w:rsid w:val="000145A8"/>
    <w:rsid w:val="00032313"/>
    <w:rsid w:val="00086BDB"/>
    <w:rsid w:val="00096E31"/>
    <w:rsid w:val="000C35C3"/>
    <w:rsid w:val="001031F6"/>
    <w:rsid w:val="00124317"/>
    <w:rsid w:val="001630DC"/>
    <w:rsid w:val="00191DD0"/>
    <w:rsid w:val="001A02F7"/>
    <w:rsid w:val="001A4425"/>
    <w:rsid w:val="001D20B7"/>
    <w:rsid w:val="001D4B58"/>
    <w:rsid w:val="001F10A4"/>
    <w:rsid w:val="001F1686"/>
    <w:rsid w:val="00255F03"/>
    <w:rsid w:val="002976C8"/>
    <w:rsid w:val="003102BA"/>
    <w:rsid w:val="00323C3D"/>
    <w:rsid w:val="00326D89"/>
    <w:rsid w:val="003369C4"/>
    <w:rsid w:val="00367817"/>
    <w:rsid w:val="003F6CBA"/>
    <w:rsid w:val="00446B19"/>
    <w:rsid w:val="00464D10"/>
    <w:rsid w:val="004913C6"/>
    <w:rsid w:val="004B30AB"/>
    <w:rsid w:val="004D4B09"/>
    <w:rsid w:val="004E31B8"/>
    <w:rsid w:val="005044A1"/>
    <w:rsid w:val="00511532"/>
    <w:rsid w:val="00634166"/>
    <w:rsid w:val="00651B30"/>
    <w:rsid w:val="00675236"/>
    <w:rsid w:val="007539A7"/>
    <w:rsid w:val="00766821"/>
    <w:rsid w:val="007E2944"/>
    <w:rsid w:val="007E4EBC"/>
    <w:rsid w:val="008A3472"/>
    <w:rsid w:val="008E5DFB"/>
    <w:rsid w:val="009000E4"/>
    <w:rsid w:val="00940A47"/>
    <w:rsid w:val="00965688"/>
    <w:rsid w:val="009C40C5"/>
    <w:rsid w:val="009E0A9F"/>
    <w:rsid w:val="009F16B5"/>
    <w:rsid w:val="00A40F1E"/>
    <w:rsid w:val="00AF48B5"/>
    <w:rsid w:val="00B33366"/>
    <w:rsid w:val="00BD411A"/>
    <w:rsid w:val="00BE0E4F"/>
    <w:rsid w:val="00C10821"/>
    <w:rsid w:val="00C34B19"/>
    <w:rsid w:val="00C42C16"/>
    <w:rsid w:val="00CC2314"/>
    <w:rsid w:val="00D66640"/>
    <w:rsid w:val="00DC2795"/>
    <w:rsid w:val="00DF1BBB"/>
    <w:rsid w:val="00DF4590"/>
    <w:rsid w:val="00E774FF"/>
    <w:rsid w:val="00EE0337"/>
    <w:rsid w:val="00F33CCC"/>
    <w:rsid w:val="04C26115"/>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character" w:customStyle="1" w:styleId="9">
    <w:name w:val="页眉 Char"/>
    <w:basedOn w:val="5"/>
    <w:link w:val="4"/>
    <w:uiPriority w:val="0"/>
    <w:rPr>
      <w:rFonts w:asciiTheme="minorHAnsi" w:hAnsiTheme="minorHAnsi" w:eastAsiaTheme="minorEastAsia" w:cstheme="minorBidi"/>
      <w:kern w:val="2"/>
      <w:sz w:val="18"/>
      <w:szCs w:val="18"/>
    </w:rPr>
  </w:style>
  <w:style w:type="character" w:customStyle="1" w:styleId="10">
    <w:name w:val="页脚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1680</Characters>
  <Lines>14</Lines>
  <Paragraphs>3</Paragraphs>
  <TotalTime>0</TotalTime>
  <ScaleCrop>false</ScaleCrop>
  <LinksUpToDate>false</LinksUpToDate>
  <CharactersWithSpaces>1971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地平线</cp:lastModifiedBy>
  <cp:lastPrinted>2018-04-08T07:18:00Z</cp:lastPrinted>
  <dcterms:modified xsi:type="dcterms:W3CDTF">2018-04-09T04:38:49Z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