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bookmarkStart w:id="0" w:name="_GoBack"/>
      <w:bookmarkEnd w:id="0"/>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清新区水务局</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清新区水务局本级概况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清新区水务局本级概况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 xml:space="preserve">）贯彻执行国家、省有关水行政管理工作的方针政策和法律法规，组织起草有关规范性文件。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负责保障水资源的合理开发利用，拟订水利战略规划，组织编制区内重要江河湖泊的流域综合规划、防洪规划和有关专业规划，会同有关部门提出水利固定资产投资的规模、方向和县级水利建设投资安排建议并组织实施，按规定权限审批有关水利项目初步设计。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 xml:space="preserve">）实施水资源的统一监督管理，拟订全区水中长期供求规划、水量分配方案并监督实施，组织开展水资源调查评价工作，按规定开展水能资源调查工作，负责重要流域、区域以及重大调水工程的水资源调度，组织实施取水许可、水资源有偿使用制度和水资源论证、防洪论证制度，负责发布水资源公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 xml:space="preserve">）负责水资源保护工作，组织编制水资源保护规划，组织拟订区内重要江河湖泊的水功能区划并监督实施，核定水域纳污能力，提出限制排污总量建议，指导饮用水水源保护工作，指导地下水开发利用和城市规划区地下水资源管理保护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 xml:space="preserve">）负责节约用水工作，编制节约用水规划，指导和推动节水型社会建设工作，负责区供水、用水、节水、排水和污水处理管理工作，会同有关部门编制县供水、污水处理中长期发展规划和年度计划，负责供水、污水处理等生产经营单位的资质审核与管理，会同有关部门拟订区供水、污水处理的价格、服务收费标准，负责组织政府投资建设的城市供水、排水和污水处理等设施的维修、养护和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xml:space="preserve">）组织、协调、监督、指挥全区防汛防旱防风和防低温雨雪冰冻工作，对重要江河湖泊和重要水工程实施防汛抗旱调度和应急水量调度，编制县防汛防旱防风和防低温雨雪冰冻应急预案并组织实施，指导水利突发公共事件的应急管理工作。 </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 xml:space="preserve">）组织、指导水利设施、江河水域及其岸线的管理与保护，组织、指导区管河道综合治理与开发，指导水利工程建设与运行管理，组织实施具有控制性的重要水利工程建设与运行管理，承担水利工程移民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 xml:space="preserve">）负责防治水土流失，拟订水土保持规划并监督实施，组织实施水土流失的综合防治、监测预报并定期公告，按规定权限负责建设项目水土保持方案的审批、监督实施及水土保持设施的验收工作，指导全县重点水土保持建设项目的实施。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 xml:space="preserve">）指导农村水利工作，组织协调农田水利基本建设，指导农村饮水安全、节水灌溉等工程建设与管理工作，指导农村水利社会化服务体系建设，按规定指导农村水能资源开发工作，指导农村水电、农村排灌、农村水电电气化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 xml:space="preserve">）负责重大涉水违法事件的查处，协调、仲裁跨镇水事纠纷，指导水政监察和水行政执法，依法负责水利行业安全生产工作，组织、指导水库、水电站大坝和其他水利水电工程的安全监管，指导水利建设市场的监督管理，组织实施水利工程建设的监督。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 xml:space="preserve">）负责水利科技工作，组织开展水利行业质量监督工作。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）承办县人民政府和上级业务部门交办的其他事项。</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spacing w:line="288" w:lineRule="auto"/>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本部门预算不是汇总预算，只包含局本级预算。</w:t>
      </w:r>
      <w:r>
        <w:rPr>
          <w:rFonts w:hint="eastAsia" w:ascii="仿宋_GB2312" w:eastAsia="仿宋_GB2312"/>
          <w:sz w:val="32"/>
          <w:szCs w:val="32"/>
          <w:lang w:eastAsia="zh-CN"/>
        </w:rPr>
        <w:t>我局有</w:t>
      </w:r>
      <w:r>
        <w:rPr>
          <w:rFonts w:hint="eastAsia" w:ascii="仿宋_GB2312" w:eastAsia="仿宋_GB2312"/>
          <w:sz w:val="32"/>
          <w:szCs w:val="32"/>
          <w:lang w:val="en-US" w:eastAsia="zh-CN"/>
        </w:rPr>
        <w:t>7</w:t>
      </w:r>
      <w:r>
        <w:rPr>
          <w:rFonts w:hint="eastAsia" w:ascii="仿宋_GB2312" w:eastAsia="仿宋_GB2312"/>
          <w:sz w:val="32"/>
          <w:szCs w:val="32"/>
        </w:rPr>
        <w:t>个下属预算单位</w:t>
      </w:r>
      <w:r>
        <w:rPr>
          <w:rFonts w:hint="eastAsia" w:ascii="仿宋_GB2312" w:eastAsia="仿宋_GB2312"/>
          <w:sz w:val="32"/>
          <w:szCs w:val="32"/>
          <w:lang w:eastAsia="zh-CN"/>
        </w:rPr>
        <w:t>分别为</w:t>
      </w:r>
      <w:r>
        <w:rPr>
          <w:rFonts w:hint="eastAsia" w:ascii="仿宋_GB2312" w:eastAsia="仿宋_GB2312"/>
          <w:sz w:val="32"/>
          <w:szCs w:val="32"/>
        </w:rPr>
        <w:t>清远市清新区水政监察大队</w:t>
      </w:r>
      <w:r>
        <w:rPr>
          <w:rFonts w:hint="eastAsia" w:ascii="仿宋_GB2312" w:eastAsia="仿宋_GB2312"/>
          <w:sz w:val="32"/>
          <w:szCs w:val="32"/>
          <w:lang w:eastAsia="zh-CN"/>
        </w:rPr>
        <w:t>、</w:t>
      </w:r>
      <w:r>
        <w:rPr>
          <w:rFonts w:hint="eastAsia" w:ascii="仿宋_GB2312" w:eastAsia="仿宋_GB2312"/>
          <w:sz w:val="32"/>
          <w:szCs w:val="32"/>
        </w:rPr>
        <w:t>清远市清新区机电排灌总站</w:t>
      </w:r>
      <w:r>
        <w:rPr>
          <w:rFonts w:hint="eastAsia" w:ascii="仿宋_GB2312" w:eastAsia="仿宋_GB2312"/>
          <w:sz w:val="32"/>
          <w:szCs w:val="32"/>
          <w:lang w:eastAsia="zh-CN"/>
        </w:rPr>
        <w:t>、</w:t>
      </w:r>
      <w:r>
        <w:rPr>
          <w:rFonts w:hint="eastAsia" w:ascii="仿宋_GB2312" w:eastAsia="仿宋_GB2312"/>
          <w:sz w:val="32"/>
          <w:szCs w:val="32"/>
        </w:rPr>
        <w:t>清远市清新区迳口水利站</w:t>
      </w:r>
      <w:r>
        <w:rPr>
          <w:rFonts w:hint="eastAsia" w:ascii="仿宋_GB2312" w:eastAsia="仿宋_GB2312"/>
          <w:sz w:val="32"/>
          <w:szCs w:val="32"/>
          <w:lang w:eastAsia="zh-CN"/>
        </w:rPr>
        <w:t>、</w:t>
      </w:r>
      <w:r>
        <w:rPr>
          <w:rFonts w:hint="eastAsia" w:ascii="仿宋_GB2312" w:eastAsia="仿宋_GB2312"/>
          <w:sz w:val="32"/>
          <w:szCs w:val="32"/>
        </w:rPr>
        <w:t>清远市清新区龙须带水库管理所</w:t>
      </w:r>
      <w:r>
        <w:rPr>
          <w:rFonts w:hint="eastAsia" w:ascii="仿宋_GB2312" w:eastAsia="仿宋_GB2312"/>
          <w:sz w:val="32"/>
          <w:szCs w:val="32"/>
          <w:lang w:eastAsia="zh-CN"/>
        </w:rPr>
        <w:t>、</w:t>
      </w:r>
      <w:r>
        <w:rPr>
          <w:rFonts w:hint="eastAsia" w:ascii="仿宋_GB2312" w:eastAsia="仿宋_GB2312"/>
          <w:sz w:val="32"/>
          <w:szCs w:val="32"/>
        </w:rPr>
        <w:t>清远市清新区清西防汛工程管理所</w:t>
      </w:r>
      <w:r>
        <w:rPr>
          <w:rFonts w:hint="eastAsia" w:ascii="仿宋_GB2312" w:eastAsia="仿宋_GB2312"/>
          <w:sz w:val="32"/>
          <w:szCs w:val="32"/>
          <w:lang w:eastAsia="zh-CN"/>
        </w:rPr>
        <w:t>、</w:t>
      </w:r>
      <w:r>
        <w:rPr>
          <w:rFonts w:hint="eastAsia" w:ascii="仿宋_GB2312" w:eastAsia="仿宋_GB2312"/>
          <w:sz w:val="32"/>
          <w:szCs w:val="32"/>
        </w:rPr>
        <w:t>清远市清新区城区防汛工程管理所</w:t>
      </w:r>
      <w:r>
        <w:rPr>
          <w:rFonts w:hint="eastAsia" w:ascii="仿宋_GB2312" w:eastAsia="仿宋_GB2312"/>
          <w:sz w:val="32"/>
          <w:szCs w:val="32"/>
          <w:lang w:eastAsia="zh-CN"/>
        </w:rPr>
        <w:t>、</w:t>
      </w:r>
      <w:r>
        <w:rPr>
          <w:rFonts w:hint="eastAsia" w:ascii="仿宋_GB2312" w:eastAsia="仿宋_GB2312"/>
          <w:sz w:val="32"/>
          <w:szCs w:val="32"/>
        </w:rPr>
        <w:t>清远市清新区水利水电建设管理中心。</w:t>
      </w:r>
      <w:r>
        <w:rPr>
          <w:rFonts w:hint="eastAsia" w:ascii="仿宋_GB2312" w:eastAsia="仿宋_GB2312"/>
          <w:sz w:val="32"/>
          <w:szCs w:val="32"/>
          <w:lang w:eastAsia="zh-CN"/>
        </w:rPr>
        <w:t>下属单位均为隶属于我局的二级独立预算单位，已独立做好预算公开工作。因此我局本级预算和所属单位预算在内的汇总预算已做到最末级。</w:t>
      </w:r>
    </w:p>
    <w:p>
      <w:pPr>
        <w:spacing w:line="288"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w:t>
      </w:r>
      <w:r>
        <w:rPr>
          <w:rFonts w:hint="eastAsia" w:ascii="仿宋_GB2312" w:eastAsia="仿宋_GB2312"/>
          <w:b w:val="0"/>
          <w:bCs/>
          <w:sz w:val="32"/>
          <w:szCs w:val="32"/>
          <w:lang w:eastAsia="zh-CN"/>
        </w:rPr>
        <w:t>内设机构7个和1个事业单位（参公）。即：办公室、规划计划财务审计股、水利工程管理股、农水股、水电建设管理股、水政水资源水保股、供排水管理股和防汛防旱防风指挥部。</w:t>
      </w: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在职人员37人（含三防办6人），退休人员16人，其他人员6人，遗属人员6人。 </w:t>
      </w:r>
    </w:p>
    <w:p>
      <w:pPr>
        <w:numPr>
          <w:ilvl w:val="0"/>
          <w:numId w:val="4"/>
        </w:numPr>
        <w:ind w:firstLine="640"/>
        <w:jc w:val="both"/>
        <w:rPr>
          <w:rFonts w:hint="eastAsia" w:ascii="黑体" w:hAnsi="黑体" w:eastAsia="黑体" w:cs="黑体"/>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288" w:lineRule="auto"/>
        <w:rPr>
          <w:rFonts w:hint="eastAsia" w:ascii="仿宋_GB2312" w:eastAsia="仿宋_GB2312"/>
          <w:b w:val="0"/>
          <w:bCs/>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2016年部门预算表</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仿宋_GB2312" w:hAnsi="仿宋_GB2312" w:eastAsia="仿宋_GB2312" w:cs="仿宋_GB2312"/>
          <w:sz w:val="32"/>
          <w:szCs w:val="32"/>
          <w:highlight w:val="lightGray"/>
          <w:lang w:val="en-US" w:eastAsia="zh-CN"/>
        </w:rPr>
        <w:t>（</w:t>
      </w:r>
      <w:r>
        <w:rPr>
          <w:rFonts w:hint="eastAsia" w:ascii="楷体_GB2312" w:hAnsi="楷体_GB2312" w:eastAsia="楷体_GB2312" w:cs="楷体_GB2312"/>
          <w:b/>
          <w:bCs/>
          <w:i w:val="0"/>
          <w:iCs w:val="0"/>
          <w:sz w:val="32"/>
          <w:szCs w:val="32"/>
          <w:highlight w:val="lightGray"/>
          <w:u w:val="none"/>
          <w:lang w:val="en-US" w:eastAsia="zh-CN"/>
        </w:rPr>
        <w:t>说明</w:t>
      </w:r>
      <w:r>
        <w:rPr>
          <w:rFonts w:hint="eastAsia" w:ascii="楷体_GB2312" w:hAnsi="楷体_GB2312" w:eastAsia="楷体_GB2312" w:cs="楷体_GB2312"/>
          <w:b w:val="0"/>
          <w:bCs w:val="0"/>
          <w:i w:val="0"/>
          <w:iCs w:val="0"/>
          <w:sz w:val="32"/>
          <w:szCs w:val="32"/>
          <w:highlight w:val="lightGray"/>
          <w:u w:val="none"/>
          <w:lang w:val="en-US" w:eastAsia="zh-CN"/>
        </w:rPr>
        <w:t>：以下为表样，具体按本级财政部门批复各部门的表格公开。财预</w:t>
      </w:r>
      <w:r>
        <w:rPr>
          <w:rFonts w:hint="eastAsia" w:ascii="仿宋_GB2312" w:hAnsi="仿宋_GB2312" w:eastAsia="仿宋_GB2312" w:cs="仿宋_GB2312"/>
          <w:b w:val="0"/>
          <w:bCs w:val="0"/>
          <w:i w:val="0"/>
          <w:iCs w:val="0"/>
          <w:sz w:val="32"/>
          <w:szCs w:val="32"/>
          <w:highlight w:val="lightGray"/>
          <w:u w:val="none"/>
          <w:lang w:val="en-US" w:eastAsia="zh-CN"/>
        </w:rPr>
        <w:t>〔2016〕143号文要求至少应公开的8张表必须编制并公开，绩效目标必须有所体现并公开。</w:t>
      </w:r>
      <w:r>
        <w:rPr>
          <w:rFonts w:hint="eastAsia" w:ascii="楷体_GB2312" w:hAnsi="楷体_GB2312" w:eastAsia="楷体_GB2312" w:cs="楷体_GB2312"/>
          <w:b w:val="0"/>
          <w:bCs w:val="0"/>
          <w:i w:val="0"/>
          <w:iCs w:val="0"/>
          <w:sz w:val="32"/>
          <w:szCs w:val="32"/>
          <w:highlight w:val="lightGray"/>
          <w:u w:val="none"/>
          <w:lang w:val="en-US" w:eastAsia="zh-CN"/>
        </w:rPr>
        <w:t>必须公开表中如有表格无数据，也应以空表公开，并备注说明，如表9</w:t>
      </w:r>
      <w:r>
        <w:rPr>
          <w:rFonts w:hint="eastAsia" w:ascii="仿宋_GB2312" w:hAnsi="仿宋_GB2312" w:eastAsia="仿宋_GB2312" w:cs="仿宋_GB2312"/>
          <w:sz w:val="32"/>
          <w:szCs w:val="32"/>
          <w:highlight w:val="lightGray"/>
          <w:lang w:val="en-US" w:eastAsia="zh-CN"/>
        </w:rPr>
        <w:t>）</w:t>
      </w:r>
    </w:p>
    <w:p>
      <w:pPr>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部分决算表格另行公开于：</w:t>
      </w:r>
      <w:r>
        <w:rPr>
          <w:rFonts w:hint="eastAsia" w:ascii="楷体_GB2312" w:hAnsi="楷体_GB2312" w:eastAsia="楷体_GB2312" w:cs="楷体_GB2312"/>
          <w:sz w:val="32"/>
          <w:szCs w:val="32"/>
          <w:lang w:val="en-US" w:eastAsia="zh-CN"/>
        </w:rPr>
        <w:fldChar w:fldCharType="begin"/>
      </w:r>
      <w:r>
        <w:rPr>
          <w:rFonts w:hint="eastAsia" w:ascii="楷体_GB2312" w:hAnsi="楷体_GB2312" w:eastAsia="楷体_GB2312" w:cs="楷体_GB2312"/>
          <w:sz w:val="32"/>
          <w:szCs w:val="32"/>
          <w:lang w:val="en-US" w:eastAsia="zh-CN"/>
        </w:rPr>
        <w:instrText xml:space="preserve"> HYPERLINK "http://zwgk.qingxin.gov.cn/info/119522" </w:instrText>
      </w:r>
      <w:r>
        <w:rPr>
          <w:rFonts w:hint="eastAsia" w:ascii="楷体_GB2312" w:hAnsi="楷体_GB2312" w:eastAsia="楷体_GB2312" w:cs="楷体_GB2312"/>
          <w:sz w:val="32"/>
          <w:szCs w:val="32"/>
          <w:lang w:val="en-US" w:eastAsia="zh-CN"/>
        </w:rPr>
        <w:fldChar w:fldCharType="separate"/>
      </w:r>
      <w:r>
        <w:rPr>
          <w:rStyle w:val="5"/>
          <w:rFonts w:hint="eastAsia" w:ascii="楷体_GB2312" w:hAnsi="楷体_GB2312" w:eastAsia="楷体_GB2312" w:cs="楷体_GB2312"/>
          <w:sz w:val="32"/>
          <w:szCs w:val="32"/>
          <w:lang w:val="en-US" w:eastAsia="zh-CN"/>
        </w:rPr>
        <w:t>http://zwgk.qingxin.gov.cn/info/119522</w:t>
      </w:r>
      <w:r>
        <w:rPr>
          <w:rFonts w:hint="eastAsia" w:ascii="楷体_GB2312" w:hAnsi="楷体_GB2312" w:eastAsia="楷体_GB2312" w:cs="楷体_GB2312"/>
          <w:sz w:val="32"/>
          <w:szCs w:val="32"/>
          <w:lang w:val="en-US" w:eastAsia="zh-CN"/>
        </w:rPr>
        <w:fldChar w:fldCharType="end"/>
      </w:r>
    </w:p>
    <w:p>
      <w:pPr>
        <w:jc w:val="both"/>
      </w:pPr>
      <w:r>
        <w:drawing>
          <wp:inline distT="0" distB="0" distL="114300" distR="114300">
            <wp:extent cx="5274310" cy="14801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6"/>
                    <a:stretch>
                      <a:fillRect/>
                    </a:stretch>
                  </pic:blipFill>
                  <pic:spPr>
                    <a:xfrm>
                      <a:off x="0" y="0"/>
                      <a:ext cx="5274310" cy="1480185"/>
                    </a:xfrm>
                    <a:prstGeom prst="rect">
                      <a:avLst/>
                    </a:prstGeom>
                    <a:noFill/>
                    <a:ln w="9525">
                      <a:noFill/>
                    </a:ln>
                  </pic:spPr>
                </pic:pic>
              </a:graphicData>
            </a:graphic>
          </wp:inline>
        </w:drawing>
      </w:r>
    </w:p>
    <w:p>
      <w:pPr>
        <w:jc w:val="both"/>
        <w:rPr>
          <w:rFonts w:hint="eastAsia" w:eastAsiaTheme="minorEastAsia"/>
          <w:lang w:val="en-US" w:eastAsia="zh-CN"/>
        </w:rPr>
      </w:pPr>
      <w:r>
        <w:rPr>
          <w:rFonts w:hint="eastAsia"/>
          <w:lang w:eastAsia="zh-CN"/>
        </w:rPr>
        <w:t>本表格无数据</w:t>
      </w: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：在以下必须公开的基本说明基础上，可根据本部门情况加以细化说明）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2016年本部门收入预算800.13万元，比上年减少1133.49万元，下降了56.62%，主要原因是项目工程建设减少，财政拨款收入减少；支出预算800.13万元，比上年减少1133.49万元，下降了56.62%，主要原因是项目工程建设减少，财政拨款收入减少。</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2016年本部门“三公”经费预算安排14.6万元，与上年保持不变</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sz w:val="32"/>
          <w:szCs w:val="32"/>
          <w:lang w:val="en-US" w:eastAsia="zh-CN"/>
        </w:rPr>
        <w:t>其中：因公出国（境）费0万元，与上年保持不变；公务用车购置及运行费6.6万元，与上年保持不变</w:t>
      </w:r>
      <w:r>
        <w:rPr>
          <w:rFonts w:hint="eastAsia" w:ascii="仿宋_GB2312" w:hAnsi="仿宋_GB2312" w:eastAsia="仿宋_GB2312" w:cs="仿宋_GB2312"/>
          <w:color w:val="0000FF"/>
          <w:sz w:val="32"/>
          <w:szCs w:val="32"/>
          <w:lang w:val="en-US" w:eastAsia="zh-CN"/>
        </w:rPr>
        <w:t>。</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2016年，本部门机关运行经费安排</w:t>
      </w:r>
      <w:r>
        <w:rPr>
          <w:rFonts w:hint="eastAsia" w:ascii="仿宋_GB2312" w:hAnsi="仿宋_GB2312" w:eastAsia="仿宋_GB2312" w:cs="仿宋_GB2312"/>
          <w:color w:val="auto"/>
          <w:sz w:val="32"/>
          <w:szCs w:val="32"/>
          <w:lang w:val="en-US" w:eastAsia="zh-CN"/>
        </w:rPr>
        <w:t>155万元，比上年增加了93.5万元，上升152%</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sz w:val="32"/>
          <w:szCs w:val="32"/>
          <w:lang w:val="en-US" w:eastAsia="zh-CN"/>
        </w:rPr>
        <w:t>主要原因是增加了了纳入预算管理的非税收入10万元。其中：办公费8.2万元，印刷费0.5万元，邮电费0.3万元，差旅费2万元，会议费0万元，日常维修费0万元，专用材料及一般设备购置费2.5万元，办公用房水电费10.72万元，培训费2.5万元，办公用房取暖费0万元，办公用房物业管理费0万元，公务用车运行维护费6.6万元、公务接待费8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2016年本部门政府采购安排为0元，其中：货物类采购预算0万元，工程类采购预算0万元，服务类采购预算0万元等。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b w:val="0"/>
          <w:color w:val="646464"/>
          <w:sz w:val="32"/>
          <w:szCs w:val="32"/>
          <w:shd w:val="clear" w:color="auto" w:fill="FFFFFF"/>
        </w:rPr>
        <w:t>公务用车保有量</w:t>
      </w:r>
      <w:r>
        <w:rPr>
          <w:rFonts w:hint="eastAsia" w:ascii="仿宋_GB2312" w:hAnsi="微软雅黑" w:eastAsia="仿宋_GB2312" w:cs="仿宋_GB2312"/>
          <w:b w:val="0"/>
          <w:color w:val="646464"/>
          <w:sz w:val="32"/>
          <w:szCs w:val="32"/>
          <w:shd w:val="clear" w:color="auto" w:fill="FFFFFF"/>
          <w:lang w:val="en-US" w:eastAsia="zh-CN"/>
        </w:rPr>
        <w:t>5</w:t>
      </w:r>
      <w:r>
        <w:rPr>
          <w:rFonts w:hint="eastAsia" w:ascii="仿宋_GB2312" w:hAnsi="微软雅黑" w:eastAsia="仿宋_GB2312" w:cs="仿宋_GB2312"/>
          <w:b w:val="0"/>
          <w:color w:val="646464"/>
          <w:sz w:val="32"/>
          <w:szCs w:val="32"/>
          <w:shd w:val="clear" w:color="auto" w:fill="FFFFFF"/>
        </w:rPr>
        <w:t>台</w:t>
      </w:r>
      <w:r>
        <w:rPr>
          <w:rFonts w:hint="eastAsia" w:ascii="仿宋_GB2312" w:hAnsi="微软雅黑" w:eastAsia="仿宋_GB2312" w:cs="仿宋_GB2312"/>
          <w:b w:val="0"/>
          <w:color w:val="646464"/>
          <w:sz w:val="32"/>
          <w:szCs w:val="32"/>
          <w:shd w:val="clear" w:color="auto" w:fill="FFFFFF"/>
          <w:lang w:eastAsia="zh-CN"/>
        </w:rPr>
        <w:t>，其中局本级</w:t>
      </w:r>
      <w:r>
        <w:rPr>
          <w:rFonts w:hint="eastAsia" w:ascii="仿宋_GB2312" w:hAnsi="微软雅黑" w:eastAsia="仿宋_GB2312" w:cs="仿宋_GB2312"/>
          <w:b w:val="0"/>
          <w:color w:val="646464"/>
          <w:sz w:val="32"/>
          <w:szCs w:val="32"/>
          <w:shd w:val="clear" w:color="auto" w:fill="FFFFFF"/>
          <w:lang w:val="en-US" w:eastAsia="zh-CN"/>
        </w:rPr>
        <w:t>3台，三防办2台，</w:t>
      </w:r>
      <w:r>
        <w:rPr>
          <w:rFonts w:hint="eastAsia" w:ascii="仿宋_GB2312" w:hAnsi="微软雅黑" w:eastAsia="仿宋_GB2312" w:cs="仿宋_GB2312"/>
          <w:b w:val="0"/>
          <w:color w:val="646464"/>
          <w:sz w:val="32"/>
          <w:szCs w:val="32"/>
          <w:shd w:val="clear" w:color="auto" w:fill="FFFFFF"/>
        </w:rPr>
        <w:t>单位价值50万元以上通用设备0台（套），单位价值100万元以上专用设备0台（套）</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2016年，本部门推进预算绩效信息公开的有关工作情况。项目绩效目标覆盖率为40%；对比上年推进单位行政运行绩效等工作。</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：本项为必须公开内容，可解释本部门预算特有的较为专业的名词，或是财政预算编制方面名词。）</w:t>
      </w:r>
    </w:p>
    <w:p>
      <w:pPr>
        <w:numPr>
          <w:ilvl w:val="0"/>
          <w:numId w:val="6"/>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hint="eastAsia" w:ascii="仿宋_GB2312" w:hAnsi="仿宋_GB2312" w:eastAsia="仿宋_GB2312" w:cs="仿宋_GB2312"/>
          <w:sz w:val="32"/>
          <w:szCs w:val="32"/>
          <w:highlight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C2FAE"/>
    <w:rsid w:val="04D34A7A"/>
    <w:rsid w:val="0FD049C6"/>
    <w:rsid w:val="13016A31"/>
    <w:rsid w:val="16A73597"/>
    <w:rsid w:val="1A29120A"/>
    <w:rsid w:val="1E102D0F"/>
    <w:rsid w:val="1EE60C4F"/>
    <w:rsid w:val="202013C8"/>
    <w:rsid w:val="20EE6A13"/>
    <w:rsid w:val="20F05CCD"/>
    <w:rsid w:val="21385F34"/>
    <w:rsid w:val="26B04D7D"/>
    <w:rsid w:val="27A81C3B"/>
    <w:rsid w:val="28E3089E"/>
    <w:rsid w:val="29837BFB"/>
    <w:rsid w:val="2BB142FD"/>
    <w:rsid w:val="2CD64D46"/>
    <w:rsid w:val="31602AC7"/>
    <w:rsid w:val="34C723B9"/>
    <w:rsid w:val="359C398C"/>
    <w:rsid w:val="36E602DD"/>
    <w:rsid w:val="3C772841"/>
    <w:rsid w:val="3C857E04"/>
    <w:rsid w:val="4105523C"/>
    <w:rsid w:val="41620431"/>
    <w:rsid w:val="42475F40"/>
    <w:rsid w:val="44DA7C16"/>
    <w:rsid w:val="458133DA"/>
    <w:rsid w:val="46F77145"/>
    <w:rsid w:val="4BB64AB4"/>
    <w:rsid w:val="4E8340A2"/>
    <w:rsid w:val="508C6352"/>
    <w:rsid w:val="50CB6A87"/>
    <w:rsid w:val="54932454"/>
    <w:rsid w:val="552F4176"/>
    <w:rsid w:val="57C016A1"/>
    <w:rsid w:val="585403D9"/>
    <w:rsid w:val="59553BAB"/>
    <w:rsid w:val="59875F3D"/>
    <w:rsid w:val="5BAE4409"/>
    <w:rsid w:val="5D30427C"/>
    <w:rsid w:val="5D6C589B"/>
    <w:rsid w:val="5D9D41B9"/>
    <w:rsid w:val="5DEF510C"/>
    <w:rsid w:val="60E37A9B"/>
    <w:rsid w:val="621F3299"/>
    <w:rsid w:val="63790595"/>
    <w:rsid w:val="65E661F2"/>
    <w:rsid w:val="65EB74EC"/>
    <w:rsid w:val="65F660F7"/>
    <w:rsid w:val="66D06120"/>
    <w:rsid w:val="67357991"/>
    <w:rsid w:val="67CC4970"/>
    <w:rsid w:val="693963E5"/>
    <w:rsid w:val="6AC1685E"/>
    <w:rsid w:val="6C7D6EB3"/>
    <w:rsid w:val="6CAD4381"/>
    <w:rsid w:val="6D714179"/>
    <w:rsid w:val="6D9B07DA"/>
    <w:rsid w:val="6E2B2B9F"/>
    <w:rsid w:val="73AD353B"/>
    <w:rsid w:val="777A3C93"/>
    <w:rsid w:val="781F5557"/>
    <w:rsid w:val="79F94B5D"/>
    <w:rsid w:val="7A3D118F"/>
    <w:rsid w:val="7AB35D35"/>
    <w:rsid w:val="7B801682"/>
    <w:rsid w:val="7BA628A1"/>
    <w:rsid w:val="7D314B40"/>
    <w:rsid w:val="7EC2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2018-09-12T08:24:37Z</cp:lastPrinted>
  <dcterms:modified xsi:type="dcterms:W3CDTF">2018-09-12T08:43:34Z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