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r>
        <w:rPr>
          <w:rFonts w:ascii="方正小标宋简体" w:hAnsi="方正小标宋简体" w:cs="方正小标宋简体" w:eastAsia="方正小标宋简体"/>
          <w:color w:val="auto"/>
          <w:spacing w:val="0"/>
          <w:position w:val="0"/>
          <w:sz w:val="84"/>
          <w:shd w:fill="auto" w:val="clear"/>
        </w:rPr>
        <w:t xml:space="preserve">2016</w:t>
      </w:r>
      <w:r>
        <w:rPr>
          <w:rFonts w:ascii="宋体" w:hAnsi="宋体" w:cs="宋体" w:eastAsia="宋体"/>
          <w:color w:val="auto"/>
          <w:spacing w:val="0"/>
          <w:position w:val="0"/>
          <w:sz w:val="84"/>
          <w:shd w:fill="auto" w:val="clear"/>
        </w:rPr>
        <w:t xml:space="preserve">年</w:t>
      </w:r>
    </w:p>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r>
        <w:rPr>
          <w:rFonts w:ascii="宋体" w:hAnsi="宋体" w:cs="宋体" w:eastAsia="宋体"/>
          <w:color w:val="auto"/>
          <w:spacing w:val="0"/>
          <w:position w:val="0"/>
          <w:sz w:val="84"/>
          <w:shd w:fill="auto" w:val="clear"/>
        </w:rPr>
        <w:t xml:space="preserve">清新区迳口水利站部门预算补充公开</w:t>
      </w:r>
    </w:p>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84"/>
          <w:shd w:fill="auto" w:val="clear"/>
        </w:rPr>
      </w:pPr>
      <w:r>
        <w:rPr>
          <w:rFonts w:ascii="方正小标宋简体" w:hAnsi="方正小标宋简体" w:cs="方正小标宋简体" w:eastAsia="方正小标宋简体"/>
          <w:color w:val="auto"/>
          <w:spacing w:val="0"/>
          <w:position w:val="0"/>
          <w:sz w:val="84"/>
          <w:shd w:fill="auto" w:val="clear"/>
        </w:rPr>
        <w:t xml:space="preserve"> </w:t>
      </w:r>
    </w:p>
    <w:p>
      <w:pPr>
        <w:spacing w:before="0" w:after="0" w:line="240"/>
        <w:ind w:right="0" w:left="0" w:firstLine="0"/>
        <w:jc w:val="center"/>
        <w:rPr>
          <w:rFonts w:ascii="黑体" w:hAnsi="黑体" w:cs="黑体" w:eastAsia="黑体"/>
          <w:color w:val="auto"/>
          <w:spacing w:val="0"/>
          <w:position w:val="0"/>
          <w:sz w:val="44"/>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第一部分</w:t>
      </w:r>
      <w:r>
        <w:rPr>
          <w:rFonts w:ascii="方正小标宋简体" w:hAnsi="方正小标宋简体" w:cs="方正小标宋简体" w:eastAsia="方正小标宋简体"/>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概况</w:t>
      </w:r>
    </w:p>
    <w:p>
      <w:pPr>
        <w:spacing w:before="0" w:after="0" w:line="240"/>
        <w:ind w:right="0" w:left="0" w:firstLine="0"/>
        <w:jc w:val="both"/>
        <w:rPr>
          <w:rFonts w:ascii="黑体" w:hAnsi="黑体" w:cs="黑体" w:eastAsia="黑体"/>
          <w:color w:val="auto"/>
          <w:spacing w:val="0"/>
          <w:position w:val="0"/>
          <w:sz w:val="28"/>
          <w:shd w:fill="auto" w:val="clear"/>
        </w:rPr>
      </w:pPr>
    </w:p>
    <w:p>
      <w:pPr>
        <w:numPr>
          <w:ilvl w:val="0"/>
          <w:numId w:val="3"/>
        </w:numPr>
        <w:spacing w:before="0" w:after="0" w:line="240"/>
        <w:ind w:right="0" w:left="0" w:firstLine="640"/>
        <w:jc w:val="both"/>
        <w:rPr>
          <w:rFonts w:ascii="黑体" w:hAnsi="黑体" w:cs="黑体" w:eastAsia="黑体"/>
          <w:color w:val="000000"/>
          <w:spacing w:val="0"/>
          <w:position w:val="0"/>
          <w:sz w:val="28"/>
          <w:shd w:fill="auto" w:val="clear"/>
        </w:rPr>
      </w:pPr>
      <w:r>
        <w:rPr>
          <w:rFonts w:ascii="黑体" w:hAnsi="黑体" w:cs="黑体" w:eastAsia="黑体"/>
          <w:color w:val="000000"/>
          <w:spacing w:val="0"/>
          <w:position w:val="0"/>
          <w:sz w:val="28"/>
          <w:shd w:fill="auto" w:val="clear"/>
        </w:rPr>
        <w:t xml:space="preserve">主要职责</w:t>
      </w:r>
    </w:p>
    <w:p>
      <w:pPr>
        <w:spacing w:before="0" w:after="0" w:line="240"/>
        <w:ind w:right="0" w:left="0" w:firstLine="0"/>
        <w:jc w:val="both"/>
        <w:rPr>
          <w:rFonts w:ascii="Calibri" w:hAnsi="Calibri" w:cs="Calibri" w:eastAsia="Calibri"/>
          <w:color w:val="333333"/>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黑体" w:hAnsi="黑体" w:cs="黑体" w:eastAsia="黑体"/>
          <w:color w:val="333333"/>
          <w:spacing w:val="0"/>
          <w:position w:val="0"/>
          <w:sz w:val="28"/>
          <w:shd w:fill="auto" w:val="clear"/>
        </w:rPr>
        <w:t xml:space="preserve">本部门承担迳口闸坝，闸门等水利枢纽工程，灌区灌渠及附属设施的运行、维修和养护等工程。承担闸坝等水利枢纽工程的安全运行检查观测和河道水文监测等工作，建立健全工程技术档案。协助三防办做好迳口水利枢纽工程防汛预案及相关工作。协调调度清西片农业灌溉、居民及迳口电站发电用水有关工作。</w:t>
      </w:r>
      <w:r>
        <w:rPr>
          <w:rFonts w:ascii="宋体" w:hAnsi="宋体" w:cs="宋体" w:eastAsia="宋体"/>
          <w:color w:val="000000"/>
          <w:spacing w:val="0"/>
          <w:position w:val="0"/>
          <w:sz w:val="28"/>
          <w:shd w:fill="auto" w:val="clear"/>
        </w:rPr>
        <w:t xml:space="preserve">依法制止侵占、破坏水利枢纽工程等违章、违法行为。</w:t>
      </w:r>
      <w:r>
        <w:rPr>
          <w:rFonts w:ascii="黑体" w:hAnsi="黑体" w:cs="黑体" w:eastAsia="黑体"/>
          <w:color w:val="333333"/>
          <w:spacing w:val="0"/>
          <w:position w:val="0"/>
          <w:sz w:val="28"/>
          <w:shd w:fill="auto" w:val="clear"/>
        </w:rPr>
        <w:t xml:space="preserve">承办上级业务主管部门交办的其它工作。</w:t>
      </w:r>
    </w:p>
    <w:p>
      <w:pPr>
        <w:spacing w:before="0" w:after="0" w:line="240"/>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宋体" w:hAnsi="宋体" w:cs="宋体" w:eastAsia="宋体"/>
          <w:color w:val="000000"/>
          <w:spacing w:val="0"/>
          <w:position w:val="0"/>
          <w:sz w:val="28"/>
          <w:shd w:fill="auto" w:val="clear"/>
        </w:rPr>
        <w:t xml:space="preserve">二、机构设置</w:t>
      </w:r>
    </w:p>
    <w:p>
      <w:pPr>
        <w:widowControl w:val="false"/>
        <w:spacing w:before="0" w:after="0" w:line="240"/>
        <w:ind w:right="0" w:left="0" w:firstLine="0"/>
        <w:jc w:val="both"/>
        <w:rPr>
          <w:rFonts w:ascii="宋体" w:hAnsi="宋体" w:cs="宋体" w:eastAsia="宋体"/>
          <w:color w:val="auto"/>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宋体" w:hAnsi="宋体" w:cs="宋体" w:eastAsia="宋体"/>
          <w:color w:val="000000"/>
          <w:spacing w:val="0"/>
          <w:position w:val="0"/>
          <w:sz w:val="28"/>
          <w:shd w:fill="auto" w:val="clear"/>
        </w:rPr>
        <w:t xml:space="preserve">我单位为区财政局全额拨款事业单位，水务局直属的公益一类事业单位，设站长一名，副站长二名，由财政按公益一类事业单位的标准给予。</w:t>
      </w:r>
      <w:r>
        <w:rPr>
          <w:rFonts w:ascii="Calibri" w:hAnsi="Calibri" w:cs="Calibri" w:eastAsia="Calibri"/>
          <w:color w:val="000000"/>
          <w:spacing w:val="0"/>
          <w:position w:val="0"/>
          <w:sz w:val="28"/>
          <w:shd w:fill="auto" w:val="clear"/>
        </w:rPr>
        <w:t xml:space="preserve">2015</w:t>
      </w:r>
      <w:r>
        <w:rPr>
          <w:rFonts w:ascii="宋体" w:hAnsi="宋体" w:cs="宋体" w:eastAsia="宋体"/>
          <w:color w:val="000000"/>
          <w:spacing w:val="0"/>
          <w:position w:val="0"/>
          <w:sz w:val="28"/>
          <w:shd w:fill="auto" w:val="clear"/>
        </w:rPr>
        <w:t xml:space="preserve">年未编制人数</w:t>
      </w:r>
      <w:r>
        <w:rPr>
          <w:rFonts w:ascii="Calibri" w:hAnsi="Calibri" w:cs="Calibri" w:eastAsia="Calibri"/>
          <w:color w:val="000000"/>
          <w:spacing w:val="0"/>
          <w:position w:val="0"/>
          <w:sz w:val="28"/>
          <w:shd w:fill="auto" w:val="clear"/>
        </w:rPr>
        <w:t xml:space="preserve">16</w:t>
      </w:r>
      <w:r>
        <w:rPr>
          <w:rFonts w:ascii="宋体" w:hAnsi="宋体" w:cs="宋体" w:eastAsia="宋体"/>
          <w:color w:val="000000"/>
          <w:spacing w:val="0"/>
          <w:position w:val="0"/>
          <w:sz w:val="28"/>
          <w:shd w:fill="auto" w:val="clear"/>
        </w:rPr>
        <w:t xml:space="preserve">人，在职人数</w:t>
      </w:r>
      <w:r>
        <w:rPr>
          <w:rFonts w:ascii="Calibri" w:hAnsi="Calibri" w:cs="Calibri" w:eastAsia="Calibri"/>
          <w:color w:val="000000"/>
          <w:spacing w:val="0"/>
          <w:position w:val="0"/>
          <w:sz w:val="28"/>
          <w:shd w:fill="auto" w:val="clear"/>
        </w:rPr>
        <w:t xml:space="preserve">19</w:t>
      </w:r>
      <w:r>
        <w:rPr>
          <w:rFonts w:ascii="宋体" w:hAnsi="宋体" w:cs="宋体" w:eastAsia="宋体"/>
          <w:color w:val="000000"/>
          <w:spacing w:val="0"/>
          <w:position w:val="0"/>
          <w:sz w:val="28"/>
          <w:shd w:fill="auto" w:val="clear"/>
        </w:rPr>
        <w:t xml:space="preserve">人，其中在编在职16人，临工</w:t>
      </w:r>
      <w:r>
        <w:rPr>
          <w:rFonts w:ascii="Calibri" w:hAnsi="Calibri" w:cs="Calibri" w:eastAsia="Calibri"/>
          <w:color w:val="000000"/>
          <w:spacing w:val="0"/>
          <w:position w:val="0"/>
          <w:sz w:val="28"/>
          <w:shd w:fill="auto" w:val="clear"/>
        </w:rPr>
        <w:t xml:space="preserve">3</w:t>
      </w:r>
      <w:r>
        <w:rPr>
          <w:rFonts w:ascii="宋体" w:hAnsi="宋体" w:cs="宋体" w:eastAsia="宋体"/>
          <w:color w:val="000000"/>
          <w:spacing w:val="0"/>
          <w:position w:val="0"/>
          <w:sz w:val="28"/>
          <w:shd w:fill="auto" w:val="clear"/>
        </w:rPr>
        <w:t xml:space="preserve">人，退休工</w:t>
      </w:r>
      <w:r>
        <w:rPr>
          <w:rFonts w:ascii="Calibri" w:hAnsi="Calibri" w:cs="Calibri" w:eastAsia="Calibri"/>
          <w:color w:val="000000"/>
          <w:spacing w:val="0"/>
          <w:position w:val="0"/>
          <w:sz w:val="28"/>
          <w:shd w:fill="auto" w:val="clear"/>
        </w:rPr>
        <w:t xml:space="preserve">25</w:t>
      </w:r>
      <w:r>
        <w:rPr>
          <w:rFonts w:ascii="宋体" w:hAnsi="宋体" w:cs="宋体" w:eastAsia="宋体"/>
          <w:color w:val="000000"/>
          <w:spacing w:val="0"/>
          <w:position w:val="0"/>
          <w:sz w:val="28"/>
          <w:shd w:fill="auto" w:val="clear"/>
        </w:rPr>
        <w:t xml:space="preserve">人，均纳入预算财政拨款。</w:t>
      </w:r>
      <w:r>
        <w:rPr>
          <w:rFonts w:ascii="宋体" w:hAnsi="宋体" w:cs="宋体" w:eastAsia="宋体"/>
          <w:color w:val="auto"/>
          <w:spacing w:val="0"/>
          <w:position w:val="0"/>
          <w:sz w:val="28"/>
          <w:shd w:fill="auto" w:val="clear"/>
        </w:rPr>
        <w:t xml:space="preserve">因本部门无下属单位，本级预算和所属在内的汇总预算已做到最末级。</w:t>
      </w:r>
    </w:p>
    <w:p>
      <w:pPr>
        <w:spacing w:before="0" w:after="0" w:line="240"/>
        <w:ind w:right="0" w:left="0" w:firstLine="0"/>
        <w:jc w:val="both"/>
        <w:rPr>
          <w:rFonts w:ascii="Calibri" w:hAnsi="Calibri" w:cs="Calibri" w:eastAsia="Calibri"/>
          <w:color w:val="333333"/>
          <w:spacing w:val="0"/>
          <w:position w:val="0"/>
          <w:sz w:val="28"/>
          <w:shd w:fill="auto" w:val="clear"/>
        </w:rPr>
      </w:pPr>
    </w:p>
    <w:p>
      <w:pPr>
        <w:spacing w:before="0" w:after="0" w:line="240"/>
        <w:ind w:right="0" w:left="0" w:firstLine="0"/>
        <w:jc w:val="both"/>
        <w:rPr>
          <w:rFonts w:ascii="Calibri" w:hAnsi="Calibri" w:cs="Calibri" w:eastAsia="Calibri"/>
          <w:color w:val="333333"/>
          <w:spacing w:val="0"/>
          <w:position w:val="0"/>
          <w:sz w:val="28"/>
          <w:shd w:fill="auto" w:val="clear"/>
        </w:rPr>
      </w:pPr>
    </w:p>
    <w:p>
      <w:pPr>
        <w:tabs>
          <w:tab w:val="center" w:pos="4153" w:leader="none"/>
        </w:tabs>
        <w:spacing w:before="0" w:after="0" w:line="240"/>
        <w:ind w:right="0" w:left="0" w:firstLine="0"/>
        <w:jc w:val="left"/>
        <w:rPr>
          <w:rFonts w:ascii="Calibri" w:hAnsi="Calibri" w:cs="Calibri" w:eastAsia="Calibri"/>
          <w:color w:val="666666"/>
          <w:spacing w:val="0"/>
          <w:position w:val="0"/>
          <w:sz w:val="28"/>
          <w:shd w:fill="auto" w:val="clear"/>
        </w:rPr>
      </w:pPr>
      <w:r>
        <w:rPr>
          <w:rFonts w:ascii="Calibri" w:hAnsi="Calibri" w:cs="Calibri" w:eastAsia="Calibri"/>
          <w:color w:val="666666"/>
          <w:spacing w:val="0"/>
          <w:position w:val="0"/>
          <w:sz w:val="28"/>
          <w:shd w:fill="auto" w:val="clear"/>
        </w:rPr>
        <w:tab/>
        <w:t xml:space="preserve">           </w:t>
      </w:r>
    </w:p>
    <w:p>
      <w:pPr>
        <w:spacing w:before="0" w:after="0" w:line="240"/>
        <w:ind w:right="0" w:left="0" w:firstLine="0"/>
        <w:jc w:val="center"/>
        <w:rPr>
          <w:rFonts w:ascii="方正小标宋简体" w:hAnsi="方正小标宋简体" w:cs="方正小标宋简体" w:eastAsia="方正小标宋简体"/>
          <w:color w:val="000000"/>
          <w:spacing w:val="0"/>
          <w:position w:val="0"/>
          <w:sz w:val="44"/>
          <w:shd w:fill="auto" w:val="clear"/>
        </w:rPr>
      </w:pPr>
      <w:r>
        <w:rPr>
          <w:rFonts w:ascii="宋体" w:hAnsi="宋体" w:cs="宋体" w:eastAsia="宋体"/>
          <w:color w:val="000000"/>
          <w:spacing w:val="0"/>
          <w:position w:val="0"/>
          <w:sz w:val="44"/>
          <w:shd w:fill="auto" w:val="clear"/>
        </w:rPr>
        <w:t xml:space="preserve">第二部分</w:t>
      </w:r>
      <w:r>
        <w:rPr>
          <w:rFonts w:ascii="方正小标宋简体" w:hAnsi="方正小标宋简体" w:cs="方正小标宋简体" w:eastAsia="方正小标宋简体"/>
          <w:color w:val="000000"/>
          <w:spacing w:val="0"/>
          <w:position w:val="0"/>
          <w:sz w:val="44"/>
          <w:shd w:fill="auto" w:val="clear"/>
        </w:rPr>
        <w:t xml:space="preserve">  2016</w:t>
      </w:r>
      <w:r>
        <w:rPr>
          <w:rFonts w:ascii="宋体" w:hAnsi="宋体" w:cs="宋体" w:eastAsia="宋体"/>
          <w:color w:val="000000"/>
          <w:spacing w:val="0"/>
          <w:position w:val="0"/>
          <w:sz w:val="44"/>
          <w:shd w:fill="auto" w:val="clear"/>
        </w:rPr>
        <w:t xml:space="preserve">年部门预算表</w:t>
      </w:r>
    </w:p>
    <w:p>
      <w:pPr>
        <w:spacing w:before="0" w:after="0" w:line="240"/>
        <w:ind w:right="0" w:left="0" w:firstLine="0"/>
        <w:jc w:val="both"/>
        <w:rPr>
          <w:rFonts w:ascii="楷体_GB2312" w:hAnsi="楷体_GB2312" w:cs="楷体_GB2312" w:eastAsia="楷体_GB2312"/>
          <w:color w:val="auto"/>
          <w:spacing w:val="0"/>
          <w:position w:val="0"/>
          <w:sz w:val="32"/>
          <w:shd w:fill="auto" w:val="clear"/>
        </w:rPr>
      </w:pPr>
    </w:p>
    <w:tbl>
      <w:tblPr/>
      <w:tblGrid>
        <w:gridCol w:w="2462"/>
        <w:gridCol w:w="2541"/>
        <w:gridCol w:w="2462"/>
        <w:gridCol w:w="2223"/>
      </w:tblGrid>
      <w:tr>
        <w:trPr>
          <w:trHeight w:val="495" w:hRule="auto"/>
          <w:jc w:val="left"/>
        </w:trPr>
        <w:tc>
          <w:tcPr>
            <w:tcW w:w="9688" w:type="dxa"/>
            <w:gridSpan w:val="4"/>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收支总体情况表</w:t>
            </w:r>
          </w:p>
        </w:tc>
      </w:tr>
      <w:tr>
        <w:trPr>
          <w:trHeight w:val="390" w:hRule="auto"/>
          <w:jc w:val="left"/>
        </w:trPr>
        <w:tc>
          <w:tcPr>
            <w:tcW w:w="7465"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2223"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390" w:hRule="auto"/>
          <w:jc w:val="left"/>
        </w:trPr>
        <w:tc>
          <w:tcPr>
            <w:tcW w:w="5003" w:type="dxa"/>
            <w:gridSpan w:val="2"/>
            <w:tcBorders>
              <w:top w:val="single" w:color="000000" w:sz="4"/>
              <w:left w:val="single" w:color="000000" w:sz="4"/>
              <w:bottom w:val="single" w:color="000000" w:sz="4"/>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收        入</w:t>
            </w:r>
          </w:p>
        </w:tc>
        <w:tc>
          <w:tcPr>
            <w:tcW w:w="468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支        出</w:t>
            </w:r>
          </w:p>
        </w:tc>
      </w:tr>
      <w:tr>
        <w:trPr>
          <w:trHeight w:val="390" w:hRule="auto"/>
          <w:jc w:val="left"/>
        </w:trPr>
        <w:tc>
          <w:tcPr>
            <w:tcW w:w="2462" w:type="dxa"/>
            <w:tcBorders>
              <w:top w:val="single" w:color="000000" w:sz="4"/>
              <w:left w:val="single" w:color="000000" w:sz="4"/>
              <w:bottom w:val="single" w:color="000000" w:sz="0"/>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2541" w:type="dxa"/>
            <w:tcBorders>
              <w:top w:val="single" w:color="000000" w:sz="4"/>
              <w:left w:val="single" w:color="000000" w:sz="4"/>
              <w:bottom w:val="single" w:color="000000" w:sz="0"/>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c>
          <w:tcPr>
            <w:tcW w:w="2462" w:type="dxa"/>
            <w:tcBorders>
              <w:top w:val="single" w:color="000000" w:sz="0"/>
              <w:left w:val="single" w:color="000000" w:sz="4"/>
              <w:bottom w:val="single" w:color="000000" w:sz="0"/>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2223" w:type="dxa"/>
            <w:tcBorders>
              <w:top w:val="single" w:color="000000" w:sz="0"/>
              <w:left w:val="single" w:color="000000" w:sz="4"/>
              <w:bottom w:val="single" w:color="000000" w:sz="0"/>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一、财政拨款</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一、基本支出</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2,234,032.00 </w:t>
            </w: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二、财政专户拨款</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二、项目支出</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 </w:t>
            </w: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三、其他资金</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三、事业单位经营支出</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本年收入合计</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本年支出合计</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四、上级补助收入</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四、对附属单位补助支出</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五、附属单位上缴收入</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五、上缴上级支出</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六、用事业基金弥补收支总额</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六、结转下年</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收入总计</w:t>
            </w:r>
          </w:p>
        </w:tc>
        <w:tc>
          <w:tcPr>
            <w:tcW w:w="25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c>
          <w:tcPr>
            <w:tcW w:w="2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支出总计</w:t>
            </w:r>
          </w:p>
        </w:tc>
        <w:tc>
          <w:tcPr>
            <w:tcW w:w="222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90" w:hRule="auto"/>
          <w:jc w:val="left"/>
        </w:trPr>
        <w:tc>
          <w:tcPr>
            <w:tcW w:w="9688" w:type="dxa"/>
            <w:gridSpan w:val="4"/>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18"/>
                <w:u w:val="single"/>
                <w:shd w:fill="auto" w:val="clear"/>
              </w:rPr>
              <w:t xml:space="preserve">注：财政拨款收支情况包括一般公共预算、政府性基金预算、国有资本经营预算拨款收支情况。</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3289"/>
        <w:gridCol w:w="3447"/>
        <w:gridCol w:w="988"/>
      </w:tblGrid>
      <w:tr>
        <w:trPr>
          <w:trHeight w:val="300" w:hRule="auto"/>
          <w:jc w:val="left"/>
        </w:trPr>
        <w:tc>
          <w:tcPr>
            <w:tcW w:w="328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344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988" w:type="dxa"/>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表2</w:t>
            </w:r>
          </w:p>
        </w:tc>
      </w:tr>
      <w:tr>
        <w:trPr>
          <w:trHeight w:val="300" w:hRule="auto"/>
          <w:jc w:val="left"/>
        </w:trPr>
        <w:tc>
          <w:tcPr>
            <w:tcW w:w="7724"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收入总体情况表</w:t>
            </w:r>
          </w:p>
        </w:tc>
      </w:tr>
      <w:tr>
        <w:trPr>
          <w:trHeight w:val="300" w:hRule="auto"/>
          <w:jc w:val="left"/>
        </w:trPr>
        <w:tc>
          <w:tcPr>
            <w:tcW w:w="6736"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988" w:type="dxa"/>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一、预算拨款</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一般公共预算拨款</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基金预算拨款</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二、财政专户拨款</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教育收费</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其他财政收入拨款</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三、其他资金</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事业收入</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事业单位经营收入</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其他收入</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本  年  收  入  合  计</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四、上级补助收入</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五、附属单位上缴收入</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六、用事业基金弥补收支总额</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0" w:hRule="auto"/>
          <w:jc w:val="left"/>
        </w:trPr>
        <w:tc>
          <w:tcPr>
            <w:tcW w:w="3289"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收    入    总    计</w:t>
            </w:r>
          </w:p>
        </w:tc>
        <w:tc>
          <w:tcPr>
            <w:tcW w:w="44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bl>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3035"/>
        <w:gridCol w:w="3104"/>
        <w:gridCol w:w="1584"/>
      </w:tblGrid>
      <w:tr>
        <w:trPr>
          <w:trHeight w:val="390" w:hRule="auto"/>
          <w:jc w:val="left"/>
        </w:trPr>
        <w:tc>
          <w:tcPr>
            <w:tcW w:w="3035"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310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584" w:type="dxa"/>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表3</w:t>
            </w:r>
          </w:p>
        </w:tc>
      </w:tr>
      <w:tr>
        <w:trPr>
          <w:trHeight w:val="495" w:hRule="auto"/>
          <w:jc w:val="left"/>
        </w:trPr>
        <w:tc>
          <w:tcPr>
            <w:tcW w:w="7723"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支出总体情况表</w:t>
            </w:r>
          </w:p>
        </w:tc>
      </w:tr>
      <w:tr>
        <w:trPr>
          <w:trHeight w:val="390" w:hRule="auto"/>
          <w:jc w:val="left"/>
        </w:trPr>
        <w:tc>
          <w:tcPr>
            <w:tcW w:w="6139"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w:t>
            </w:r>
          </w:p>
        </w:tc>
        <w:tc>
          <w:tcPr>
            <w:tcW w:w="1584" w:type="dxa"/>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一、基本支出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工资福利支出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1,460,624.00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一般商品和服务支出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126,000.00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对个人和家庭的补助</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647,408.00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其他资本性支出等</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二、项目支出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日常运转类项目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政府购买服务类项目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其他类项目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科技研发类项目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基本建设类项目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补助企事业类项目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信息化运维类项目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专项业务类项目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因公出国（境）项目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信息系统建设类项目</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三、事业单位经营支出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本  年  支  出  合  计</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四、对附属单位补助支出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五、上缴上级支出</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六、结转下年</w:t>
            </w: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3035" w:type="dxa"/>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68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2421"/>
        <w:gridCol w:w="2514"/>
        <w:gridCol w:w="2421"/>
        <w:gridCol w:w="2332"/>
      </w:tblGrid>
      <w:tr>
        <w:trPr>
          <w:trHeight w:val="390" w:hRule="auto"/>
          <w:jc w:val="left"/>
        </w:trPr>
        <w:tc>
          <w:tcPr>
            <w:tcW w:w="2421"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14"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21"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332"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表4</w:t>
            </w:r>
          </w:p>
        </w:tc>
      </w:tr>
      <w:tr>
        <w:trPr>
          <w:trHeight w:val="495" w:hRule="auto"/>
          <w:jc w:val="left"/>
        </w:trPr>
        <w:tc>
          <w:tcPr>
            <w:tcW w:w="9688" w:type="dxa"/>
            <w:gridSpan w:val="4"/>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财政拨款收支总体情况表</w:t>
            </w:r>
          </w:p>
        </w:tc>
      </w:tr>
      <w:tr>
        <w:trPr>
          <w:trHeight w:val="390" w:hRule="auto"/>
          <w:jc w:val="left"/>
        </w:trPr>
        <w:tc>
          <w:tcPr>
            <w:tcW w:w="7356"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2332"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390" w:hRule="auto"/>
          <w:jc w:val="left"/>
        </w:trPr>
        <w:tc>
          <w:tcPr>
            <w:tcW w:w="4935" w:type="dxa"/>
            <w:gridSpan w:val="2"/>
            <w:tcBorders>
              <w:top w:val="single" w:color="000000" w:sz="4"/>
              <w:left w:val="single" w:color="000000" w:sz="4"/>
              <w:bottom w:val="single" w:color="000000" w:sz="4"/>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收        入</w:t>
            </w:r>
          </w:p>
        </w:tc>
        <w:tc>
          <w:tcPr>
            <w:tcW w:w="4753"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支        出</w:t>
            </w:r>
          </w:p>
        </w:tc>
      </w:tr>
      <w:tr>
        <w:trPr>
          <w:trHeight w:val="390" w:hRule="auto"/>
          <w:jc w:val="left"/>
        </w:trPr>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251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c>
          <w:tcPr>
            <w:tcW w:w="2421"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2332"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r>
      <w:tr>
        <w:trPr>
          <w:trHeight w:val="390" w:hRule="auto"/>
          <w:jc w:val="left"/>
        </w:trPr>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一、一般公共预算</w:t>
            </w:r>
          </w:p>
        </w:tc>
        <w:tc>
          <w:tcPr>
            <w:tcW w:w="251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一、一般公共预算</w:t>
            </w:r>
          </w:p>
        </w:tc>
        <w:tc>
          <w:tcPr>
            <w:tcW w:w="23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r>
        <w:trPr>
          <w:trHeight w:val="390" w:hRule="auto"/>
          <w:jc w:val="left"/>
        </w:trPr>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二、政府性基金预算</w:t>
            </w:r>
          </w:p>
        </w:tc>
        <w:tc>
          <w:tcPr>
            <w:tcW w:w="251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二、政府性基金预算</w:t>
            </w:r>
          </w:p>
        </w:tc>
        <w:tc>
          <w:tcPr>
            <w:tcW w:w="23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三、国有资本经营预算</w:t>
            </w:r>
          </w:p>
        </w:tc>
        <w:tc>
          <w:tcPr>
            <w:tcW w:w="251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三、国有资本经营预算</w:t>
            </w:r>
          </w:p>
        </w:tc>
        <w:tc>
          <w:tcPr>
            <w:tcW w:w="23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51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3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本年收入合计</w:t>
            </w:r>
          </w:p>
        </w:tc>
        <w:tc>
          <w:tcPr>
            <w:tcW w:w="251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c>
          <w:tcPr>
            <w:tcW w:w="24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本年支出合计</w:t>
            </w:r>
          </w:p>
        </w:tc>
        <w:tc>
          <w:tcPr>
            <w:tcW w:w="23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 </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1724"/>
        <w:gridCol w:w="1072"/>
        <w:gridCol w:w="1271"/>
        <w:gridCol w:w="1069"/>
        <w:gridCol w:w="1516"/>
        <w:gridCol w:w="752"/>
        <w:gridCol w:w="722"/>
      </w:tblGrid>
      <w:tr>
        <w:trPr>
          <w:trHeight w:val="240" w:hRule="auto"/>
          <w:jc w:val="left"/>
        </w:trPr>
        <w:tc>
          <w:tcPr>
            <w:tcW w:w="2796"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2340"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51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474"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表5</w:t>
            </w:r>
          </w:p>
        </w:tc>
      </w:tr>
      <w:tr>
        <w:trPr>
          <w:trHeight w:val="240" w:hRule="auto"/>
          <w:jc w:val="left"/>
        </w:trPr>
        <w:tc>
          <w:tcPr>
            <w:tcW w:w="8126" w:type="dxa"/>
            <w:gridSpan w:val="7"/>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一般公共预算支出情况表（按功能分类科目）</w:t>
            </w:r>
          </w:p>
        </w:tc>
      </w:tr>
      <w:tr>
        <w:trPr>
          <w:trHeight w:val="240" w:hRule="auto"/>
          <w:jc w:val="left"/>
        </w:trPr>
        <w:tc>
          <w:tcPr>
            <w:tcW w:w="6652"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1474"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240" w:hRule="auto"/>
          <w:jc w:val="left"/>
        </w:trPr>
        <w:tc>
          <w:tcPr>
            <w:tcW w:w="2796" w:type="dxa"/>
            <w:gridSpan w:val="2"/>
            <w:vMerge w:val="restart"/>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功能科目名称</w:t>
            </w:r>
          </w:p>
        </w:tc>
        <w:tc>
          <w:tcPr>
            <w:tcW w:w="5330" w:type="dxa"/>
            <w:gridSpan w:val="5"/>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一般公共预算支出</w:t>
            </w:r>
          </w:p>
        </w:tc>
      </w:tr>
      <w:tr>
        <w:trPr>
          <w:trHeight w:val="240" w:hRule="auto"/>
          <w:jc w:val="left"/>
        </w:trPr>
        <w:tc>
          <w:tcPr>
            <w:tcW w:w="2796" w:type="dxa"/>
            <w:gridSpan w:val="2"/>
            <w:vMerge/>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340" w:type="dxa"/>
            <w:gridSpan w:val="2"/>
            <w:tcBorders>
              <w:top w:val="single" w:color="000000" w:sz="0"/>
              <w:left w:val="single" w:color="000000" w:sz="0"/>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小计</w:t>
            </w:r>
          </w:p>
        </w:tc>
        <w:tc>
          <w:tcPr>
            <w:tcW w:w="1516" w:type="dxa"/>
            <w:tcBorders>
              <w:top w:val="single" w:color="000000" w:sz="0"/>
              <w:left w:val="single" w:color="000000" w:sz="0"/>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其中：基本支出</w:t>
            </w:r>
          </w:p>
        </w:tc>
        <w:tc>
          <w:tcPr>
            <w:tcW w:w="1474" w:type="dxa"/>
            <w:gridSpan w:val="2"/>
            <w:tcBorders>
              <w:top w:val="single" w:color="000000" w:sz="0"/>
              <w:left w:val="single" w:color="000000" w:sz="0"/>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项目支出</w:t>
            </w: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合    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2,234,032.00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w:t>
            </w: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[201]一般公共服务支出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1,903,744.00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1,545,152.00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358,592.00</w:t>
            </w: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[20104]发展与改革事务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[2010499]其他发展与改革事务支出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[20111]纪检监察事务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[2011105]派驻派出机构</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[20131]党委办公厅（室）及相关机构事务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[2013101]行政运行</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[2013102]一般行政管理事务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[2013103]机关服务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[2013105]专项业务</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[2013106]水利工程运行与维护</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1,903,741.00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1,545,152.00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358,592.00</w:t>
            </w: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[2013199]其他党委办公厅（室）及相关机构事务支出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[204]公共安全支出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[20409]国家保密</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[2040905]保密管理</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[2040999]其他国家保密支出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3"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[205]教育支出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[20502]普通教育</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[2050201]学前教育</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[208]社会保障和就业支出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660,457.00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591,596.00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68,861.00</w:t>
            </w: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[20805]行政事业单位离退休</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[2080501]归口管理的行政单位离退休</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[2080502]事业单位离退休</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660,457.00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591,596.00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68,861.00</w:t>
            </w: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[2080599]其他行政事业单位离退休支出</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[2100502]事业单位医疗</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41,472.00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41,472.00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[2080801]遗属补助</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7,812.00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7,812.00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2796"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[2210201]住房公积金</w:t>
            </w:r>
          </w:p>
        </w:tc>
        <w:tc>
          <w:tcPr>
            <w:tcW w:w="2340"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48,000.00</w:t>
            </w:r>
          </w:p>
        </w:tc>
        <w:tc>
          <w:tcPr>
            <w:tcW w:w="1516" w:type="dxa"/>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48,000.00</w:t>
            </w:r>
          </w:p>
        </w:tc>
        <w:tc>
          <w:tcPr>
            <w:tcW w:w="1474" w:type="dxa"/>
            <w:gridSpan w:val="2"/>
            <w:tcBorders>
              <w:top w:val="single" w:color="000000" w:sz="4"/>
              <w:left w:val="single" w:color="000000" w:sz="0"/>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40" w:hRule="auto"/>
          <w:jc w:val="left"/>
        </w:trPr>
        <w:tc>
          <w:tcPr>
            <w:tcW w:w="172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2343"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3337"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表6</w:t>
            </w:r>
          </w:p>
        </w:tc>
      </w:tr>
      <w:tr>
        <w:trPr>
          <w:trHeight w:val="240" w:hRule="auto"/>
          <w:jc w:val="left"/>
        </w:trPr>
        <w:tc>
          <w:tcPr>
            <w:tcW w:w="7404" w:type="dxa"/>
            <w:gridSpan w:val="6"/>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一般公共预算基本支出情况表（按支出经济分类科目）</w:t>
            </w:r>
          </w:p>
        </w:tc>
      </w:tr>
      <w:tr>
        <w:trPr>
          <w:trHeight w:val="240" w:hRule="auto"/>
          <w:jc w:val="left"/>
        </w:trPr>
        <w:tc>
          <w:tcPr>
            <w:tcW w:w="4067"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3337"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227" w:hRule="auto"/>
          <w:jc w:val="left"/>
        </w:trPr>
        <w:tc>
          <w:tcPr>
            <w:tcW w:w="1724" w:type="dxa"/>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政府预算支出经济分类</w:t>
            </w:r>
          </w:p>
        </w:tc>
        <w:tc>
          <w:tcPr>
            <w:tcW w:w="2343" w:type="dxa"/>
            <w:gridSpan w:val="2"/>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部门预算支出经济科目</w:t>
            </w:r>
          </w:p>
        </w:tc>
        <w:tc>
          <w:tcPr>
            <w:tcW w:w="3337" w:type="dxa"/>
            <w:gridSpan w:val="3"/>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合    计</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2,661,485.00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[501]机关工资福利支出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[301]工资福利支出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1,508,624.00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[50101]工资奖金津补贴</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[30101]基本工资</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434,304.00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[50101]工资奖金津补贴</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[30102]津贴补贴</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984,848.00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[50101]工资奖金津补贴</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[30103]奖金</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[50102]社会保障缴费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[30112]其他社会保障缴费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41,472.00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[50103]住房公积金</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[30113]住房公积金</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48,000.00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[50199]其他工资福利支出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[30106]伙食补助费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[502]机关商品和服务支出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[302]商品和服务支出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126,000.00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[30201]办公费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[30202]印刷费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[30204]手续费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[30205]水费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[30206]电费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[30207]邮电费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[30209]物业管理费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[30211]差旅费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[30214]租赁费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[30228]工会经费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[30229]福利费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[30239]其他交通费用</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[50202]会议费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[30215]会议费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[50203]培训费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[30216]培训费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[50205]委托业务费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[30203]咨询费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[50205]委托业务费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[30226]劳务费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[50205]委托业务费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[30227]委托业务费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[50206]公务接待费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[30217]公务接待费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[50207]因公出国（境）费用</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[30212]因公出国（境）费用</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[50208]公务用车运行维护费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[30231]公务用车运行维护费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30,000.00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[50209]维修（护）费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[30213]维修（护）费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[50299]其他商品和服务支出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[30299]其他商品和服务支出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96,000.00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[503]机关资本性支出（一）</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[310]资本性支出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[50306]设备购置</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[31002]办公设备购置</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[505]对事业单位经常性补助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[301]工资福利支出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[50501]工资福利支出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[30101]基本工资</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[50501]工资福利支出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[30102]津贴补贴</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[50501]工资福利支出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[30103]奖金</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[50501]工资福利支出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[30107]绩效工资</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[50501]工资福利支出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[30113]住房公积金</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[50501]工资福利支出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[30199]其他工资福利支出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[505]对事业单位经常性补助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[302]商品和服务支出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[50502]商品和服务支出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[30201]办公费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[50502]商品和服务支出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[30299]其他商品和服务支出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[509]对个人和家庭的补助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[303]对个人和家庭的补助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1,026,861.00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[50901]社会福利和救助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[30304]抚恤金</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[50901]社会福利和救助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[30305]生活补助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211,208.00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[50901]社会福利和救助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[30307]医疗费补助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[50901]社会福利和救助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[30309]奖励金</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[50905]离退休费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[30301]离休费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[50905]离退休费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[30302]退休费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388,200.00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[50999]其他对个人和家庭的补助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[30399]其他对个人和家庭的补助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w:t>
            </w:r>
          </w:p>
        </w:tc>
      </w:tr>
      <w:tr>
        <w:trPr>
          <w:trHeight w:val="227" w:hRule="auto"/>
          <w:jc w:val="left"/>
        </w:trPr>
        <w:tc>
          <w:tcPr>
            <w:tcW w:w="172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2343"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3337"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000000"/>
                <w:spacing w:val="0"/>
                <w:position w:val="0"/>
                <w:sz w:val="20"/>
                <w:u w:val="single"/>
                <w:shd w:fill="auto" w:val="clear"/>
              </w:rPr>
            </w:pPr>
            <w:r>
              <w:rPr>
                <w:rFonts w:ascii="宋体" w:hAnsi="宋体" w:cs="宋体" w:eastAsia="宋体"/>
                <w:color w:val="000000"/>
                <w:spacing w:val="0"/>
                <w:position w:val="0"/>
                <w:sz w:val="20"/>
                <w:u w:val="single"/>
                <w:shd w:fill="auto" w:val="clear"/>
              </w:rPr>
              <w:t xml:space="preserve">表7</w:t>
            </w: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表7</w:t>
            </w:r>
          </w:p>
        </w:tc>
      </w:tr>
      <w:tr>
        <w:trPr>
          <w:trHeight w:val="495" w:hRule="auto"/>
          <w:jc w:val="left"/>
        </w:trPr>
        <w:tc>
          <w:tcPr>
            <w:tcW w:w="7404" w:type="dxa"/>
            <w:gridSpan w:val="6"/>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一般公共预算项目支出情况表（按支出经济分类科目）</w:t>
            </w:r>
          </w:p>
        </w:tc>
      </w:tr>
      <w:tr>
        <w:trPr>
          <w:trHeight w:val="390" w:hRule="auto"/>
          <w:jc w:val="left"/>
        </w:trPr>
        <w:tc>
          <w:tcPr>
            <w:tcW w:w="4067"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3337" w:type="dxa"/>
            <w:gridSpan w:val="3"/>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227" w:hRule="auto"/>
          <w:jc w:val="left"/>
        </w:trPr>
        <w:tc>
          <w:tcPr>
            <w:tcW w:w="1724" w:type="dxa"/>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政府预算支出经济分类</w:t>
            </w:r>
          </w:p>
        </w:tc>
        <w:tc>
          <w:tcPr>
            <w:tcW w:w="2343" w:type="dxa"/>
            <w:gridSpan w:val="2"/>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部门预算支出经济科目</w:t>
            </w:r>
          </w:p>
        </w:tc>
        <w:tc>
          <w:tcPr>
            <w:tcW w:w="3337" w:type="dxa"/>
            <w:gridSpan w:val="3"/>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合    计</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[501]机关工资福利支出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[301]工资福利支出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[50199]其他工资福利支出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[30106]伙食补助费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[50199]其他工资福利支出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[30199]其他工资福利支出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358,592.00</w:t>
            </w: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[502]机关商品和服务支出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[302]商品和服务支出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[30201]办公费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[30202]印刷费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[30204]手续费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[30205]水费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[30206]电费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[30207]邮电费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[30209]物业管理费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[30211]差旅费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[30214]租赁费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[50201]办公经费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[30239]其他交通费用</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[50202]会议费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[30215]会议费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[50203]培训费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[30216]培训费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[50205]委托业务费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[30203]咨询费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[50205]委托业务费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[30226]劳务费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[50206]公务接待费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[30217]公务接待费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[50208]公务用车运行维护费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[30231]公务用车运行维护费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[50209]维修（护）费</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[30213]维修（护）费</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[50299]其他商品和服务支出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[30299]其他商品和服务支出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[503]机关资本性支出（一）</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[310]资本性支出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[50301]房屋建筑物购建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[31001]房屋建筑物购建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[50303]公务用车购置</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[31013]公务用车购置</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[50306]设备购置</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[31002]办公设备购置</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[50306]设备购置</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[31003]专用设备购置</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[50306]设备购置</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[31007]信息网络及软件购置更新</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[50307]大型修缮</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[31006]大型修缮</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[50399]其他资本性支出</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[31099]其他资本性支出</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[509]对个人和家庭的补助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[303]对个人和家庭的补助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[50901]社会福利和救助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[30307]医疗费补助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27" w:hRule="auto"/>
          <w:jc w:val="left"/>
        </w:trPr>
        <w:tc>
          <w:tcPr>
            <w:tcW w:w="1724"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[50999]其他对个人和家庭的补助</w:t>
            </w:r>
          </w:p>
        </w:tc>
        <w:tc>
          <w:tcPr>
            <w:tcW w:w="2343"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[30399]其他对个人和家庭的补助</w:t>
            </w:r>
          </w:p>
        </w:tc>
        <w:tc>
          <w:tcPr>
            <w:tcW w:w="3337"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68,861.00</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1169"/>
        <w:gridCol w:w="1006"/>
        <w:gridCol w:w="771"/>
        <w:gridCol w:w="1355"/>
        <w:gridCol w:w="798"/>
        <w:gridCol w:w="876"/>
        <w:gridCol w:w="656"/>
        <w:gridCol w:w="579"/>
        <w:gridCol w:w="579"/>
        <w:gridCol w:w="478"/>
        <w:gridCol w:w="538"/>
        <w:gridCol w:w="688"/>
        <w:gridCol w:w="641"/>
      </w:tblGrid>
      <w:tr>
        <w:trPr>
          <w:trHeight w:val="390" w:hRule="auto"/>
          <w:jc w:val="left"/>
        </w:trPr>
        <w:tc>
          <w:tcPr>
            <w:tcW w:w="2175"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2924"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532"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表8</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495" w:hRule="auto"/>
          <w:jc w:val="left"/>
        </w:trPr>
        <w:tc>
          <w:tcPr>
            <w:tcW w:w="6631" w:type="dxa"/>
            <w:gridSpan w:val="7"/>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一般公共预算安排的行政经费及“三公”经费预算表</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5099"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1532"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175" w:type="dxa"/>
            <w:gridSpan w:val="2"/>
            <w:tcBorders>
              <w:top w:val="single" w:color="000000" w:sz="4"/>
              <w:left w:val="single" w:color="000000" w:sz="4"/>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        目</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2016年预算</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行政经费</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“三公”经费</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30,000.00 </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其中：（一）因公出国（境）支出</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78"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（二）公务用车购置及运行维护支出</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30,000.00 </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78"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1.公务用车购置</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78"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2.公务用车运行维护费</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30,000.00 </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78"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            （三）公务接待费支出</w:t>
            </w: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4456" w:type="dxa"/>
            <w:gridSpan w:val="5"/>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1891" w:hRule="auto"/>
          <w:jc w:val="left"/>
        </w:trPr>
        <w:tc>
          <w:tcPr>
            <w:tcW w:w="6631" w:type="dxa"/>
            <w:gridSpan w:val="7"/>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注：</w:t>
              <w:br/>
              <w:t xml:space="preserve">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1291" w:hRule="auto"/>
          <w:jc w:val="left"/>
        </w:trPr>
        <w:tc>
          <w:tcPr>
            <w:tcW w:w="6631" w:type="dxa"/>
            <w:gridSpan w:val="7"/>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85" w:hRule="auto"/>
          <w:jc w:val="left"/>
        </w:trPr>
        <w:tc>
          <w:tcPr>
            <w:tcW w:w="2175"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2924"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532"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color w:val="000000"/>
                <w:spacing w:val="0"/>
                <w:position w:val="0"/>
                <w:sz w:val="20"/>
                <w:u w:val="single"/>
                <w:shd w:fill="auto" w:val="clear"/>
              </w:rPr>
            </w:pPr>
          </w:p>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表9</w:t>
            </w:r>
          </w:p>
        </w:tc>
      </w:tr>
      <w:tr>
        <w:trPr>
          <w:trHeight w:val="375" w:hRule="auto"/>
          <w:jc w:val="left"/>
        </w:trPr>
        <w:tc>
          <w:tcPr>
            <w:tcW w:w="7789" w:type="dxa"/>
            <w:gridSpan w:val="9"/>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2016年政府性基金预算支出情况表</w:t>
            </w:r>
          </w:p>
        </w:tc>
      </w:tr>
      <w:tr>
        <w:trPr>
          <w:trHeight w:val="285" w:hRule="auto"/>
          <w:jc w:val="left"/>
        </w:trPr>
        <w:tc>
          <w:tcPr>
            <w:tcW w:w="6631" w:type="dxa"/>
            <w:gridSpan w:val="7"/>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1158" w:type="dxa"/>
            <w:gridSpan w:val="2"/>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单位：元</w:t>
            </w:r>
          </w:p>
        </w:tc>
      </w:tr>
      <w:tr>
        <w:trPr>
          <w:trHeight w:val="285" w:hRule="auto"/>
          <w:jc w:val="left"/>
        </w:trPr>
        <w:tc>
          <w:tcPr>
            <w:tcW w:w="2175" w:type="dxa"/>
            <w:gridSpan w:val="2"/>
            <w:vMerge w:val="restart"/>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功能科目名称</w:t>
            </w:r>
          </w:p>
        </w:tc>
        <w:tc>
          <w:tcPr>
            <w:tcW w:w="5614" w:type="dxa"/>
            <w:gridSpan w:val="7"/>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政府性基金预算支出</w:t>
            </w:r>
          </w:p>
        </w:tc>
      </w:tr>
      <w:tr>
        <w:trPr>
          <w:trHeight w:val="285" w:hRule="auto"/>
          <w:jc w:val="left"/>
        </w:trPr>
        <w:tc>
          <w:tcPr>
            <w:tcW w:w="2175" w:type="dxa"/>
            <w:gridSpan w:val="2"/>
            <w:vMerge/>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924"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小计</w:t>
            </w:r>
          </w:p>
        </w:tc>
        <w:tc>
          <w:tcPr>
            <w:tcW w:w="1532"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其中：基本支出</w:t>
            </w:r>
          </w:p>
        </w:tc>
        <w:tc>
          <w:tcPr>
            <w:tcW w:w="115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项目支出</w:t>
            </w:r>
          </w:p>
        </w:tc>
      </w:tr>
      <w:tr>
        <w:trPr>
          <w:trHeight w:val="285" w:hRule="auto"/>
          <w:jc w:val="left"/>
        </w:trPr>
        <w:tc>
          <w:tcPr>
            <w:tcW w:w="2175" w:type="dxa"/>
            <w:gridSpan w:val="2"/>
            <w:tcBorders>
              <w:top w:val="single" w:color="000000" w:sz="4"/>
              <w:left w:val="single" w:color="000000" w:sz="4"/>
              <w:bottom w:val="single" w:color="000000" w:sz="4"/>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924" w:type="dxa"/>
            <w:gridSpan w:val="3"/>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532"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158"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285" w:hRule="auto"/>
          <w:jc w:val="left"/>
        </w:trPr>
        <w:tc>
          <w:tcPr>
            <w:tcW w:w="7789" w:type="dxa"/>
            <w:gridSpan w:val="9"/>
            <w:tcBorders>
              <w:top w:val="single" w:color="000000" w:sz="0"/>
              <w:left w:val="single" w:color="000000" w:sz="0"/>
              <w:bottom w:val="single" w:color="000000" w:sz="0"/>
              <w:right w:val="single" w:color="000000" w:sz="0"/>
            </w:tcBorders>
            <w:shd w:color="auto" w:fill="ffffff"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18"/>
                <w:u w:val="single"/>
                <w:shd w:fill="auto" w:val="clear"/>
              </w:rPr>
              <w:t xml:space="preserve">注：如该部门无政府性基金安排的支出，则本表为空。同时按照财政部有关要求，以空表呈报省人代会审议。</w:t>
            </w:r>
          </w:p>
        </w:tc>
      </w:tr>
      <w:tr>
        <w:trPr>
          <w:trHeight w:val="256" w:hRule="auto"/>
          <w:jc w:val="left"/>
        </w:trPr>
        <w:tc>
          <w:tcPr>
            <w:tcW w:w="2175"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2924"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532"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158"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777"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5"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67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5"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1057"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538"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表10</w:t>
            </w: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495" w:hRule="auto"/>
          <w:jc w:val="left"/>
        </w:trPr>
        <w:tc>
          <w:tcPr>
            <w:tcW w:w="9493" w:type="dxa"/>
            <w:gridSpan w:val="1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2016年部门预算基本支出预算表</w:t>
            </w: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8267" w:type="dxa"/>
            <w:gridSpan w:val="10"/>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53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金额：元</w:t>
            </w: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支出项目类别（资金使用单位）</w:t>
            </w:r>
          </w:p>
        </w:tc>
        <w:tc>
          <w:tcPr>
            <w:tcW w:w="1777" w:type="dxa"/>
            <w:gridSpan w:val="2"/>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总计</w:t>
            </w:r>
          </w:p>
        </w:tc>
        <w:tc>
          <w:tcPr>
            <w:tcW w:w="5321" w:type="dxa"/>
            <w:gridSpan w:val="7"/>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财政拨款</w:t>
            </w:r>
          </w:p>
        </w:tc>
        <w:tc>
          <w:tcPr>
            <w:tcW w:w="538" w:type="dxa"/>
            <w:vMerge w:val="restart"/>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财政专户拨款</w:t>
            </w:r>
          </w:p>
        </w:tc>
        <w:tc>
          <w:tcPr>
            <w:tcW w:w="688" w:type="dxa"/>
            <w:vMerge w:val="restart"/>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其他资金</w:t>
            </w: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600" w:hRule="auto"/>
          <w:jc w:val="left"/>
        </w:trPr>
        <w:tc>
          <w:tcPr>
            <w:tcW w:w="116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77" w:type="dxa"/>
            <w:gridSpan w:val="2"/>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合计</w:t>
            </w:r>
          </w:p>
        </w:tc>
        <w:tc>
          <w:tcPr>
            <w:tcW w:w="1674" w:type="dxa"/>
            <w:gridSpan w:val="2"/>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一般公共预算</w:t>
            </w:r>
          </w:p>
        </w:tc>
        <w:tc>
          <w:tcPr>
            <w:tcW w:w="1235" w:type="dxa"/>
            <w:gridSpan w:val="2"/>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政府性基金预算</w:t>
            </w:r>
          </w:p>
        </w:tc>
        <w:tc>
          <w:tcPr>
            <w:tcW w:w="1057" w:type="dxa"/>
            <w:gridSpan w:val="2"/>
            <w:tcBorders>
              <w:top w:val="single" w:color="000000" w:sz="4"/>
              <w:left w:val="single" w:color="000000" w:sz="4"/>
              <w:bottom w:val="single" w:color="000000" w:sz="0"/>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国有资本经营预算</w:t>
            </w:r>
          </w:p>
        </w:tc>
        <w:tc>
          <w:tcPr>
            <w:tcW w:w="538" w:type="dxa"/>
            <w:vMerge/>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88" w:type="dxa"/>
            <w:vMerge/>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w:t>
            </w:r>
          </w:p>
        </w:tc>
        <w:tc>
          <w:tcPr>
            <w:tcW w:w="1777"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w:t>
            </w:r>
          </w:p>
        </w:tc>
        <w:tc>
          <w:tcPr>
            <w:tcW w:w="1355"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w:t>
            </w:r>
          </w:p>
        </w:tc>
        <w:tc>
          <w:tcPr>
            <w:tcW w:w="1674"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w:t>
            </w:r>
          </w:p>
        </w:tc>
        <w:tc>
          <w:tcPr>
            <w:tcW w:w="1235"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w:t>
            </w:r>
          </w:p>
        </w:tc>
        <w:tc>
          <w:tcPr>
            <w:tcW w:w="1057" w:type="dxa"/>
            <w:gridSpan w:val="2"/>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w:t>
            </w:r>
          </w:p>
        </w:tc>
        <w:tc>
          <w:tcPr>
            <w:tcW w:w="538"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w:t>
            </w:r>
          </w:p>
        </w:tc>
        <w:tc>
          <w:tcPr>
            <w:tcW w:w="688" w:type="dxa"/>
            <w:tcBorders>
              <w:top w:val="single" w:color="000000" w:sz="4"/>
              <w:left w:val="single" w:color="000000" w:sz="4"/>
              <w:bottom w:val="single" w:color="000000" w:sz="4"/>
              <w:right w:val="single" w:color="000000" w:sz="4"/>
            </w:tcBorders>
            <w:shd w:color="auto" w:fill="ffffff"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7</w:t>
            </w: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合计</w:t>
            </w: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2,234,032.00 </w:t>
            </w: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2,234,032.00 </w:t>
            </w: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2,234,032.00 </w:t>
            </w: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77"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55"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67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235"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057"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53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8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77"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355"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67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35"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057"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53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8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表11</w:t>
            </w:r>
          </w:p>
        </w:tc>
      </w:tr>
      <w:tr>
        <w:trPr>
          <w:trHeight w:val="390" w:hRule="auto"/>
          <w:jc w:val="left"/>
        </w:trPr>
        <w:tc>
          <w:tcPr>
            <w:tcW w:w="10134" w:type="dxa"/>
            <w:gridSpan w:val="13"/>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b/>
                <w:color w:val="000000"/>
                <w:spacing w:val="0"/>
                <w:position w:val="0"/>
                <w:sz w:val="28"/>
                <w:u w:val="single"/>
                <w:shd w:fill="auto" w:val="clear"/>
              </w:rPr>
              <w:t xml:space="preserve">2016年部门预算项目支出及其他支出预算表</w:t>
            </w:r>
          </w:p>
        </w:tc>
      </w:tr>
      <w:tr>
        <w:trPr>
          <w:trHeight w:val="390" w:hRule="auto"/>
          <w:jc w:val="left"/>
        </w:trPr>
        <w:tc>
          <w:tcPr>
            <w:tcW w:w="8267" w:type="dxa"/>
            <w:gridSpan w:val="10"/>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单位名称：清新区迳口水利站</w:t>
            </w:r>
          </w:p>
        </w:tc>
        <w:tc>
          <w:tcPr>
            <w:tcW w:w="53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88"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41" w:type="dxa"/>
            <w:tcBorders>
              <w:top w:val="single" w:color="000000" w:sz="0"/>
              <w:left w:val="single" w:color="000000" w:sz="0"/>
              <w:bottom w:val="single" w:color="000000" w:sz="0"/>
              <w:right w:val="single" w:color="000000" w:sz="0"/>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金额：元</w:t>
            </w:r>
          </w:p>
        </w:tc>
      </w:tr>
      <w:tr>
        <w:trPr>
          <w:trHeight w:val="390" w:hRule="auto"/>
          <w:jc w:val="left"/>
        </w:trPr>
        <w:tc>
          <w:tcPr>
            <w:tcW w:w="1169"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支出项目类别（资金使用单位）</w:t>
            </w:r>
          </w:p>
        </w:tc>
        <w:tc>
          <w:tcPr>
            <w:tcW w:w="1777" w:type="dxa"/>
            <w:gridSpan w:val="2"/>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总计</w:t>
            </w:r>
          </w:p>
        </w:tc>
        <w:tc>
          <w:tcPr>
            <w:tcW w:w="5321" w:type="dxa"/>
            <w:gridSpan w:val="7"/>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财政拨款</w:t>
            </w:r>
          </w:p>
        </w:tc>
        <w:tc>
          <w:tcPr>
            <w:tcW w:w="538"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财政专户拨款</w:t>
            </w:r>
          </w:p>
        </w:tc>
        <w:tc>
          <w:tcPr>
            <w:tcW w:w="688"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其他资金</w:t>
            </w:r>
          </w:p>
        </w:tc>
        <w:tc>
          <w:tcPr>
            <w:tcW w:w="641"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绩效目标</w:t>
            </w:r>
          </w:p>
        </w:tc>
      </w:tr>
      <w:tr>
        <w:trPr>
          <w:trHeight w:val="390" w:hRule="auto"/>
          <w:jc w:val="left"/>
        </w:trPr>
        <w:tc>
          <w:tcPr>
            <w:tcW w:w="116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777" w:type="dxa"/>
            <w:gridSpan w:val="2"/>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合计</w:t>
            </w: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一般公共预算</w:t>
            </w: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政府性基金预算</w:t>
            </w: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国有资本经营预算</w:t>
            </w:r>
          </w:p>
        </w:tc>
        <w:tc>
          <w:tcPr>
            <w:tcW w:w="53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8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64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w:t>
            </w: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1</w:t>
            </w: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2</w:t>
            </w: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3</w:t>
            </w: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w:t>
            </w: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5</w:t>
            </w: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6</w:t>
            </w: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7</w:t>
            </w:r>
          </w:p>
        </w:tc>
        <w:tc>
          <w:tcPr>
            <w:tcW w:w="6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8</w:t>
            </w: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合计</w:t>
            </w: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 </w:t>
            </w: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 </w:t>
            </w: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spacing w:val="0"/>
                <w:position w:val="0"/>
              </w:rPr>
            </w:pPr>
            <w:r>
              <w:rPr>
                <w:rFonts w:ascii="宋体" w:hAnsi="宋体" w:cs="宋体" w:eastAsia="宋体"/>
                <w:color w:val="000000"/>
                <w:spacing w:val="0"/>
                <w:position w:val="0"/>
                <w:sz w:val="20"/>
                <w:u w:val="single"/>
                <w:shd w:fill="auto" w:val="clear"/>
              </w:rPr>
              <w:t xml:space="preserve">427,453.00 </w:t>
            </w: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6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6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390" w:hRule="auto"/>
          <w:jc w:val="left"/>
        </w:trPr>
        <w:tc>
          <w:tcPr>
            <w:tcW w:w="116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77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355"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67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235"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05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53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6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Calibri" w:hAnsi="Calibri" w:cs="Calibri" w:eastAsia="Calibri"/>
          <w:b/>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第三部分</w:t>
      </w:r>
      <w:r>
        <w:rPr>
          <w:rFonts w:ascii="方正小标宋简体" w:hAnsi="方正小标宋简体" w:cs="方正小标宋简体" w:eastAsia="方正小标宋简体"/>
          <w:color w:val="auto"/>
          <w:spacing w:val="0"/>
          <w:position w:val="0"/>
          <w:sz w:val="44"/>
          <w:shd w:fill="auto" w:val="clear"/>
        </w:rPr>
        <w:t xml:space="preserve">  2016</w:t>
      </w:r>
      <w:r>
        <w:rPr>
          <w:rFonts w:ascii="宋体" w:hAnsi="宋体" w:cs="宋体" w:eastAsia="宋体"/>
          <w:color w:val="auto"/>
          <w:spacing w:val="0"/>
          <w:position w:val="0"/>
          <w:sz w:val="44"/>
          <w:shd w:fill="auto" w:val="clear"/>
        </w:rPr>
        <w:t xml:space="preserve">年部门预算情况说明</w:t>
      </w:r>
    </w:p>
    <w:p>
      <w:pPr>
        <w:spacing w:before="0" w:after="0" w:line="240"/>
        <w:ind w:right="0" w:left="0" w:firstLine="640"/>
        <w:jc w:val="both"/>
        <w:rPr>
          <w:rFonts w:ascii="楷体_GB2312" w:hAnsi="楷体_GB2312" w:cs="楷体_GB2312" w:eastAsia="楷体_GB2312"/>
          <w:color w:val="auto"/>
          <w:spacing w:val="0"/>
          <w:position w:val="0"/>
          <w:sz w:val="32"/>
          <w:shd w:fill="C0C0C0" w:val="clear"/>
        </w:rPr>
      </w:pPr>
      <w:r>
        <w:rPr>
          <w:rFonts w:ascii="宋体" w:hAnsi="宋体" w:cs="宋体" w:eastAsia="宋体"/>
          <w:color w:val="auto"/>
          <w:spacing w:val="0"/>
          <w:position w:val="0"/>
          <w:sz w:val="32"/>
          <w:shd w:fill="C0C0C0" w:val="clear"/>
        </w:rPr>
        <w:t xml:space="preserve">（</w:t>
      </w:r>
      <w:r>
        <w:rPr>
          <w:rFonts w:ascii="宋体" w:hAnsi="宋体" w:cs="宋体" w:eastAsia="宋体"/>
          <w:b/>
          <w:color w:val="auto"/>
          <w:spacing w:val="0"/>
          <w:position w:val="0"/>
          <w:sz w:val="32"/>
          <w:shd w:fill="C0C0C0" w:val="clear"/>
        </w:rPr>
        <w:t xml:space="preserve">说明</w:t>
      </w:r>
      <w:r>
        <w:rPr>
          <w:rFonts w:ascii="宋体" w:hAnsi="宋体" w:cs="宋体" w:eastAsia="宋体"/>
          <w:color w:val="auto"/>
          <w:spacing w:val="0"/>
          <w:position w:val="0"/>
          <w:sz w:val="32"/>
          <w:shd w:fill="C0C0C0" w:val="clear"/>
        </w:rPr>
        <w:t xml:space="preserve">：在以下必须公开的基本说明基础上，可根据本部门情况加以细化说明）</w:t>
      </w:r>
    </w:p>
    <w:p>
      <w:pPr>
        <w:spacing w:before="0" w:after="0" w:line="240"/>
        <w:ind w:right="0" w:left="0" w:firstLine="0"/>
        <w:jc w:val="both"/>
        <w:rPr>
          <w:rFonts w:ascii="方正小标宋简体" w:hAnsi="方正小标宋简体" w:cs="方正小标宋简体" w:eastAsia="方正小标宋简体"/>
          <w:color w:val="auto"/>
          <w:spacing w:val="0"/>
          <w:position w:val="0"/>
          <w:sz w:val="44"/>
          <w:shd w:fill="auto" w:val="clear"/>
        </w:rPr>
      </w:pP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三、部门预算收支增减变化情况</w:t>
      </w:r>
    </w:p>
    <w:p>
      <w:pPr>
        <w:spacing w:before="0" w:after="0" w:line="480"/>
        <w:ind w:right="0" w:left="0" w:firstLine="80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1、收入预算，2016年年初预算数2661485元，其中，一般公共预算拨款2234032元。收入较去年增加476045元，主要是2016年工资补贴。</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2、支出预算，2016年年初预算数2661485元，其中基本支出2234032元，基本工资、津贴补贴等人员经费1460624元，以及办公费、印刷费、水电费、办公设备购置等日常公用经费126000元，对个人和家庭的补助647408元。对比上年增加476045元，主要是2016年增加在职人员政策性奖励支出。项目支出427453元，与去年支出555592元，减少128139，主要是2016年维修费减少。</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四、“三公”经费情况</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2016年“三公”经费预算数为3万元，公务用车购置及运行费3万元(其中，公务用车购置费0万元，公务用车运行费3万元)，因公出国(境)费0万元 。2016年“三公”经费预算与2015年3万元保持一致，没有增减。</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五、机关运行经费情况</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2016年度机关运行经费其他商品和服务支出运行经费126000元，和2015年保持一致</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六、政府采购情况</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2016年政府采购预算0万元。其中行政拨款0万元。</w:t>
      </w:r>
    </w:p>
    <w:p>
      <w:pPr>
        <w:spacing w:before="0" w:after="0" w:line="24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七、国有资产占有使用情况</w:t>
      </w:r>
    </w:p>
    <w:p>
      <w:pPr>
        <w:spacing w:before="0" w:after="0" w:line="24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截至</w:t>
      </w:r>
      <w:r>
        <w:rPr>
          <w:rFonts w:ascii="仿宋_GB2312" w:hAnsi="仿宋_GB2312" w:cs="仿宋_GB2312" w:eastAsia="仿宋_GB2312"/>
          <w:color w:val="auto"/>
          <w:spacing w:val="0"/>
          <w:position w:val="0"/>
          <w:sz w:val="32"/>
          <w:shd w:fill="auto" w:val="clear"/>
        </w:rPr>
        <w:t xml:space="preserve">2015</w:t>
      </w:r>
      <w:r>
        <w:rPr>
          <w:rFonts w:ascii="宋体" w:hAnsi="宋体" w:cs="宋体" w:eastAsia="宋体"/>
          <w:color w:val="auto"/>
          <w:spacing w:val="0"/>
          <w:position w:val="0"/>
          <w:sz w:val="32"/>
          <w:shd w:fill="auto" w:val="clear"/>
        </w:rPr>
        <w:t xml:space="preserve">年</w:t>
      </w:r>
      <w:r>
        <w:rPr>
          <w:rFonts w:ascii="仿宋_GB2312" w:hAnsi="仿宋_GB2312" w:cs="仿宋_GB2312" w:eastAsia="仿宋_GB2312"/>
          <w:color w:val="auto"/>
          <w:spacing w:val="0"/>
          <w:position w:val="0"/>
          <w:sz w:val="32"/>
          <w:shd w:fill="auto" w:val="clear"/>
        </w:rPr>
        <w:t xml:space="preserve">12</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31</w:t>
      </w:r>
      <w:r>
        <w:rPr>
          <w:rFonts w:ascii="宋体" w:hAnsi="宋体" w:cs="宋体" w:eastAsia="宋体"/>
          <w:color w:val="auto"/>
          <w:spacing w:val="0"/>
          <w:position w:val="0"/>
          <w:sz w:val="32"/>
          <w:shd w:fill="auto" w:val="clear"/>
        </w:rPr>
        <w:t xml:space="preserve">日，本部门占有使用国有资产总体情况为：</w:t>
      </w:r>
      <w:r>
        <w:rPr>
          <w:rFonts w:ascii="仿宋_GB2312" w:hAnsi="仿宋_GB2312" w:cs="仿宋_GB2312" w:eastAsia="仿宋_GB2312"/>
          <w:color w:val="auto"/>
          <w:spacing w:val="0"/>
          <w:position w:val="0"/>
          <w:sz w:val="32"/>
          <w:shd w:fill="auto" w:val="clear"/>
        </w:rPr>
        <w:t xml:space="preserve">2145</w:t>
      </w:r>
      <w:r>
        <w:rPr>
          <w:rFonts w:ascii="宋体" w:hAnsi="宋体" w:cs="宋体" w:eastAsia="宋体"/>
          <w:color w:val="auto"/>
          <w:spacing w:val="0"/>
          <w:position w:val="0"/>
          <w:sz w:val="32"/>
          <w:shd w:fill="auto" w:val="clear"/>
        </w:rPr>
        <w:t xml:space="preserve">万元，主要实物资产数据情况为：</w:t>
      </w:r>
      <w:r>
        <w:rPr>
          <w:rFonts w:ascii="仿宋_GB2312" w:hAnsi="仿宋_GB2312" w:cs="仿宋_GB2312" w:eastAsia="仿宋_GB2312"/>
          <w:color w:val="auto"/>
          <w:spacing w:val="0"/>
          <w:position w:val="0"/>
          <w:sz w:val="32"/>
          <w:shd w:fill="auto" w:val="clear"/>
        </w:rPr>
        <w:t xml:space="preserve">2095</w:t>
      </w:r>
      <w:r>
        <w:rPr>
          <w:rFonts w:ascii="宋体" w:hAnsi="宋体" w:cs="宋体" w:eastAsia="宋体"/>
          <w:color w:val="auto"/>
          <w:spacing w:val="0"/>
          <w:position w:val="0"/>
          <w:sz w:val="32"/>
          <w:shd w:fill="auto" w:val="clear"/>
        </w:rPr>
        <w:t xml:space="preserve">万元。</w:t>
      </w:r>
    </w:p>
    <w:p>
      <w:pPr>
        <w:spacing w:before="0" w:after="0" w:line="24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八、预算绩效信息公开情况</w:t>
      </w:r>
    </w:p>
    <w:p>
      <w:pPr>
        <w:spacing w:before="0" w:after="0" w:line="240"/>
        <w:ind w:right="0" w:left="0" w:firstLine="64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2016</w:t>
      </w:r>
      <w:r>
        <w:rPr>
          <w:rFonts w:ascii="宋体" w:hAnsi="宋体" w:cs="宋体" w:eastAsia="宋体"/>
          <w:color w:val="auto"/>
          <w:spacing w:val="0"/>
          <w:position w:val="0"/>
          <w:sz w:val="32"/>
          <w:shd w:fill="auto" w:val="clear"/>
        </w:rPr>
        <w:t xml:space="preserve">年，本部门没有推进预算绩效信息公开的有关工作情况。</w:t>
      </w:r>
    </w:p>
    <w:p>
      <w:pPr>
        <w:spacing w:before="0" w:after="0" w:line="24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第四部分</w:t>
      </w:r>
      <w:r>
        <w:rPr>
          <w:rFonts w:ascii="方正小标宋简体" w:hAnsi="方正小标宋简体" w:cs="方正小标宋简体" w:eastAsia="方正小标宋简体"/>
          <w:color w:val="auto"/>
          <w:spacing w:val="0"/>
          <w:position w:val="0"/>
          <w:sz w:val="44"/>
          <w:shd w:fill="auto" w:val="clear"/>
        </w:rPr>
        <w:t xml:space="preserve">  </w:t>
      </w:r>
      <w:r>
        <w:rPr>
          <w:rFonts w:ascii="宋体" w:hAnsi="宋体" w:cs="宋体" w:eastAsia="宋体"/>
          <w:color w:val="auto"/>
          <w:spacing w:val="0"/>
          <w:position w:val="0"/>
          <w:sz w:val="44"/>
          <w:shd w:fill="auto" w:val="clear"/>
        </w:rPr>
        <w:t xml:space="preserve">名词解释</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spacing w:before="0" w:after="0" w:line="480"/>
        <w:ind w:right="0" w:left="0" w:firstLine="48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2、“三公”经费：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before="0" w:after="0" w:line="240"/>
        <w:ind w:right="0" w:left="0" w:firstLine="560"/>
        <w:jc w:val="both"/>
        <w:rPr>
          <w:rFonts w:ascii="Calibri" w:hAnsi="Calibri" w:cs="Calibri" w:eastAsia="Calibri"/>
          <w:color w:val="auto"/>
          <w:spacing w:val="0"/>
          <w:position w:val="0"/>
          <w:sz w:val="28"/>
          <w:shd w:fill="auto" w:val="clear"/>
        </w:rPr>
      </w:pPr>
    </w:p>
    <w:p>
      <w:pPr>
        <w:spacing w:before="0" w:after="0" w:line="240"/>
        <w:ind w:right="0" w:left="0" w:firstLine="0"/>
        <w:jc w:val="center"/>
        <w:rPr>
          <w:rFonts w:ascii="黑体" w:hAnsi="黑体" w:cs="黑体" w:eastAsia="黑体"/>
          <w:color w:val="auto"/>
          <w:spacing w:val="0"/>
          <w:position w:val="0"/>
          <w:sz w:val="44"/>
          <w:shd w:fill="auto" w:val="clear"/>
        </w:rPr>
      </w:pPr>
    </w:p>
    <w:p>
      <w:pPr>
        <w:spacing w:before="0" w:after="0" w:line="240"/>
        <w:ind w:right="0" w:left="0" w:firstLine="0"/>
        <w:jc w:val="both"/>
        <w:rPr>
          <w:rFonts w:ascii="黑体" w:hAnsi="黑体" w:cs="黑体" w:eastAsia="黑体"/>
          <w:color w:val="auto"/>
          <w:spacing w:val="0"/>
          <w:position w:val="0"/>
          <w:sz w:val="4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