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2016年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6"/>
          <w:szCs w:val="7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6"/>
          <w:szCs w:val="76"/>
          <w:lang w:val="en-US" w:eastAsia="zh-CN"/>
        </w:rPr>
        <w:t>清远市清新区清西防汛工程管理所部门预算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清远市清新区清西防汛工程管理所概况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2016年部门预算表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2016年部门预算情况说明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清远市清新区清西防汛工程管理所概况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承担茅舍岭大泵站、茅舍岭旧站、山塘电排站、茅舍岭五孔闸、清西运河闸、五结合运河闸和多个泄洪闸的机组设备运行、检修、维护等工作；承担内坑、运河等多个河道的管理工作。对清西内坑、清西运河等河道开展雨情、水情监测，健全完善各项水文资料管理。承担茅舍岭大泵站、茅舍岭旧站、山塘电排站的排灌和防汛工作。依法制止侵占、破坏、毁坏水利工程等违章、违法行为。承办上级业务主管部门交办的其它工作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二、机构设置</w:t>
      </w: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因本单位没有下级单位，所以在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</w:t>
      </w:r>
      <w:r>
        <w:rPr>
          <w:rFonts w:hint="eastAsia" w:ascii="仿宋_GB2312" w:eastAsia="仿宋_GB2312"/>
          <w:sz w:val="32"/>
          <w:szCs w:val="32"/>
        </w:rPr>
        <w:t>年部门</w:t>
      </w:r>
      <w:r>
        <w:rPr>
          <w:rFonts w:hint="eastAsia" w:ascii="仿宋_GB2312" w:eastAsia="仿宋_GB2312"/>
          <w:sz w:val="32"/>
          <w:szCs w:val="32"/>
          <w:lang w:eastAsia="zh-CN"/>
        </w:rPr>
        <w:t>预</w:t>
      </w:r>
      <w:r>
        <w:rPr>
          <w:rFonts w:hint="eastAsia" w:ascii="仿宋_GB2312" w:eastAsia="仿宋_GB2312"/>
          <w:sz w:val="32"/>
          <w:szCs w:val="32"/>
        </w:rPr>
        <w:t>算</w:t>
      </w:r>
      <w:r>
        <w:rPr>
          <w:rFonts w:hint="eastAsia" w:ascii="仿宋_GB2312" w:eastAsia="仿宋_GB2312"/>
          <w:sz w:val="32"/>
          <w:szCs w:val="32"/>
          <w:lang w:eastAsia="zh-CN"/>
        </w:rPr>
        <w:t>中本级预算和所属单位预算在内的汇总预算已做到最末级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本部门内设机构、人员构成情况：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单位为正股级，财政拨付公益一类，设所长1名，副所长3名，编制数35名。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2015年期末在职人员34名，退休人员22名，遗属人员4名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2016年部门预算表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lightGray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lightGray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highlight w:val="lightGray"/>
          <w:u w:val="none"/>
          <w:lang w:val="en-US" w:eastAsia="zh-CN"/>
        </w:rPr>
        <w:t>说明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32"/>
          <w:szCs w:val="32"/>
          <w:highlight w:val="lightGray"/>
          <w:u w:val="none"/>
          <w:lang w:val="en-US" w:eastAsia="zh-CN"/>
        </w:rPr>
        <w:t>：以下为表样，具体按本级财政部门批复各部门的表格公开。财预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lightGray"/>
          <w:u w:val="none"/>
          <w:lang w:val="en-US" w:eastAsia="zh-CN"/>
        </w:rPr>
        <w:t>〔2016〕143号文要求至少应公开的8张表必须编制并公开，绩效目标必须有所体现并公开。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32"/>
          <w:szCs w:val="32"/>
          <w:highlight w:val="lightGray"/>
          <w:u w:val="none"/>
          <w:lang w:val="en-US" w:eastAsia="zh-CN"/>
        </w:rPr>
        <w:t>必须公开表中如有表格无数据，也应以空表公开，并备注说明，如表9</w:t>
      </w:r>
      <w:r>
        <w:rPr>
          <w:rFonts w:hint="eastAsia" w:ascii="仿宋_GB2312" w:hAnsi="仿宋_GB2312" w:eastAsia="仿宋_GB2312" w:cs="仿宋_GB2312"/>
          <w:sz w:val="32"/>
          <w:szCs w:val="32"/>
          <w:highlight w:val="lightGray"/>
          <w:lang w:val="en-US" w:eastAsia="zh-CN"/>
        </w:rPr>
        <w:t>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lightGray"/>
          <w:lang w:val="en-US" w:eastAsia="zh-CN"/>
        </w:rPr>
      </w:pPr>
    </w:p>
    <w:p>
      <w:pPr>
        <w:jc w:val="righ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表1</w:t>
      </w:r>
    </w:p>
    <w:tbl>
      <w:tblPr>
        <w:tblStyle w:val="3"/>
        <w:tblW w:w="8737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590"/>
        <w:gridCol w:w="2670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3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</w:rPr>
              <w:t>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清远市清新区清西防汛工程管理所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收    入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     出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年预算数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一、财政拨款</w:t>
            </w:r>
          </w:p>
        </w:tc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  <w:tc>
          <w:tcPr>
            <w:tcW w:w="2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一、基本支出</w:t>
            </w:r>
          </w:p>
        </w:tc>
        <w:tc>
          <w:tcPr>
            <w:tcW w:w="22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二、财政专户拨款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二、项目支出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三、其他资金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三、事业单位经营支出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本年收入合计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本年支出合计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四、上级补助收入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四、对附属单位补助支出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五、附属单位上缴收入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五、上缴上级支出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六、用事业单位基金弥补收支总额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六、结转下年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收 入 总 计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 出 总 计</w:t>
            </w:r>
          </w:p>
        </w:tc>
        <w:tc>
          <w:tcPr>
            <w:tcW w:w="2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73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注：财政拨款收支情况包括一般公共预算、政府性基金预算、国有资本经营预算拨款收支情况。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3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8"/>
        <w:gridCol w:w="4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2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238" w:type="dxa"/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清远市清新区清西防汛工程管理所</w:t>
            </w:r>
          </w:p>
        </w:tc>
        <w:tc>
          <w:tcPr>
            <w:tcW w:w="408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一、预算拨款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一般公共预算拨款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基金预算拨款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二、财政专户拨款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教育收费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  其他财政收入拨款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  事业收入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  事业单位经营收入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  其他收入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六、用事业基金弥补收支总额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收入总计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</w:pPr>
    </w:p>
    <w:p>
      <w:pPr>
        <w:jc w:val="both"/>
      </w:pPr>
      <w:r>
        <w:br w:type="page"/>
      </w:r>
    </w:p>
    <w:tbl>
      <w:tblPr>
        <w:tblStyle w:val="3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2081"/>
        <w:gridCol w:w="372"/>
        <w:gridCol w:w="2527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shd w:val="clear" w:color="auto" w:fill="FFFFFF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1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9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9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30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88" w:type="dxa"/>
            <w:gridSpan w:val="3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清远市清新区清西防汛工程管理所</w:t>
            </w:r>
          </w:p>
        </w:tc>
        <w:tc>
          <w:tcPr>
            <w:tcW w:w="3916" w:type="dxa"/>
            <w:gridSpan w:val="2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工资福利支出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一般商品和服务支出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对个人和家庭的补助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其他资本性支出等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日常运转类项目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政府购买服务类项目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其他类项目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科技研发类项目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基本建设类项目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补助企事业类项目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信息化运维类项目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专项业务类项目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因公出国（境）项目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信息系统建设类项目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三、事业单位经营支出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四、对附属单位补助支出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五、上缴上级支出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六、结转下年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</w:tbl>
    <w:p>
      <w:pPr>
        <w:jc w:val="both"/>
      </w:pPr>
    </w:p>
    <w:tbl>
      <w:tblPr>
        <w:tblStyle w:val="3"/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4"/>
        <w:gridCol w:w="617"/>
        <w:gridCol w:w="1704"/>
        <w:gridCol w:w="179"/>
        <w:gridCol w:w="1974"/>
        <w:gridCol w:w="410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04" w:type="dxa"/>
            <w:shd w:val="clear" w:color="auto" w:fill="FFFFFF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1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表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304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财政拔款收支总体情况表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8304" w:type="dxa"/>
            <w:gridSpan w:val="7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单位名称：清远市清新区清西防汛工程管理所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  入</w:t>
            </w:r>
          </w:p>
        </w:tc>
        <w:tc>
          <w:tcPr>
            <w:tcW w:w="4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     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2016年预算数</w:t>
            </w:r>
          </w:p>
        </w:tc>
        <w:tc>
          <w:tcPr>
            <w:tcW w:w="238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7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入 总 计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 出 总 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both"/>
      </w:pPr>
    </w:p>
    <w:p>
      <w:pPr>
        <w:jc w:val="both"/>
      </w:pPr>
      <w:r>
        <w:br w:type="page"/>
      </w:r>
    </w:p>
    <w:tbl>
      <w:tblPr>
        <w:tblStyle w:val="3"/>
        <w:tblW w:w="96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6"/>
        <w:gridCol w:w="599"/>
        <w:gridCol w:w="381"/>
        <w:gridCol w:w="300"/>
        <w:gridCol w:w="1058"/>
        <w:gridCol w:w="330"/>
        <w:gridCol w:w="943"/>
        <w:gridCol w:w="643"/>
        <w:gridCol w:w="52"/>
        <w:gridCol w:w="414"/>
        <w:gridCol w:w="960"/>
        <w:gridCol w:w="1068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285" w:hRule="atLeast"/>
        </w:trPr>
        <w:tc>
          <w:tcPr>
            <w:tcW w:w="2656" w:type="dxa"/>
            <w:shd w:val="clear" w:color="auto" w:fill="FFFFFF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8" w:type="dxa"/>
            <w:gridSpan w:val="4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3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gridSpan w:val="4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表</w:t>
            </w:r>
            <w:r>
              <w:rPr>
                <w:rStyle w:val="8"/>
                <w:rFonts w:eastAsia="宋体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750" w:hRule="atLeast"/>
        </w:trPr>
        <w:tc>
          <w:tcPr>
            <w:tcW w:w="8336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一般公共预算支出情况表（按功能分类科目）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75" w:hRule="atLeast"/>
        </w:trPr>
        <w:tc>
          <w:tcPr>
            <w:tcW w:w="4994" w:type="dxa"/>
            <w:gridSpan w:val="5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清远市清新区清西防汛工程管理所</w:t>
            </w:r>
          </w:p>
        </w:tc>
        <w:tc>
          <w:tcPr>
            <w:tcW w:w="3342" w:type="dxa"/>
            <w:gridSpan w:val="6"/>
            <w:shd w:val="clear" w:color="auto" w:fill="FFFFFF"/>
            <w:vAlign w:val="bottom"/>
          </w:tcPr>
          <w:p>
            <w:pPr>
              <w:ind w:firstLine="2200" w:firstLineChars="1100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87" w:hRule="atLeast"/>
        </w:trPr>
        <w:tc>
          <w:tcPr>
            <w:tcW w:w="39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440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27" w:hRule="exact"/>
        </w:trPr>
        <w:tc>
          <w:tcPr>
            <w:tcW w:w="393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其中：基本支出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9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441.64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347.90 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93.74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[201]一般公共预算支出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[20104]发展与改革事务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[2010499]其他发展与改革事务支出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[20111]纪检监察事务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[2011105]派驻派出机构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[20131]党委办公厅（室）及相关机构事务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[2013101]行政运行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9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[2013102]一般行政管理事务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[2013103]机关服务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[2013105]专项业务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[2013199]其他党委办公厅（室）及相关机构事务支出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[204]公共安全支出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[20409]国家保密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[2040905]保密管理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[2040999]其他国家保密支出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[205]教育支出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[20502]普通教育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[2050201]学前教育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[208]社会保障和就业支出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53.12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46.87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[20805]行政事业单位离退休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53.12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46.87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[2080501]归口管理的行政单位离退休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[2080502]事业单位离退休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52.34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46.09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[2080801]其他行政事业单位离退休支出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0.78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0.78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[210]医疗卫生与计划生育支出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8.81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8.81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[213]农林水支出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369.51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282.02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[21303]水利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369.51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282.02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[2130306]水利工程运行与维护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369.51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282.02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08" w:type="dxa"/>
          <w:trHeight w:val="340" w:hRule="atLeast"/>
        </w:trPr>
        <w:tc>
          <w:tcPr>
            <w:tcW w:w="3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[221]住房保障支出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10.20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10.20</w:t>
            </w: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636" w:type="dxa"/>
            <w:gridSpan w:val="3"/>
            <w:shd w:val="clear" w:color="auto" w:fill="FFFFFF"/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</w:p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</w:p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</w:p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</w:p>
        </w:tc>
        <w:tc>
          <w:tcPr>
            <w:tcW w:w="3740" w:type="dxa"/>
            <w:gridSpan w:val="7"/>
            <w:shd w:val="clear" w:color="auto" w:fill="FFFFFF"/>
            <w:vAlign w:val="bottom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9644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表6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644" w:type="dxa"/>
            <w:gridSpan w:val="13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一般公共预算基本支出表（按支出经济分类科目）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7376" w:type="dxa"/>
            <w:gridSpan w:val="10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清远市清新区清西防汛工程管理所</w:t>
            </w:r>
          </w:p>
        </w:tc>
        <w:tc>
          <w:tcPr>
            <w:tcW w:w="2268" w:type="dxa"/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  <w:lang w:eastAsia="zh-CN"/>
              </w:rPr>
              <w:t>计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347.90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[501]机关工资福利支出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267.43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[50101]工资资金津补贴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[30101]基本工资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[50101]工资资金津补贴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[30102]津贴补贴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145.82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[50101]工资资金津补贴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[30103]奖金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[50102]社会保障缴费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[30112]其他社会保障缴费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[50103]住房公积金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[30113]住房公积金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[50199]其他工资福利支出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[30199]其他工资福利支出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[30201]办公费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[30202]印刷费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[30204]手续费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[30205]水费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[30206]电费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[30207]邮电费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[30209]物业管理费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[30211]差旅费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[30214]租赁费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[30228]工会经费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[30229]福利费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[30239]其他交通费用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[50202]会议费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[30215]会议费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[50203]培训费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[30216]培训费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[50205]委托业务费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[30226]劳务费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[50205]委托业务费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[30227]委托业务费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[50205]委托业务费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[30203]咨询费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[50206]公务接待费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[30217]公务接待费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[50207]因公出国（境）费用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[30212]因公出国（境）费用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[50208]公务用车运行维护费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[30231]公务用车运行维护费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[50209]维修（护）费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[30213]维修（护）费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[50299]其他商品和服务支出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[30299]其他商品和服务支出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[503]机关资本性支出（一）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[50306]设备购置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[31002]办公设备购置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[30101]基本工资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[30102]津贴补贴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[30103]奖金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[30107]绩效工资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[30113]住房公积金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[50501]工资福利支出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[30199]其他工资福利支出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[505]对事业单位经常性补助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[30201]办公费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[50502]商品和服务支出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[30299]其他商品和服务支出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57.06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[50901]社会福利和补助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[30304]抚恤金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[50901]社会福利和补助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[30305]生活补助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[50901]社会福利和补助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[30311]住房公积金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[50901]社会福利和补助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[30307]医疗费补助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[50901]社会福利和补助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[30309]奖励金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[50905]离退休费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[30301]离休费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[50905]离退休费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[30302]退休费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[50999]对其他个人和家庭的补助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[30399]其他对个人和家庭的补助支出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3255" w:type="dxa"/>
            <w:gridSpan w:val="2"/>
            <w:shd w:val="clear" w:color="auto" w:fill="FFFFFF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5" w:type="dxa"/>
            <w:gridSpan w:val="6"/>
            <w:shd w:val="clear" w:color="auto" w:fill="FFFFFF"/>
            <w:vAlign w:val="bottom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4" w:type="dxa"/>
            <w:gridSpan w:val="4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Style w:val="9"/>
                <w:lang w:val="en-US" w:eastAsia="zh-CN" w:bidi="ar"/>
              </w:rPr>
              <w:t>7</w:t>
            </w:r>
          </w:p>
        </w:tc>
        <w:tc>
          <w:tcPr>
            <w:tcW w:w="24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9644" w:type="dxa"/>
            <w:gridSpan w:val="13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一般公共预算项目支出表（按支出经济分类科目）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644" w:type="dxa"/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清远市清新区清西防汛工程管理所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政府预算支出经济科目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部门预算支出经济科目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计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[501]机关工资福利支出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[301]工资福利支出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[50199]其他工资福利支出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[30106]伙食补助费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[50199]其他工资福利支出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[30199]其他工资福利支出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[502]机关商品和服务支出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[302]商品和服务支出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[30201]办公费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[30202]印刷费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[30204]手续费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[30205]水费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[30206]电费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[30207]邮电费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[30209]物业管理费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[30211]差旅费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[30214]租赁费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[50201]办公经费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[30239]其他交通费用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[50202]会议费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[30215]会议费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[50203]培训费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[30216]培训费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[50205]委托业务费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[30226]劳务费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[50205]委托业务费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[30203]咨询费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[50206]公务接待费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[30217]公务接待费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[50207]因公出国（境）费用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[30212]因公出国（境）费用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[50208]公务用车运行维护费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[30231]公务用车运行维护费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[50209]维修（护）费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[30213]维修（护）费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[50299]其他商品和服务支出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[30299]其他商品和服务支出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[503]机关资本性支出（一）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[310]资本性支出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[50306]房屋建筑物购建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[31001]房屋建筑物购建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[50301]公务用车购置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[31013]公务用车购置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[50303]设备购置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[31002]办公设备购置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[50306]设备购置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[31003]专用设备购置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[50306]设备购置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[31007]信息网络及软件购置更新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[50307]大型修缮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[31006]大型修缮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[50399]其他资本性支出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[31099]其他资本性支出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[509]对个人和家庭的补助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[303]对个人和家庭的补助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[50901]社会福利和补助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[30307]医疗费补助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3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[50999]对其他个人和家庭的补助</w:t>
            </w:r>
          </w:p>
        </w:tc>
        <w:tc>
          <w:tcPr>
            <w:tcW w:w="3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[30399]其他对个人和家庭的补助支出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76.24</w:t>
            </w:r>
          </w:p>
        </w:tc>
      </w:tr>
    </w:tbl>
    <w:p>
      <w:pPr>
        <w:keepNext w:val="0"/>
        <w:keepLines w:val="0"/>
        <w:widowControl/>
        <w:suppressLineNumbers w:val="0"/>
        <w:jc w:val="right"/>
        <w:textAlignment w:val="bottom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page"/>
      </w:r>
    </w:p>
    <w:tbl>
      <w:tblPr>
        <w:tblStyle w:val="3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6"/>
        <w:gridCol w:w="840"/>
        <w:gridCol w:w="731"/>
        <w:gridCol w:w="90"/>
        <w:gridCol w:w="2455"/>
        <w:gridCol w:w="240"/>
        <w:gridCol w:w="122"/>
        <w:gridCol w:w="435"/>
        <w:gridCol w:w="291"/>
        <w:gridCol w:w="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285" w:hRule="atLeast"/>
        </w:trPr>
        <w:tc>
          <w:tcPr>
            <w:tcW w:w="8604" w:type="dxa"/>
            <w:gridSpan w:val="7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1078" w:type="dxa"/>
          <w:trHeight w:val="720" w:hRule="atLeast"/>
        </w:trPr>
        <w:tc>
          <w:tcPr>
            <w:tcW w:w="824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一般公共预算安排的行政经费及“三公”经费预算表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75" w:hRule="atLeast"/>
        </w:trPr>
        <w:tc>
          <w:tcPr>
            <w:tcW w:w="412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清远市清新区清西防汛工程管理所</w:t>
            </w:r>
          </w:p>
        </w:tc>
        <w:tc>
          <w:tcPr>
            <w:tcW w:w="840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8" w:type="dxa"/>
            <w:gridSpan w:val="5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90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3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90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行政经费</w:t>
            </w:r>
          </w:p>
        </w:tc>
        <w:tc>
          <w:tcPr>
            <w:tcW w:w="3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90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“三公”经费</w:t>
            </w:r>
          </w:p>
        </w:tc>
        <w:tc>
          <w:tcPr>
            <w:tcW w:w="3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90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其中：（一）因公出国（境）支出</w:t>
            </w:r>
          </w:p>
        </w:tc>
        <w:tc>
          <w:tcPr>
            <w:tcW w:w="3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90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（二）公务用车购置及运行维护支出</w:t>
            </w:r>
          </w:p>
        </w:tc>
        <w:tc>
          <w:tcPr>
            <w:tcW w:w="3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90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1.公务用车购置</w:t>
            </w:r>
          </w:p>
        </w:tc>
        <w:tc>
          <w:tcPr>
            <w:tcW w:w="3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90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2.公务用车运行维护费</w:t>
            </w:r>
          </w:p>
        </w:tc>
        <w:tc>
          <w:tcPr>
            <w:tcW w:w="3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90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（三）公务接待费支出</w:t>
            </w:r>
          </w:p>
        </w:tc>
        <w:tc>
          <w:tcPr>
            <w:tcW w:w="3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956" w:type="dxa"/>
          <w:trHeight w:val="390" w:hRule="atLeast"/>
        </w:trPr>
        <w:tc>
          <w:tcPr>
            <w:tcW w:w="4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0" w:type="dxa"/>
          <w:trHeight w:val="228" w:hRule="atLeast"/>
        </w:trPr>
        <w:tc>
          <w:tcPr>
            <w:tcW w:w="5697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</w:p>
        </w:tc>
        <w:tc>
          <w:tcPr>
            <w:tcW w:w="90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604" w:type="dxa"/>
            <w:gridSpan w:val="7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1、行政经费包括：（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基本支出。一是包括工资、津贴及奖金、医疗费、住房补贴等）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（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）一般行政管理项目支出。具体包括出国费、招待费、会议费、办公用房维修租赁费、购置费（包括设备、计算及、车辆等）、干部培训费、执法部门办案费、信息网络运行维护费等）</w:t>
            </w:r>
          </w:p>
        </w:tc>
        <w:tc>
          <w:tcPr>
            <w:tcW w:w="956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604" w:type="dxa"/>
            <w:gridSpan w:val="7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604" w:type="dxa"/>
            <w:gridSpan w:val="7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604" w:type="dxa"/>
            <w:gridSpan w:val="7"/>
            <w:vMerge w:val="continue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604" w:type="dxa"/>
            <w:gridSpan w:val="7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“三公”经费包括因公出国（境）经费、公务用车购置及运行维护费和公务接待费。其中：因公出国（境）经费是指省直行政单位、事业单位工作人员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是指省直行政单位、事业单位公务用车购置费、公务用车租用费、燃料费、维修费、过桥过路费、保险费等支出；公务接待费指省直行政单位、事业单位按规定开支的各类公务员接待（外宾接待）费用。</w:t>
            </w:r>
          </w:p>
        </w:tc>
        <w:tc>
          <w:tcPr>
            <w:tcW w:w="956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604" w:type="dxa"/>
            <w:gridSpan w:val="7"/>
            <w:vMerge w:val="continue"/>
            <w:shd w:val="clear" w:color="auto" w:fill="auto"/>
            <w:vAlign w:val="top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top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604" w:type="dxa"/>
            <w:gridSpan w:val="7"/>
            <w:vMerge w:val="continue"/>
            <w:shd w:val="clear" w:color="auto" w:fill="auto"/>
            <w:vAlign w:val="top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top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604" w:type="dxa"/>
            <w:gridSpan w:val="7"/>
            <w:vMerge w:val="continue"/>
            <w:shd w:val="clear" w:color="auto" w:fill="auto"/>
            <w:vAlign w:val="top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top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Arial" w:hAnsi="Arial" w:cs="Arial"/>
          <w:i w:val="0"/>
          <w:color w:val="000000"/>
          <w:sz w:val="20"/>
          <w:szCs w:val="20"/>
          <w:u w:val="none"/>
        </w:rPr>
      </w:pPr>
    </w:p>
    <w:tbl>
      <w:tblPr>
        <w:tblStyle w:val="3"/>
        <w:tblW w:w="8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396"/>
        <w:gridCol w:w="1335"/>
        <w:gridCol w:w="1131"/>
        <w:gridCol w:w="713"/>
        <w:gridCol w:w="2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329" w:type="dxa"/>
            <w:shd w:val="clear" w:color="auto" w:fill="FFFFFF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4" w:type="dxa"/>
            <w:gridSpan w:val="2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58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2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6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4" w:type="dxa"/>
            <w:gridSpan w:val="2"/>
            <w:shd w:val="clear" w:color="auto" w:fill="FFFFFF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191" w:type="dxa"/>
            <w:gridSpan w:val="4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清远市清新区清西防汛工程管理所</w:t>
            </w:r>
          </w:p>
        </w:tc>
        <w:tc>
          <w:tcPr>
            <w:tcW w:w="33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注：如该部门无政府性基金安排的支出，则本表为空。同时按照财政部有关要求，以空表呈报省人代会审议。此表无数据。</w:t>
      </w:r>
    </w:p>
    <w:p>
      <w:pPr>
        <w:rPr>
          <w:rFonts w:hint="eastAsia" w:ascii="Arial" w:hAnsi="Arial" w:cs="Arial"/>
          <w:i w:val="0"/>
          <w:color w:val="000000"/>
          <w:sz w:val="21"/>
          <w:szCs w:val="21"/>
          <w:u w:val="none"/>
        </w:rPr>
      </w:pPr>
      <w:r>
        <w:rPr>
          <w:rFonts w:hint="eastAsia" w:ascii="Arial" w:hAnsi="Arial" w:cs="Arial"/>
          <w:i w:val="0"/>
          <w:color w:val="000000"/>
          <w:sz w:val="21"/>
          <w:szCs w:val="21"/>
          <w:u w:val="none"/>
        </w:rPr>
        <w:br w:type="page"/>
      </w:r>
    </w:p>
    <w:tbl>
      <w:tblPr>
        <w:tblStyle w:val="3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182"/>
        <w:gridCol w:w="848"/>
        <w:gridCol w:w="559"/>
        <w:gridCol w:w="374"/>
        <w:gridCol w:w="954"/>
        <w:gridCol w:w="841"/>
        <w:gridCol w:w="249"/>
        <w:gridCol w:w="1053"/>
        <w:gridCol w:w="730"/>
        <w:gridCol w:w="542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66" w:type="dxa"/>
            <w:shd w:val="clear" w:color="auto" w:fill="FFFFFF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0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7" w:type="dxa"/>
            <w:gridSpan w:val="2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23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624" w:type="dxa"/>
            <w:gridSpan w:val="7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清远市清新区清西防汛工程管理所</w:t>
            </w:r>
          </w:p>
        </w:tc>
        <w:tc>
          <w:tcPr>
            <w:tcW w:w="1302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7" w:type="dxa"/>
            <w:gridSpan w:val="3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2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12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347.90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347.90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347.90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23" w:type="dxa"/>
            <w:gridSpan w:val="12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>
      <w:pPr>
        <w:rPr>
          <w:rFonts w:hint="eastAsia" w:ascii="Arial" w:hAnsi="Arial" w:cs="Arial"/>
          <w:i w:val="0"/>
          <w:color w:val="000000"/>
          <w:sz w:val="20"/>
          <w:szCs w:val="20"/>
          <w:u w:val="none"/>
        </w:rPr>
      </w:pPr>
    </w:p>
    <w:p>
      <w:pPr>
        <w:rPr>
          <w:rFonts w:hint="eastAsia" w:ascii="Arial" w:hAnsi="Arial" w:cs="Arial"/>
          <w:i w:val="0"/>
          <w:color w:val="000000"/>
          <w:sz w:val="20"/>
          <w:szCs w:val="20"/>
          <w:u w:val="none"/>
        </w:rPr>
      </w:pPr>
    </w:p>
    <w:tbl>
      <w:tblPr>
        <w:tblStyle w:val="3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569"/>
        <w:gridCol w:w="349"/>
        <w:gridCol w:w="210"/>
        <w:gridCol w:w="784"/>
        <w:gridCol w:w="590"/>
        <w:gridCol w:w="273"/>
        <w:gridCol w:w="515"/>
        <w:gridCol w:w="422"/>
        <w:gridCol w:w="148"/>
        <w:gridCol w:w="560"/>
        <w:gridCol w:w="61"/>
        <w:gridCol w:w="731"/>
        <w:gridCol w:w="141"/>
        <w:gridCol w:w="797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17" w:type="dxa"/>
            <w:gridSpan w:val="2"/>
            <w:shd w:val="clear" w:color="auto" w:fill="FFFFFF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gridSpan w:val="2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gridSpan w:val="3"/>
            <w:shd w:val="clear" w:color="auto" w:fill="FFFFFF"/>
            <w:vAlign w:val="bottom"/>
          </w:tcPr>
          <w:p>
            <w:pPr>
              <w:jc w:val="right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2" w:type="dxa"/>
            <w:gridSpan w:val="2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23" w:type="dxa"/>
            <w:gridSpan w:val="16"/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部门预算项目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及其他支出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38" w:type="dxa"/>
            <w:gridSpan w:val="8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清远市清新区清西防汛工程管理所</w:t>
            </w:r>
          </w:p>
        </w:tc>
        <w:tc>
          <w:tcPr>
            <w:tcW w:w="1191" w:type="dxa"/>
            <w:gridSpan w:val="4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shd w:val="clear" w:color="auto" w:fill="FFFFFF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支出项目类别（资金使用单位）</w:t>
            </w:r>
          </w:p>
        </w:tc>
        <w:tc>
          <w:tcPr>
            <w:tcW w:w="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5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财政专户拨款</w:t>
            </w:r>
          </w:p>
        </w:tc>
        <w:tc>
          <w:tcPr>
            <w:tcW w:w="9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93.74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93.74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93.74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right="136" w:rightChars="65"/>
              <w:jc w:val="right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2016年部门预算情况说明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lightGray"/>
          <w:lang w:val="en-US" w:eastAsia="zh-CN"/>
        </w:rPr>
        <w:t>说明</w:t>
      </w:r>
      <w:r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  <w:t>：在以下必须公开的基本说明基础上，可根据本部门情况加以细化说明）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2016年本部门收入预算441.64万元，比上年增加102.10万元，增长30%，主要原因是基本支出增加，人员经费增加；支出预算441.64万元，比上年增加102.10万元，增长30%，主要原因是基本支出增加，人员经费增加。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2016年本部门“三公”经费预算安排3.00万元，与上年保持不变。其中：因公出国（境）费0.00万元，与上年保持不变；公务用车购置及运行费3.00万元，与上年保持不变；公务接待费0.00万元，与上年保持不变。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2016年，本部门机关运行经费安排23.40万元，比上年增加2.40万元，增长11%，主要原因是在岗人数增加，经费增加。其中：办公费7.31万元，邮电费0.6万元，差旅费1万元，培训费4万元，办公用房水电费3.8万元，公务用车运行维护费3万元，其他商品和服务支出3.69万元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2016年本部门政府采购安排0万元。其中：货物类采购预算0万元，工程类采购预算0万元，服务类采购预算0万元等。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截至2015年12月31日，本部门占有使用国有资产总体情况为：占有使用车辆情况，共有车辆2辆，其中：一般公务用车2辆，2016年预计报废1辆。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lightGray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lightGray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lightGray"/>
          <w:lang w:val="en-US" w:eastAsia="zh-CN"/>
        </w:rPr>
        <w:t>说明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lightGray"/>
          <w:lang w:val="en-US" w:eastAsia="zh-CN"/>
        </w:rPr>
        <w:t>：本项为推进性公开工作，可结合本部门实际情况，选取基础资料完备、公开条件成熟的资产项目探索公开。如占有使用车辆情况，共有车辆**辆，其中：领导干部用车*辆，一般公务用车*辆等，**年预计购置/报废*辆等。）</w:t>
      </w:r>
    </w:p>
    <w:p>
      <w:pPr>
        <w:numPr>
          <w:ilvl w:val="0"/>
          <w:numId w:val="4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本部门没有开展预算绩效管理工作，也没有开展具体项目评价工作。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lightGray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lightGray"/>
          <w:lang w:val="en-US" w:eastAsia="zh-CN"/>
        </w:rPr>
        <w:t>说明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lightGray"/>
          <w:lang w:val="en-US" w:eastAsia="zh-CN"/>
        </w:rPr>
        <w:t>：本项为推进性公开工作，可结合本部门实际情况简要介绍。如项目绩效目标覆盖率**；对比上年推进**工作等。）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lightGray"/>
          <w:lang w:val="en-US" w:eastAsia="zh-CN"/>
        </w:rPr>
        <w:t>说明</w:t>
      </w:r>
      <w:r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  <w:t>：本项为必须公开内容，可解释本部门预算特有的较为专业的名词，或是财政预算编制方面名词。）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“三公”经费：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A4571"/>
    <w:rsid w:val="01CE1A60"/>
    <w:rsid w:val="03C43A93"/>
    <w:rsid w:val="13016A31"/>
    <w:rsid w:val="145202FB"/>
    <w:rsid w:val="14726AB7"/>
    <w:rsid w:val="15AC659E"/>
    <w:rsid w:val="161F46A2"/>
    <w:rsid w:val="189D315C"/>
    <w:rsid w:val="19744D57"/>
    <w:rsid w:val="1A3B2345"/>
    <w:rsid w:val="1D3B1747"/>
    <w:rsid w:val="1E7A6840"/>
    <w:rsid w:val="1FAF20DA"/>
    <w:rsid w:val="20BB1ECF"/>
    <w:rsid w:val="20EE6A13"/>
    <w:rsid w:val="22005ACD"/>
    <w:rsid w:val="220F311F"/>
    <w:rsid w:val="24222A60"/>
    <w:rsid w:val="24E510E3"/>
    <w:rsid w:val="261801A0"/>
    <w:rsid w:val="2785481D"/>
    <w:rsid w:val="28E6015E"/>
    <w:rsid w:val="295A5E2A"/>
    <w:rsid w:val="2BA04426"/>
    <w:rsid w:val="2BB04038"/>
    <w:rsid w:val="2BCE77C5"/>
    <w:rsid w:val="303846C1"/>
    <w:rsid w:val="304F2931"/>
    <w:rsid w:val="31F04AA8"/>
    <w:rsid w:val="32E56A1D"/>
    <w:rsid w:val="3489521B"/>
    <w:rsid w:val="36E602DD"/>
    <w:rsid w:val="374C03B7"/>
    <w:rsid w:val="378838D1"/>
    <w:rsid w:val="3AB65585"/>
    <w:rsid w:val="3C2C18A9"/>
    <w:rsid w:val="3F7C30FE"/>
    <w:rsid w:val="3FEB6C03"/>
    <w:rsid w:val="45AA292B"/>
    <w:rsid w:val="45E51538"/>
    <w:rsid w:val="468E5FBB"/>
    <w:rsid w:val="4DA4471F"/>
    <w:rsid w:val="4E5D24FF"/>
    <w:rsid w:val="4F646157"/>
    <w:rsid w:val="50CB6A87"/>
    <w:rsid w:val="51E67E80"/>
    <w:rsid w:val="53ED740E"/>
    <w:rsid w:val="56626081"/>
    <w:rsid w:val="5C402A59"/>
    <w:rsid w:val="5E242C45"/>
    <w:rsid w:val="5E5A6BDF"/>
    <w:rsid w:val="60E37A9B"/>
    <w:rsid w:val="61F66212"/>
    <w:rsid w:val="663F3075"/>
    <w:rsid w:val="669257CC"/>
    <w:rsid w:val="66D06120"/>
    <w:rsid w:val="685F58FF"/>
    <w:rsid w:val="69AB4C17"/>
    <w:rsid w:val="6B7F4D3D"/>
    <w:rsid w:val="6D9B07DA"/>
    <w:rsid w:val="6E6E3847"/>
    <w:rsid w:val="7272390F"/>
    <w:rsid w:val="727B268C"/>
    <w:rsid w:val="76536803"/>
    <w:rsid w:val="77A35869"/>
    <w:rsid w:val="7A3D118F"/>
    <w:rsid w:val="7AEB38A2"/>
    <w:rsid w:val="7B8B32AC"/>
    <w:rsid w:val="7C5540B7"/>
    <w:rsid w:val="7CB0324D"/>
    <w:rsid w:val="7D8F1420"/>
    <w:rsid w:val="7DA52FA0"/>
    <w:rsid w:val="7DC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8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4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2018-03-30T02:34:00Z</cp:lastPrinted>
  <dcterms:modified xsi:type="dcterms:W3CDTF">2018-09-11T08:53:38Z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